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E61" w:rsidRDefault="00DD7ACF" w:rsidP="00AB1318">
      <w:pPr>
        <w:spacing w:afterLines="50" w:after="156" w:line="360" w:lineRule="auto"/>
        <w:jc w:val="left"/>
        <w:rPr>
          <w:rFonts w:ascii="Times New Roman" w:hAnsi="Times New Roman" w:cs="Times New Roman"/>
          <w:b/>
          <w:bCs/>
          <w:color w:val="000000" w:themeColor="text1"/>
          <w:sz w:val="32"/>
          <w:szCs w:val="32"/>
        </w:rPr>
      </w:pPr>
      <w:bookmarkStart w:id="0" w:name="_GoBack"/>
      <w:bookmarkEnd w:id="0"/>
      <w:r>
        <w:rPr>
          <w:rFonts w:ascii="Times New Roman" w:hAnsi="Times New Roman" w:cs="Times New Roman"/>
          <w:b/>
          <w:bCs/>
          <w:color w:val="000000" w:themeColor="text1"/>
          <w:sz w:val="32"/>
          <w:szCs w:val="32"/>
        </w:rPr>
        <w:t>Supplementary Materials</w:t>
      </w:r>
    </w:p>
    <w:p w:rsidR="00EC5E61" w:rsidRDefault="00DD7ACF" w:rsidP="00AB1318">
      <w:pPr>
        <w:spacing w:before="240" w:after="120" w:line="360" w:lineRule="auto"/>
        <w:jc w:val="left"/>
        <w:rPr>
          <w:rFonts w:ascii="Times New Roman" w:hAnsi="Times New Roman" w:cs="Times New Roman"/>
          <w:b/>
          <w:bCs/>
          <w:i/>
          <w:iCs/>
          <w:color w:val="000000" w:themeColor="text1"/>
          <w:sz w:val="24"/>
          <w:szCs w:val="24"/>
        </w:rPr>
      </w:pPr>
      <w:r>
        <w:rPr>
          <w:rFonts w:ascii="Times New Roman" w:hAnsi="Times New Roman" w:cs="Times New Roman"/>
          <w:b/>
          <w:bCs/>
          <w:i/>
          <w:iCs/>
          <w:color w:val="000000" w:themeColor="text1"/>
          <w:sz w:val="24"/>
          <w:szCs w:val="24"/>
        </w:rPr>
        <w:t>Exclusion Criteria</w:t>
      </w:r>
      <w:r>
        <w:rPr>
          <w:rFonts w:ascii="Times New Roman" w:hAnsi="Times New Roman" w:cs="Times New Roman" w:hint="eastAsia"/>
          <w:b/>
          <w:bCs/>
          <w:i/>
          <w:iCs/>
          <w:color w:val="000000" w:themeColor="text1"/>
          <w:sz w:val="24"/>
          <w:szCs w:val="24"/>
        </w:rPr>
        <w:t xml:space="preserve"> </w:t>
      </w:r>
    </w:p>
    <w:p w:rsidR="00EC5E61" w:rsidRDefault="00DD7ACF" w:rsidP="00AB1318">
      <w:pPr>
        <w:spacing w:afterLines="50" w:after="156" w:line="360" w:lineRule="auto"/>
        <w:jc w:val="left"/>
        <w:rPr>
          <w:rFonts w:ascii="Times New Roman" w:hAnsi="Times New Roman" w:cs="Times New Roman"/>
          <w:b/>
          <w:bCs/>
          <w:i/>
          <w:iCs/>
          <w:color w:val="000000" w:themeColor="text1"/>
          <w:sz w:val="24"/>
          <w:szCs w:val="24"/>
        </w:rPr>
      </w:pPr>
      <w:r>
        <w:rPr>
          <w:rFonts w:ascii="Times New Roman" w:eastAsia="DengXian" w:hAnsi="Times New Roman" w:cs="Times New Roman" w:hint="eastAsia"/>
          <w:color w:val="000000" w:themeColor="text1"/>
          <w:sz w:val="24"/>
          <w:szCs w:val="24"/>
        </w:rPr>
        <w:t>P</w:t>
      </w:r>
      <w:r>
        <w:rPr>
          <w:rFonts w:ascii="Times New Roman" w:eastAsia="DengXian" w:hAnsi="Times New Roman" w:cs="Times New Roman"/>
          <w:color w:val="000000" w:themeColor="text1"/>
          <w:sz w:val="24"/>
          <w:szCs w:val="24"/>
        </w:rPr>
        <w:t>atients who were pregnant or lactating were excluded, as well as those with severe cardiovascular diseases (including coronary artery disease, heart failure, severe arrhythmias, congenital heart disease, aortic dissection, and malignant hypertension), neur</w:t>
      </w:r>
      <w:r>
        <w:rPr>
          <w:rFonts w:ascii="Times New Roman" w:eastAsia="DengXian" w:hAnsi="Times New Roman" w:cs="Times New Roman"/>
          <w:color w:val="000000" w:themeColor="text1"/>
          <w:sz w:val="24"/>
          <w:szCs w:val="24"/>
        </w:rPr>
        <w:t>ological diseases (including ischemic stroke, cerebral hemorrhage, transient ischemic attack, encephalitis, meningitis, Alzheimer's disease, Parkinson's disease, epilepsy, myasthenia gravis, and Guillain-Barré syndrome), respiratory diseases (including sev</w:t>
      </w:r>
      <w:r>
        <w:rPr>
          <w:rFonts w:ascii="Times New Roman" w:eastAsia="DengXian" w:hAnsi="Times New Roman" w:cs="Times New Roman"/>
          <w:color w:val="000000" w:themeColor="text1"/>
          <w:sz w:val="24"/>
          <w:szCs w:val="24"/>
        </w:rPr>
        <w:t>ere chronic obstructive pulmonary disease, bronchial asthma, pulmonary fibrosis, pulmonary embolism, and respiratory failure), renal diseases (including acute kidney injury, renal failure, and kidney transplantation), other major diseases (including malign</w:t>
      </w:r>
      <w:r>
        <w:rPr>
          <w:rFonts w:ascii="Times New Roman" w:eastAsia="DengXian" w:hAnsi="Times New Roman" w:cs="Times New Roman"/>
          <w:color w:val="000000" w:themeColor="text1"/>
          <w:sz w:val="24"/>
          <w:szCs w:val="24"/>
        </w:rPr>
        <w:t>ant tumors, severe infectious diseases, leukemia, aplastic anemia, lymphoma, hyperthyroidism, hypothyroidism, and systemic lupus erythematosus). Additionally, patients with other liver diseases, such as chronic viral hepatitis, human immunodeficiency virus</w:t>
      </w:r>
      <w:r>
        <w:rPr>
          <w:rFonts w:ascii="Times New Roman" w:eastAsia="DengXian" w:hAnsi="Times New Roman" w:cs="Times New Roman"/>
          <w:color w:val="000000" w:themeColor="text1"/>
          <w:sz w:val="24"/>
          <w:szCs w:val="24"/>
        </w:rPr>
        <w:t xml:space="preserve"> infection, excessive alcohol consumption (&gt;30g/day in men and &gt;20g/day in women), drug-induced hepatic steatosis (including usage of systemic steroids) or a history of hepatocellular carcinoma, hepatic decompensation, liver resection, liver transplant wer</w:t>
      </w:r>
      <w:r>
        <w:rPr>
          <w:rFonts w:ascii="Times New Roman" w:eastAsia="DengXian" w:hAnsi="Times New Roman" w:cs="Times New Roman"/>
          <w:color w:val="000000" w:themeColor="text1"/>
          <w:sz w:val="24"/>
          <w:szCs w:val="24"/>
        </w:rPr>
        <w:t xml:space="preserve">e excluded. </w:t>
      </w:r>
    </w:p>
    <w:p w:rsidR="00EC5E61" w:rsidRDefault="00DD7ACF" w:rsidP="00AB1318">
      <w:pPr>
        <w:spacing w:before="240" w:after="120" w:line="360" w:lineRule="auto"/>
        <w:jc w:val="left"/>
        <w:rPr>
          <w:rFonts w:ascii="Times New Roman" w:hAnsi="Times New Roman" w:cs="Times New Roman"/>
          <w:b/>
          <w:bCs/>
          <w:i/>
          <w:iCs/>
          <w:color w:val="000000" w:themeColor="text1"/>
          <w:sz w:val="24"/>
          <w:szCs w:val="24"/>
        </w:rPr>
      </w:pPr>
      <w:r>
        <w:rPr>
          <w:rFonts w:ascii="Times New Roman" w:hAnsi="Times New Roman" w:cs="Times New Roman"/>
          <w:b/>
          <w:bCs/>
          <w:i/>
          <w:iCs/>
          <w:color w:val="000000" w:themeColor="text1"/>
          <w:sz w:val="24"/>
          <w:szCs w:val="24"/>
        </w:rPr>
        <w:t>Chemistry</w:t>
      </w:r>
    </w:p>
    <w:p w:rsidR="00EC5E61" w:rsidRDefault="00DD7ACF" w:rsidP="00AB1318">
      <w:pPr>
        <w:spacing w:line="360" w:lineRule="auto"/>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Cholic acid (CA), chenodeoxycholic acid (CDCA), deoxycholic acid (DCA), lithocholic acid (LCA), ursodeoxycholic acid (UDCA), glycocholic acid (GCA), glycochenodeoxycholic acid (GCDCA), glycodeoxycholic acid (GDCA), glycolithocholic a</w:t>
      </w:r>
      <w:r>
        <w:rPr>
          <w:rFonts w:ascii="Times New Roman" w:hAnsi="Times New Roman" w:cs="Times New Roman"/>
          <w:color w:val="000000" w:themeColor="text1"/>
          <w:sz w:val="24"/>
          <w:szCs w:val="24"/>
        </w:rPr>
        <w:t>cid (GLCA), glycodeoxycholic acid (GUDCA), taurocholic acid (TCA), taurochenodeoxycholic acid (TCDCA), taurodeoxycholic acid (TDCA), taurolithocholic acid (TLCA), taurolithocholic acid (TUDCA)</w:t>
      </w:r>
      <w:r>
        <w:rPr>
          <w:rFonts w:ascii="Times New Roman" w:hAnsi="Times New Roman" w:cs="Times New Roman" w:hint="eastAsia"/>
          <w:color w:val="000000" w:themeColor="text1"/>
          <w:sz w:val="24"/>
          <w:szCs w:val="24"/>
        </w:rPr>
        <w:t xml:space="preserve">, </w:t>
      </w:r>
      <w:r>
        <w:rPr>
          <w:rFonts w:ascii="Times New Roman" w:hAnsi="Times New Roman" w:cs="Times New Roman"/>
          <w:color w:val="000000" w:themeColor="text1"/>
          <w:sz w:val="24"/>
          <w:szCs w:val="24"/>
        </w:rPr>
        <w:t xml:space="preserve">and tauroursodeoxycholic acid levels were measured using </w:t>
      </w:r>
      <w:bookmarkStart w:id="1" w:name="OLE_LINK55"/>
      <w:bookmarkStart w:id="2" w:name="OLE_LINK54"/>
      <w:r>
        <w:rPr>
          <w:rFonts w:ascii="Times New Roman" w:hAnsi="Times New Roman" w:cs="Times New Roman"/>
          <w:color w:val="000000" w:themeColor="text1"/>
          <w:sz w:val="24"/>
          <w:szCs w:val="24"/>
        </w:rPr>
        <w:t>UPLC-MS/MS</w:t>
      </w:r>
      <w:bookmarkEnd w:id="1"/>
      <w:bookmarkEnd w:id="2"/>
      <w:r>
        <w:rPr>
          <w:rFonts w:ascii="Times New Roman" w:hAnsi="Times New Roman" w:cs="Times New Roman" w:hint="eastAsia"/>
          <w:color w:val="000000" w:themeColor="text1"/>
          <w:sz w:val="24"/>
          <w:szCs w:val="24"/>
        </w:rPr>
        <w:t xml:space="preserve"> </w:t>
      </w:r>
      <w:r>
        <w:rPr>
          <w:rFonts w:ascii="Times New Roman" w:hAnsi="Times New Roman" w:cs="Times New Roman"/>
          <w:color w:val="000000" w:themeColor="text1"/>
          <w:sz w:val="24"/>
          <w:szCs w:val="24"/>
        </w:rPr>
        <w:t xml:space="preserve">(US SCIEX, </w:t>
      </w:r>
      <w:r>
        <w:rPr>
          <w:rFonts w:ascii="Times New Roman" w:hAnsi="Times New Roman" w:cs="Times New Roman" w:hint="eastAsia"/>
          <w:color w:val="000000" w:themeColor="text1"/>
          <w:sz w:val="24"/>
          <w:szCs w:val="24"/>
        </w:rPr>
        <w:t xml:space="preserve">No. </w:t>
      </w:r>
      <w:r>
        <w:rPr>
          <w:rFonts w:ascii="Times New Roman" w:hAnsi="Times New Roman" w:cs="Times New Roman"/>
          <w:color w:val="000000" w:themeColor="text1"/>
          <w:sz w:val="24"/>
          <w:szCs w:val="24"/>
        </w:rPr>
        <w:t>API3200)</w:t>
      </w:r>
      <w:r>
        <w:rPr>
          <w:rFonts w:ascii="Times New Roman" w:hAnsi="Times New Roman" w:cs="Times New Roman" w:hint="eastAsia"/>
          <w:color w:val="000000" w:themeColor="text1"/>
          <w:sz w:val="24"/>
          <w:szCs w:val="24"/>
        </w:rPr>
        <w:t xml:space="preserve">. </w:t>
      </w:r>
      <w:r>
        <w:rPr>
          <w:rFonts w:ascii="Times New Roman" w:hAnsi="Times New Roman" w:cs="Times New Roman"/>
          <w:color w:val="000000" w:themeColor="text1"/>
          <w:sz w:val="24"/>
          <w:szCs w:val="24"/>
        </w:rPr>
        <w:t xml:space="preserve">The </w:t>
      </w:r>
      <w:r>
        <w:rPr>
          <w:rFonts w:ascii="Times New Roman" w:hAnsi="Times New Roman" w:cs="Times New Roman" w:hint="eastAsia"/>
          <w:color w:val="000000" w:themeColor="text1"/>
          <w:sz w:val="24"/>
          <w:szCs w:val="24"/>
        </w:rPr>
        <w:t>BA</w:t>
      </w:r>
      <w:r>
        <w:rPr>
          <w:rFonts w:ascii="Times New Roman" w:hAnsi="Times New Roman" w:cs="Times New Roman"/>
          <w:color w:val="000000" w:themeColor="text1"/>
          <w:sz w:val="24"/>
          <w:szCs w:val="24"/>
        </w:rPr>
        <w:t xml:space="preserve"> working fluids used were </w:t>
      </w:r>
      <w:r>
        <w:rPr>
          <w:rFonts w:ascii="Times New Roman" w:hAnsi="Times New Roman" w:cs="Times New Roman" w:hint="eastAsia"/>
          <w:color w:val="000000" w:themeColor="text1"/>
          <w:sz w:val="24"/>
          <w:szCs w:val="24"/>
        </w:rPr>
        <w:t>BA</w:t>
      </w:r>
      <w:r>
        <w:rPr>
          <w:rFonts w:ascii="Times New Roman" w:hAnsi="Times New Roman" w:cs="Times New Roman"/>
          <w:color w:val="000000" w:themeColor="text1"/>
          <w:sz w:val="24"/>
          <w:szCs w:val="24"/>
        </w:rPr>
        <w:t xml:space="preserve"> calibrator</w:t>
      </w:r>
      <w:r>
        <w:rPr>
          <w:rFonts w:ascii="Times New Roman" w:eastAsia="DengXian" w:hAnsi="Times New Roman" w:cs="Times New Roman"/>
          <w:color w:val="000000" w:themeColor="text1"/>
          <w:sz w:val="24"/>
          <w:szCs w:val="24"/>
        </w:rPr>
        <w:t>s J1, J2, and J3</w:t>
      </w:r>
      <w:r>
        <w:rPr>
          <w:rFonts w:ascii="Times New Roman" w:hAnsi="Times New Roman" w:cs="Times New Roman"/>
          <w:color w:val="000000" w:themeColor="text1"/>
          <w:sz w:val="24"/>
          <w:szCs w:val="24"/>
        </w:rPr>
        <w:t xml:space="preserve">; </w:t>
      </w:r>
      <w:r>
        <w:rPr>
          <w:rFonts w:ascii="Times New Roman" w:hAnsi="Times New Roman" w:cs="Times New Roman" w:hint="eastAsia"/>
          <w:color w:val="000000" w:themeColor="text1"/>
          <w:sz w:val="24"/>
          <w:szCs w:val="24"/>
        </w:rPr>
        <w:t>BA</w:t>
      </w:r>
      <w:r>
        <w:rPr>
          <w:rFonts w:ascii="Times New Roman" w:hAnsi="Times New Roman" w:cs="Times New Roman"/>
          <w:color w:val="000000" w:themeColor="text1"/>
          <w:sz w:val="24"/>
          <w:szCs w:val="24"/>
        </w:rPr>
        <w:t xml:space="preserve"> quality control products QCL and QCH; </w:t>
      </w:r>
      <w:r>
        <w:rPr>
          <w:rFonts w:ascii="Times New Roman" w:hAnsi="Times New Roman" w:cs="Times New Roman" w:hint="eastAsia"/>
          <w:color w:val="000000" w:themeColor="text1"/>
          <w:sz w:val="24"/>
          <w:szCs w:val="24"/>
        </w:rPr>
        <w:t>BA</w:t>
      </w:r>
      <w:r>
        <w:rPr>
          <w:rFonts w:ascii="Times New Roman" w:hAnsi="Times New Roman" w:cs="Times New Roman"/>
          <w:color w:val="000000" w:themeColor="text1"/>
          <w:sz w:val="24"/>
          <w:szCs w:val="24"/>
        </w:rPr>
        <w:t xml:space="preserve"> internal standard solution; </w:t>
      </w:r>
      <w:r>
        <w:rPr>
          <w:rFonts w:ascii="Times New Roman" w:eastAsia="DengXian" w:hAnsi="Times New Roman" w:cs="Times New Roman"/>
          <w:color w:val="000000" w:themeColor="text1"/>
          <w:sz w:val="24"/>
          <w:szCs w:val="24"/>
        </w:rPr>
        <w:t>and</w:t>
      </w:r>
      <w:r>
        <w:rPr>
          <w:rFonts w:ascii="Times New Roman" w:hAnsi="Times New Roman" w:cs="Times New Roman"/>
          <w:color w:val="000000" w:themeColor="text1"/>
          <w:sz w:val="24"/>
          <w:szCs w:val="24"/>
        </w:rPr>
        <w:t xml:space="preserve"> </w:t>
      </w:r>
      <w:r>
        <w:rPr>
          <w:rFonts w:ascii="Times New Roman" w:hAnsi="Times New Roman" w:cs="Times New Roman" w:hint="eastAsia"/>
          <w:color w:val="000000" w:themeColor="text1"/>
          <w:sz w:val="24"/>
          <w:szCs w:val="24"/>
        </w:rPr>
        <w:t>BA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lastRenderedPageBreak/>
        <w:t>mobile phase additives A and B. Isotopically labeled internal standards, inclu</w:t>
      </w:r>
      <w:r>
        <w:rPr>
          <w:rFonts w:ascii="Times New Roman" w:hAnsi="Times New Roman" w:cs="Times New Roman"/>
          <w:color w:val="000000" w:themeColor="text1"/>
          <w:sz w:val="24"/>
          <w:szCs w:val="24"/>
        </w:rPr>
        <w:t>ding d5-CA, d5-DCA, d5-GLCA, d5-TCA, d5-TLCA, d5-TCDCA, D5-TCDCA, d5-TUDCA, and d5-LCA, were procured from Shanghai Colimata Biomedical Technology Co</w:t>
      </w:r>
      <w:r>
        <w:rPr>
          <w:rFonts w:ascii="Times New Roman" w:eastAsia="DengXian" w:hAnsi="Times New Roman" w:cs="Times New Roman"/>
          <w:color w:val="000000" w:themeColor="text1"/>
          <w:sz w:val="24"/>
          <w:szCs w:val="24"/>
        </w:rPr>
        <w:t>, Ltd.</w:t>
      </w:r>
      <w:r>
        <w:rPr>
          <w:rFonts w:ascii="Times New Roman" w:hAnsi="Times New Roman" w:cs="Times New Roman" w:hint="eastAsia"/>
          <w:color w:val="000000" w:themeColor="text1"/>
          <w:sz w:val="24"/>
          <w:szCs w:val="24"/>
        </w:rPr>
        <w:t xml:space="preserve"> (</w:t>
      </w:r>
      <w:bookmarkStart w:id="3" w:name="OLE_LINK49"/>
      <w:r>
        <w:rPr>
          <w:rFonts w:ascii="Times New Roman" w:hAnsi="Times New Roman" w:cs="Times New Roman" w:hint="eastAsia"/>
          <w:color w:val="000000" w:themeColor="text1"/>
          <w:sz w:val="24"/>
          <w:szCs w:val="24"/>
        </w:rPr>
        <w:t>N</w:t>
      </w:r>
      <w:bookmarkEnd w:id="3"/>
      <w:r>
        <w:rPr>
          <w:rFonts w:ascii="Times New Roman" w:hAnsi="Times New Roman" w:cs="Times New Roman" w:hint="eastAsia"/>
          <w:color w:val="000000" w:themeColor="text1"/>
          <w:sz w:val="24"/>
          <w:szCs w:val="24"/>
        </w:rPr>
        <w:t>o. BIL190410AB)</w:t>
      </w:r>
      <w:r>
        <w:rPr>
          <w:rFonts w:ascii="Times New Roman" w:hAnsi="Times New Roman" w:cs="Times New Roman"/>
          <w:color w:val="000000" w:themeColor="text1"/>
          <w:sz w:val="24"/>
          <w:szCs w:val="24"/>
        </w:rPr>
        <w:t>. Chromatographic pure acetonitrile and methanol were obtained from Merck (Germany</w:t>
      </w:r>
      <w:r>
        <w:rPr>
          <w:rFonts w:ascii="Times New Roman" w:eastAsia="DengXian" w:hAnsi="Times New Roman" w:cs="Times New Roman"/>
          <w:color w:val="000000" w:themeColor="text1"/>
          <w:sz w:val="24"/>
          <w:szCs w:val="24"/>
        </w:rPr>
        <w:t>)</w:t>
      </w:r>
      <w:r>
        <w:rPr>
          <w:rFonts w:ascii="Times New Roman" w:hAnsi="Times New Roman" w:cs="Times New Roman" w:hint="eastAsia"/>
          <w:color w:val="000000" w:themeColor="text1"/>
          <w:sz w:val="24"/>
          <w:szCs w:val="24"/>
        </w:rPr>
        <w:t xml:space="preserve"> (No</w:t>
      </w:r>
      <w:r>
        <w:rPr>
          <w:rFonts w:ascii="Times New Roman" w:hAnsi="Times New Roman" w:cs="Times New Roman"/>
          <w:color w:val="000000" w:themeColor="text1"/>
          <w:sz w:val="24"/>
          <w:szCs w:val="24"/>
        </w:rPr>
        <w:t>s</w:t>
      </w:r>
      <w:r>
        <w:rPr>
          <w:rFonts w:ascii="Times New Roman" w:hAnsi="Times New Roman" w:cs="Times New Roman" w:hint="eastAsia"/>
          <w:color w:val="000000" w:themeColor="text1"/>
          <w:sz w:val="24"/>
          <w:szCs w:val="24"/>
        </w:rPr>
        <w:t>. 34851</w:t>
      </w:r>
      <w:r>
        <w:rPr>
          <w:rFonts w:ascii="Times New Roman" w:hAnsi="Times New Roman" w:cs="Times New Roman"/>
          <w:color w:val="000000" w:themeColor="text1"/>
          <w:sz w:val="24"/>
          <w:szCs w:val="24"/>
        </w:rPr>
        <w:t xml:space="preserve"> and</w:t>
      </w:r>
      <w:r>
        <w:rPr>
          <w:rFonts w:ascii="Times New Roman" w:hAnsi="Times New Roman" w:cs="Times New Roman" w:hint="eastAsia"/>
          <w:color w:val="000000" w:themeColor="text1"/>
          <w:sz w:val="24"/>
          <w:szCs w:val="24"/>
        </w:rPr>
        <w:t xml:space="preserve"> 34860)</w:t>
      </w:r>
      <w:r>
        <w:rPr>
          <w:rFonts w:ascii="Times New Roman" w:hAnsi="Times New Roman" w:cs="Times New Roman"/>
          <w:color w:val="000000" w:themeColor="text1"/>
          <w:sz w:val="24"/>
          <w:szCs w:val="24"/>
        </w:rPr>
        <w:t xml:space="preserve">. Chromatographic grade formic acid </w:t>
      </w:r>
      <w:r>
        <w:rPr>
          <w:rFonts w:ascii="Times New Roman" w:eastAsia="DengXian" w:hAnsi="Times New Roman" w:cs="Times New Roman"/>
          <w:color w:val="000000" w:themeColor="text1"/>
          <w:sz w:val="24"/>
          <w:szCs w:val="24"/>
        </w:rPr>
        <w:t>was obtained from Shanghai Aladdin Company</w:t>
      </w:r>
      <w:r>
        <w:rPr>
          <w:rFonts w:ascii="Times New Roman" w:hAnsi="Times New Roman" w:cs="Times New Roman" w:hint="eastAsia"/>
          <w:color w:val="000000" w:themeColor="text1"/>
          <w:sz w:val="24"/>
          <w:szCs w:val="24"/>
        </w:rPr>
        <w:t xml:space="preserve"> (No. F112031)</w:t>
      </w:r>
      <w:r>
        <w:rPr>
          <w:rFonts w:ascii="Times New Roman" w:hAnsi="Times New Roman" w:cs="Times New Roman"/>
          <w:color w:val="000000" w:themeColor="text1"/>
          <w:sz w:val="24"/>
          <w:szCs w:val="24"/>
        </w:rPr>
        <w:t xml:space="preserve"> and distilled water from Watsons.</w:t>
      </w:r>
    </w:p>
    <w:p w:rsidR="00EC5E61" w:rsidRDefault="00DD7ACF" w:rsidP="00AB1318">
      <w:pPr>
        <w:spacing w:before="240" w:after="120" w:line="360" w:lineRule="auto"/>
        <w:jc w:val="left"/>
        <w:rPr>
          <w:rFonts w:ascii="Times New Roman" w:hAnsi="Times New Roman" w:cs="Times New Roman"/>
          <w:b/>
          <w:bCs/>
          <w:i/>
          <w:iCs/>
          <w:color w:val="000000" w:themeColor="text1"/>
          <w:sz w:val="24"/>
          <w:szCs w:val="24"/>
        </w:rPr>
      </w:pPr>
      <w:r>
        <w:rPr>
          <w:rFonts w:ascii="Times New Roman" w:hAnsi="Times New Roman" w:cs="Times New Roman" w:hint="eastAsia"/>
          <w:b/>
          <w:bCs/>
          <w:i/>
          <w:iCs/>
          <w:color w:val="000000" w:themeColor="text1"/>
          <w:sz w:val="24"/>
          <w:szCs w:val="24"/>
        </w:rPr>
        <w:t>Sample Processing</w:t>
      </w:r>
    </w:p>
    <w:p w:rsidR="00EC5E61" w:rsidRDefault="00DD7ACF" w:rsidP="00AB1318">
      <w:pPr>
        <w:spacing w:line="360" w:lineRule="auto"/>
        <w:jc w:val="left"/>
        <w:rPr>
          <w:rFonts w:ascii="Times New Roman" w:hAnsi="Times New Roman" w:cs="Times New Roman"/>
          <w:color w:val="000000" w:themeColor="text1"/>
          <w:sz w:val="24"/>
          <w:szCs w:val="24"/>
        </w:rPr>
      </w:pPr>
      <w:r>
        <w:rPr>
          <w:rFonts w:ascii="Times" w:eastAsia="SimSun" w:hAnsi="Times" w:cs="Times New Roman" w:hint="eastAsia"/>
          <w:bCs/>
          <w:color w:val="000000" w:themeColor="text1"/>
          <w:sz w:val="24"/>
        </w:rPr>
        <w:t xml:space="preserve">In accordance with the experimental protocol, each serum sample (100 </w:t>
      </w:r>
      <w:r>
        <w:rPr>
          <w:rFonts w:ascii="Times New Roman" w:eastAsia="SimSun" w:hAnsi="Times New Roman" w:cs="Times New Roman"/>
          <w:bCs/>
          <w:color w:val="000000" w:themeColor="text1"/>
          <w:sz w:val="24"/>
        </w:rPr>
        <w:t>μ</w:t>
      </w:r>
      <w:r>
        <w:rPr>
          <w:rFonts w:ascii="Times" w:eastAsia="SimSun" w:hAnsi="Times" w:cs="Times New Roman" w:hint="eastAsia"/>
          <w:bCs/>
          <w:color w:val="000000" w:themeColor="text1"/>
          <w:sz w:val="24"/>
        </w:rPr>
        <w:t xml:space="preserve">L) was combined with calibrators and quality controls in a microcentrifuge tube, followed by the addition of 500 </w:t>
      </w:r>
      <w:r>
        <w:rPr>
          <w:rFonts w:ascii="Times New Roman" w:eastAsia="SimSun" w:hAnsi="Times New Roman" w:cs="Times New Roman"/>
          <w:bCs/>
          <w:color w:val="000000" w:themeColor="text1"/>
          <w:sz w:val="24"/>
        </w:rPr>
        <w:t>μ</w:t>
      </w:r>
      <w:r>
        <w:rPr>
          <w:rFonts w:ascii="Times" w:eastAsia="SimSun" w:hAnsi="Times" w:cs="Times New Roman" w:hint="eastAsia"/>
          <w:bCs/>
          <w:color w:val="000000" w:themeColor="text1"/>
          <w:sz w:val="24"/>
        </w:rPr>
        <w:t>L isotope-labeled standard extraction solution. The mixture was homogenized by vortexing at 2000 rpm for 5 min and centrifuged at 13,000 rpm f</w:t>
      </w:r>
      <w:r>
        <w:rPr>
          <w:rFonts w:ascii="Times" w:eastAsia="SimSun" w:hAnsi="Times" w:cs="Times New Roman" w:hint="eastAsia"/>
          <w:bCs/>
          <w:color w:val="000000" w:themeColor="text1"/>
          <w:sz w:val="24"/>
        </w:rPr>
        <w:t>or 5 min. Subsequently, the supernatant was transferred to a 96-well plate, dried under a nitrogen stream at 50</w:t>
      </w:r>
      <w:r>
        <w:rPr>
          <w:rFonts w:ascii="Times New Roman" w:eastAsia="SimSun" w:hAnsi="Times New Roman" w:cs="Times New Roman"/>
          <w:bCs/>
          <w:color w:val="000000" w:themeColor="text1"/>
          <w:sz w:val="24"/>
        </w:rPr>
        <w:t>°</w:t>
      </w:r>
      <w:r>
        <w:rPr>
          <w:rFonts w:ascii="Times" w:eastAsia="SimSun" w:hAnsi="Times" w:cs="Times New Roman" w:hint="eastAsia"/>
          <w:bCs/>
          <w:color w:val="000000" w:themeColor="text1"/>
          <w:sz w:val="24"/>
        </w:rPr>
        <w:t xml:space="preserve">C, and reconstituted with 100 </w:t>
      </w:r>
      <w:r>
        <w:rPr>
          <w:rFonts w:ascii="Times New Roman" w:eastAsia="SimSun" w:hAnsi="Times New Roman" w:cs="Times New Roman"/>
          <w:bCs/>
          <w:color w:val="000000" w:themeColor="text1"/>
          <w:sz w:val="24"/>
        </w:rPr>
        <w:t>μ</w:t>
      </w:r>
      <w:r>
        <w:rPr>
          <w:rFonts w:ascii="Times" w:eastAsia="SimSun" w:hAnsi="Times" w:cs="Times New Roman" w:hint="eastAsia"/>
          <w:bCs/>
          <w:color w:val="000000" w:themeColor="text1"/>
          <w:sz w:val="24"/>
        </w:rPr>
        <w:t>L bile acid reconstitution solution via vortexing at 600 rpm for 5 min. The reconstituted solution was filtered u</w:t>
      </w:r>
      <w:r>
        <w:rPr>
          <w:rFonts w:ascii="Times" w:eastAsia="SimSun" w:hAnsi="Times" w:cs="Times New Roman" w:hint="eastAsia"/>
          <w:bCs/>
          <w:color w:val="000000" w:themeColor="text1"/>
          <w:sz w:val="24"/>
        </w:rPr>
        <w:t>sing a 96-well protein precipitation plate (4000 rpm, 2 min) and subjected to LC-MS/MS analysis for quantification.</w:t>
      </w:r>
    </w:p>
    <w:p w:rsidR="00EC5E61" w:rsidRDefault="00DD7ACF" w:rsidP="00AB1318">
      <w:pPr>
        <w:spacing w:before="240" w:after="120" w:line="360" w:lineRule="auto"/>
        <w:jc w:val="left"/>
        <w:rPr>
          <w:rFonts w:ascii="Times New Roman" w:hAnsi="Times New Roman" w:cs="Times New Roman"/>
          <w:b/>
          <w:bCs/>
          <w:i/>
          <w:iCs/>
          <w:color w:val="000000" w:themeColor="text1"/>
          <w:sz w:val="24"/>
          <w:szCs w:val="24"/>
        </w:rPr>
      </w:pPr>
      <w:bookmarkStart w:id="4" w:name="OLE_LINK63"/>
      <w:r>
        <w:rPr>
          <w:rFonts w:ascii="Times New Roman" w:hAnsi="Times New Roman" w:cs="Times New Roman" w:hint="eastAsia"/>
          <w:b/>
          <w:bCs/>
          <w:i/>
          <w:iCs/>
          <w:color w:val="000000" w:themeColor="text1"/>
          <w:sz w:val="24"/>
          <w:szCs w:val="24"/>
        </w:rPr>
        <w:t>LC-MS Analysis</w:t>
      </w:r>
    </w:p>
    <w:p w:rsidR="00EC5E61" w:rsidRDefault="00DD7ACF" w:rsidP="00AB1318">
      <w:pPr>
        <w:spacing w:before="120" w:line="360" w:lineRule="auto"/>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UPLC </w:t>
      </w:r>
      <w:r>
        <w:rPr>
          <w:rFonts w:ascii="Times New Roman" w:hAnsi="Times New Roman" w:cs="Times New Roman" w:hint="eastAsia"/>
          <w:color w:val="000000" w:themeColor="text1"/>
          <w:sz w:val="24"/>
          <w:szCs w:val="24"/>
        </w:rPr>
        <w:t>M</w:t>
      </w:r>
      <w:r>
        <w:rPr>
          <w:rFonts w:ascii="Times New Roman" w:hAnsi="Times New Roman" w:cs="Times New Roman"/>
          <w:color w:val="000000" w:themeColor="text1"/>
          <w:sz w:val="24"/>
          <w:szCs w:val="24"/>
        </w:rPr>
        <w:t xml:space="preserve">obile </w:t>
      </w:r>
      <w:r>
        <w:rPr>
          <w:rFonts w:ascii="Times New Roman" w:hAnsi="Times New Roman" w:cs="Times New Roman" w:hint="eastAsia"/>
          <w:color w:val="000000" w:themeColor="text1"/>
          <w:sz w:val="24"/>
          <w:szCs w:val="24"/>
        </w:rPr>
        <w:t>P</w:t>
      </w:r>
      <w:r>
        <w:rPr>
          <w:rFonts w:ascii="Times New Roman" w:hAnsi="Times New Roman" w:cs="Times New Roman"/>
          <w:color w:val="000000" w:themeColor="text1"/>
          <w:sz w:val="24"/>
          <w:szCs w:val="24"/>
        </w:rPr>
        <w:t>hase</w:t>
      </w:r>
    </w:p>
    <w:p w:rsidR="00EC5E61" w:rsidRDefault="00DD7ACF" w:rsidP="00AB1318">
      <w:pPr>
        <w:spacing w:afterLines="20" w:after="62" w:line="360" w:lineRule="auto"/>
        <w:jc w:val="left"/>
        <w:rPr>
          <w:rFonts w:ascii="Times New Roman" w:hAnsi="Times New Roman" w:cs="Times New Roman"/>
          <w:color w:val="000000" w:themeColor="text1"/>
          <w:sz w:val="24"/>
          <w:szCs w:val="24"/>
        </w:rPr>
      </w:pPr>
      <w:r>
        <w:rPr>
          <w:rFonts w:ascii="Times" w:eastAsia="SimSun" w:hAnsi="Times" w:cs="Times New Roman" w:hint="eastAsia"/>
          <w:bCs/>
          <w:color w:val="000000" w:themeColor="text1"/>
          <w:sz w:val="24"/>
        </w:rPr>
        <w:t>T</w:t>
      </w:r>
      <w:r>
        <w:rPr>
          <w:rStyle w:val="Strong"/>
          <w:rFonts w:ascii="Times New Roman" w:eastAsia="SimSun" w:hAnsi="Times New Roman" w:cs="Times New Roman" w:hint="eastAsia"/>
          <w:b w:val="0"/>
          <w:bCs/>
          <w:color w:val="000000" w:themeColor="text1"/>
          <w:sz w:val="24"/>
          <w:szCs w:val="24"/>
        </w:rPr>
        <w:t>he binary mobile phase consisted of eluent A (0.1 % formic acid in water, v/v) and eluent B (methanol).</w:t>
      </w:r>
    </w:p>
    <w:p w:rsidR="00EC5E61" w:rsidRDefault="00DD7ACF" w:rsidP="00AB1318">
      <w:pPr>
        <w:spacing w:before="120" w:line="360" w:lineRule="auto"/>
        <w:jc w:val="left"/>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rPr>
        <w:t>Chromatographic Column</w:t>
      </w:r>
    </w:p>
    <w:p w:rsidR="00EC5E61" w:rsidRDefault="00DD7ACF" w:rsidP="00AB1318">
      <w:pPr>
        <w:spacing w:afterLines="20" w:after="62" w:line="360" w:lineRule="auto"/>
        <w:jc w:val="left"/>
        <w:rPr>
          <w:rFonts w:ascii="Times New Roman" w:eastAsia="SimSun" w:hAnsi="Times New Roman" w:cs="Times New Roman"/>
          <w:b/>
          <w:bCs/>
          <w:color w:val="000000" w:themeColor="text1"/>
          <w:sz w:val="24"/>
          <w:szCs w:val="24"/>
        </w:rPr>
      </w:pPr>
      <w:r>
        <w:rPr>
          <w:rFonts w:ascii="Times New Roman" w:hAnsi="Times New Roman" w:cs="Times New Roman" w:hint="eastAsia"/>
          <w:color w:val="000000" w:themeColor="text1"/>
          <w:sz w:val="24"/>
          <w:szCs w:val="24"/>
        </w:rPr>
        <w:t xml:space="preserve">Chromatographic separation was carried out on a Waters Acquity UPLC BEH C18 column (2.1 </w:t>
      </w:r>
      <w:r>
        <w:rPr>
          <w:rFonts w:ascii="Times New Roman" w:hAnsi="Times New Roman" w:cs="Times New Roman" w:hint="eastAsia"/>
          <w:color w:val="000000" w:themeColor="text1"/>
          <w:sz w:val="24"/>
          <w:szCs w:val="24"/>
        </w:rPr>
        <w:t>×</w:t>
      </w:r>
      <w:r>
        <w:rPr>
          <w:rFonts w:ascii="Times New Roman" w:hAnsi="Times New Roman" w:cs="Times New Roman" w:hint="eastAsia"/>
          <w:color w:val="000000" w:themeColor="text1"/>
          <w:sz w:val="24"/>
          <w:szCs w:val="24"/>
        </w:rPr>
        <w:t xml:space="preserve"> 100 mm, 1.7 </w:t>
      </w:r>
      <w:r>
        <w:rPr>
          <w:rFonts w:ascii="Times New Roman" w:hAnsi="Times New Roman" w:cs="Times New Roman"/>
          <w:color w:val="000000" w:themeColor="text1"/>
          <w:sz w:val="24"/>
          <w:szCs w:val="24"/>
        </w:rPr>
        <w:t>μ</w:t>
      </w:r>
      <w:r>
        <w:rPr>
          <w:rFonts w:ascii="Times New Roman" w:hAnsi="Times New Roman" w:cs="Times New Roman" w:hint="eastAsia"/>
          <w:color w:val="000000" w:themeColor="text1"/>
          <w:sz w:val="24"/>
          <w:szCs w:val="24"/>
        </w:rPr>
        <w:t>m).</w:t>
      </w:r>
    </w:p>
    <w:bookmarkEnd w:id="4"/>
    <w:p w:rsidR="00EC5E61" w:rsidRDefault="00DD7ACF" w:rsidP="00AB1318">
      <w:pPr>
        <w:spacing w:before="120" w:line="360" w:lineRule="auto"/>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Mass Spectrometry Conditions </w:t>
      </w:r>
    </w:p>
    <w:p w:rsidR="00EC5E61" w:rsidRDefault="00DD7ACF" w:rsidP="00AB1318">
      <w:pPr>
        <w:spacing w:line="360" w:lineRule="auto"/>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analysis utilized </w:t>
      </w:r>
      <w:r>
        <w:rPr>
          <w:rFonts w:ascii="Times New Roman" w:eastAsia="DengXian" w:hAnsi="Times New Roman" w:cs="Times New Roman"/>
          <w:color w:val="000000" w:themeColor="text1"/>
          <w:sz w:val="24"/>
          <w:szCs w:val="24"/>
        </w:rPr>
        <w:t xml:space="preserve">an electrospray ion source with negative ion multiple reaction monitoring </w:t>
      </w:r>
      <w:r>
        <w:rPr>
          <w:rFonts w:ascii="Times New Roman" w:eastAsia="DengXian" w:hAnsi="Times New Roman" w:cs="Times New Roman"/>
          <w:color w:val="000000" w:themeColor="text1"/>
          <w:sz w:val="24"/>
          <w:szCs w:val="24"/>
        </w:rPr>
        <w:t xml:space="preserve">scanning. The ion source parameters were as follows: atomization gas </w:t>
      </w:r>
      <w:r>
        <w:rPr>
          <w:rFonts w:ascii="Times New Roman" w:eastAsia="DengXian" w:hAnsi="Times New Roman" w:cs="Times New Roman"/>
          <w:color w:val="000000" w:themeColor="text1"/>
          <w:sz w:val="24"/>
          <w:szCs w:val="24"/>
        </w:rPr>
        <w:lastRenderedPageBreak/>
        <w:t>(Gas1): 60 psi; air curtain gas (CUR): 20 psi; impact gas (CAD): 8; auxiliary heating gas (Gas2): 65 psi; ion source voltage (IS): -4500v; and ion source temperature (TEM): 600℃.</w:t>
      </w:r>
      <w:r>
        <w:rPr>
          <w:rFonts w:ascii="Times New Roman" w:hAnsi="Times New Roman" w:cs="Times New Roman" w:hint="eastAsia"/>
          <w:color w:val="000000" w:themeColor="text1"/>
          <w:sz w:val="24"/>
          <w:szCs w:val="24"/>
        </w:rPr>
        <w:t xml:space="preserve"> </w:t>
      </w:r>
    </w:p>
    <w:p w:rsidR="00EC5E61" w:rsidRDefault="00DD7ACF" w:rsidP="00AB1318">
      <w:pPr>
        <w:spacing w:before="120" w:line="360" w:lineRule="auto"/>
        <w:jc w:val="left"/>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rPr>
        <w:t>The Ion</w:t>
      </w:r>
      <w:r>
        <w:rPr>
          <w:rFonts w:ascii="Times New Roman" w:hAnsi="Times New Roman" w:cs="Times New Roman" w:hint="eastAsia"/>
          <w:color w:val="000000" w:themeColor="text1"/>
          <w:sz w:val="24"/>
          <w:szCs w:val="24"/>
        </w:rPr>
        <w:t xml:space="preserve"> Channel Parameters</w:t>
      </w:r>
    </w:p>
    <w:p w:rsidR="00EC5E61" w:rsidRDefault="00DD7ACF" w:rsidP="00AB1318">
      <w:pPr>
        <w:spacing w:line="360" w:lineRule="auto"/>
        <w:jc w:val="left"/>
        <w:rPr>
          <w:rFonts w:ascii="Times" w:eastAsia="SimSun" w:hAnsi="Times" w:cs="Times New Roman"/>
          <w:b/>
          <w:bCs/>
          <w:color w:val="000000" w:themeColor="text1"/>
        </w:rPr>
      </w:pPr>
      <w:r>
        <w:rPr>
          <w:rStyle w:val="Strong"/>
          <w:rFonts w:ascii="Times New Roman" w:eastAsia="SimSun" w:hAnsi="Times New Roman" w:cs="Times New Roman" w:hint="eastAsia"/>
          <w:b w:val="0"/>
          <w:bCs/>
          <w:color w:val="000000" w:themeColor="text1"/>
          <w:sz w:val="24"/>
          <w:szCs w:val="24"/>
        </w:rPr>
        <w:t>Supplementary table 1</w:t>
      </w:r>
      <w:r>
        <w:rPr>
          <w:rFonts w:ascii="Times" w:eastAsia="SimSun" w:hAnsi="Times" w:cs="Times New Roman"/>
          <w:b/>
          <w:bCs/>
          <w:color w:val="000000" w:themeColor="text1"/>
        </w:rPr>
        <w:t xml:space="preserve"> </w:t>
      </w:r>
      <w:r>
        <w:rPr>
          <w:rStyle w:val="Strong"/>
          <w:rFonts w:ascii="Times New Roman" w:eastAsia="SimSun" w:hAnsi="Times New Roman" w:cs="Times New Roman" w:hint="eastAsia"/>
          <w:b w:val="0"/>
          <w:bCs/>
          <w:color w:val="000000" w:themeColor="text1"/>
          <w:sz w:val="24"/>
          <w:szCs w:val="24"/>
        </w:rPr>
        <w:t>Q1/Q3 ion channel parameters for each bile acid</w:t>
      </w:r>
    </w:p>
    <w:tbl>
      <w:tblPr>
        <w:tblStyle w:val="TableGrid"/>
        <w:tblW w:w="3823" w:type="pct"/>
        <w:jc w:val="center"/>
        <w:tblBorders>
          <w:top w:val="single" w:sz="12"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983"/>
        <w:gridCol w:w="2834"/>
        <w:gridCol w:w="1265"/>
        <w:gridCol w:w="1269"/>
      </w:tblGrid>
      <w:tr w:rsidR="00EC5E61">
        <w:trPr>
          <w:trHeight w:val="469"/>
          <w:tblHeader/>
          <w:jc w:val="center"/>
        </w:trPr>
        <w:tc>
          <w:tcPr>
            <w:tcW w:w="774" w:type="pct"/>
            <w:tcBorders>
              <w:bottom w:val="single" w:sz="4" w:space="0" w:color="auto"/>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hint="eastAsia"/>
                <w:color w:val="000000" w:themeColor="text1"/>
                <w:kern w:val="0"/>
                <w:sz w:val="22"/>
              </w:rPr>
              <w:t>No.</w:t>
            </w:r>
          </w:p>
        </w:tc>
        <w:tc>
          <w:tcPr>
            <w:tcW w:w="2230" w:type="pct"/>
            <w:tcBorders>
              <w:bottom w:val="single" w:sz="4" w:space="0" w:color="auto"/>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hint="eastAsia"/>
                <w:color w:val="000000" w:themeColor="text1"/>
                <w:kern w:val="0"/>
                <w:sz w:val="22"/>
              </w:rPr>
              <w:t>Compound</w:t>
            </w:r>
          </w:p>
        </w:tc>
        <w:tc>
          <w:tcPr>
            <w:tcW w:w="995" w:type="pct"/>
            <w:tcBorders>
              <w:bottom w:val="single" w:sz="4" w:space="0" w:color="auto"/>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Q1</w:t>
            </w:r>
            <w:r>
              <w:rPr>
                <w:rFonts w:ascii="Times" w:eastAsia="SimSun" w:hAnsi="Times" w:cs="Times New Roman" w:hint="eastAsia"/>
                <w:color w:val="000000" w:themeColor="text1"/>
                <w:kern w:val="0"/>
                <w:sz w:val="22"/>
              </w:rPr>
              <w:t xml:space="preserve"> </w:t>
            </w:r>
            <w:r>
              <w:rPr>
                <w:rFonts w:ascii="Times" w:eastAsia="SimSun" w:hAnsi="Times" w:cs="Times New Roman"/>
                <w:color w:val="000000" w:themeColor="text1"/>
                <w:kern w:val="0"/>
                <w:sz w:val="22"/>
              </w:rPr>
              <w:t>(amu)</w:t>
            </w:r>
          </w:p>
        </w:tc>
        <w:tc>
          <w:tcPr>
            <w:tcW w:w="998" w:type="pct"/>
            <w:tcBorders>
              <w:bottom w:val="single" w:sz="4" w:space="0" w:color="auto"/>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Q3</w:t>
            </w:r>
            <w:r>
              <w:rPr>
                <w:rFonts w:ascii="Times" w:eastAsia="SimSun" w:hAnsi="Times" w:cs="Times New Roman" w:hint="eastAsia"/>
                <w:color w:val="000000" w:themeColor="text1"/>
                <w:kern w:val="0"/>
                <w:sz w:val="22"/>
              </w:rPr>
              <w:t xml:space="preserve"> </w:t>
            </w:r>
            <w:r>
              <w:rPr>
                <w:rFonts w:ascii="Times" w:eastAsia="SimSun" w:hAnsi="Times" w:cs="Times New Roman"/>
                <w:color w:val="000000" w:themeColor="text1"/>
                <w:kern w:val="0"/>
                <w:sz w:val="22"/>
              </w:rPr>
              <w:t>(amu)</w:t>
            </w:r>
          </w:p>
        </w:tc>
      </w:tr>
      <w:tr w:rsidR="00EC5E61">
        <w:trPr>
          <w:trHeight w:val="429"/>
          <w:jc w:val="center"/>
        </w:trPr>
        <w:tc>
          <w:tcPr>
            <w:tcW w:w="774" w:type="pct"/>
            <w:tcBorders>
              <w:top w:val="single" w:sz="4" w:space="0" w:color="auto"/>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1</w:t>
            </w:r>
          </w:p>
        </w:tc>
        <w:tc>
          <w:tcPr>
            <w:tcW w:w="2230" w:type="pct"/>
            <w:tcBorders>
              <w:top w:val="single" w:sz="4" w:space="0" w:color="auto"/>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CA</w:t>
            </w:r>
          </w:p>
        </w:tc>
        <w:tc>
          <w:tcPr>
            <w:tcW w:w="995" w:type="pct"/>
            <w:tcBorders>
              <w:top w:val="single" w:sz="4" w:space="0" w:color="auto"/>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407.1</w:t>
            </w:r>
          </w:p>
        </w:tc>
        <w:tc>
          <w:tcPr>
            <w:tcW w:w="998" w:type="pct"/>
            <w:tcBorders>
              <w:top w:val="single" w:sz="4" w:space="0" w:color="auto"/>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407.1</w:t>
            </w:r>
          </w:p>
        </w:tc>
      </w:tr>
      <w:tr w:rsidR="00EC5E61">
        <w:trPr>
          <w:trHeight w:val="409"/>
          <w:jc w:val="center"/>
        </w:trPr>
        <w:tc>
          <w:tcPr>
            <w:tcW w:w="774"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2</w:t>
            </w:r>
          </w:p>
        </w:tc>
        <w:tc>
          <w:tcPr>
            <w:tcW w:w="2230"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DCA</w:t>
            </w:r>
          </w:p>
        </w:tc>
        <w:tc>
          <w:tcPr>
            <w:tcW w:w="995"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391.1</w:t>
            </w:r>
          </w:p>
        </w:tc>
        <w:tc>
          <w:tcPr>
            <w:tcW w:w="998"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391.1</w:t>
            </w:r>
          </w:p>
        </w:tc>
      </w:tr>
      <w:tr w:rsidR="00EC5E61">
        <w:trPr>
          <w:trHeight w:val="409"/>
          <w:jc w:val="center"/>
        </w:trPr>
        <w:tc>
          <w:tcPr>
            <w:tcW w:w="774"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3</w:t>
            </w:r>
          </w:p>
        </w:tc>
        <w:tc>
          <w:tcPr>
            <w:tcW w:w="2230"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CDCA</w:t>
            </w:r>
          </w:p>
        </w:tc>
        <w:tc>
          <w:tcPr>
            <w:tcW w:w="995"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391.2</w:t>
            </w:r>
          </w:p>
        </w:tc>
        <w:tc>
          <w:tcPr>
            <w:tcW w:w="998"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391.1</w:t>
            </w:r>
          </w:p>
        </w:tc>
      </w:tr>
      <w:tr w:rsidR="00EC5E61">
        <w:trPr>
          <w:trHeight w:val="409"/>
          <w:jc w:val="center"/>
        </w:trPr>
        <w:tc>
          <w:tcPr>
            <w:tcW w:w="774"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4</w:t>
            </w:r>
          </w:p>
        </w:tc>
        <w:tc>
          <w:tcPr>
            <w:tcW w:w="2230"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UDCA</w:t>
            </w:r>
          </w:p>
        </w:tc>
        <w:tc>
          <w:tcPr>
            <w:tcW w:w="995"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391.1</w:t>
            </w:r>
          </w:p>
        </w:tc>
        <w:tc>
          <w:tcPr>
            <w:tcW w:w="998"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391.2</w:t>
            </w:r>
          </w:p>
        </w:tc>
      </w:tr>
      <w:tr w:rsidR="00EC5E61">
        <w:trPr>
          <w:trHeight w:val="409"/>
          <w:jc w:val="center"/>
        </w:trPr>
        <w:tc>
          <w:tcPr>
            <w:tcW w:w="774"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5</w:t>
            </w:r>
          </w:p>
        </w:tc>
        <w:tc>
          <w:tcPr>
            <w:tcW w:w="2230"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LCA</w:t>
            </w:r>
          </w:p>
        </w:tc>
        <w:tc>
          <w:tcPr>
            <w:tcW w:w="995"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375.1</w:t>
            </w:r>
          </w:p>
        </w:tc>
        <w:tc>
          <w:tcPr>
            <w:tcW w:w="998"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375.1</w:t>
            </w:r>
          </w:p>
        </w:tc>
      </w:tr>
      <w:tr w:rsidR="00EC5E61">
        <w:trPr>
          <w:trHeight w:val="409"/>
          <w:jc w:val="center"/>
        </w:trPr>
        <w:tc>
          <w:tcPr>
            <w:tcW w:w="774"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6</w:t>
            </w:r>
          </w:p>
        </w:tc>
        <w:tc>
          <w:tcPr>
            <w:tcW w:w="2230"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GCA</w:t>
            </w:r>
          </w:p>
        </w:tc>
        <w:tc>
          <w:tcPr>
            <w:tcW w:w="995"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464.1</w:t>
            </w:r>
          </w:p>
        </w:tc>
        <w:tc>
          <w:tcPr>
            <w:tcW w:w="998"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74.0</w:t>
            </w:r>
          </w:p>
        </w:tc>
      </w:tr>
      <w:tr w:rsidR="00EC5E61">
        <w:trPr>
          <w:trHeight w:val="409"/>
          <w:jc w:val="center"/>
        </w:trPr>
        <w:tc>
          <w:tcPr>
            <w:tcW w:w="774"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7</w:t>
            </w:r>
          </w:p>
        </w:tc>
        <w:tc>
          <w:tcPr>
            <w:tcW w:w="2230"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GLCA</w:t>
            </w:r>
          </w:p>
        </w:tc>
        <w:tc>
          <w:tcPr>
            <w:tcW w:w="995"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432.4</w:t>
            </w:r>
          </w:p>
        </w:tc>
        <w:tc>
          <w:tcPr>
            <w:tcW w:w="998"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74.2</w:t>
            </w:r>
          </w:p>
        </w:tc>
      </w:tr>
      <w:tr w:rsidR="00EC5E61">
        <w:trPr>
          <w:trHeight w:val="429"/>
          <w:jc w:val="center"/>
        </w:trPr>
        <w:tc>
          <w:tcPr>
            <w:tcW w:w="774"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8</w:t>
            </w:r>
          </w:p>
        </w:tc>
        <w:tc>
          <w:tcPr>
            <w:tcW w:w="2230"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GDCA</w:t>
            </w:r>
          </w:p>
        </w:tc>
        <w:tc>
          <w:tcPr>
            <w:tcW w:w="995"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448.2</w:t>
            </w:r>
          </w:p>
        </w:tc>
        <w:tc>
          <w:tcPr>
            <w:tcW w:w="998"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74.1</w:t>
            </w:r>
          </w:p>
        </w:tc>
      </w:tr>
      <w:tr w:rsidR="00EC5E61">
        <w:trPr>
          <w:trHeight w:val="409"/>
          <w:jc w:val="center"/>
        </w:trPr>
        <w:tc>
          <w:tcPr>
            <w:tcW w:w="774"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9</w:t>
            </w:r>
          </w:p>
        </w:tc>
        <w:tc>
          <w:tcPr>
            <w:tcW w:w="2230"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GCDCA</w:t>
            </w:r>
          </w:p>
        </w:tc>
        <w:tc>
          <w:tcPr>
            <w:tcW w:w="995"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448.2</w:t>
            </w:r>
          </w:p>
        </w:tc>
        <w:tc>
          <w:tcPr>
            <w:tcW w:w="998"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74.0</w:t>
            </w:r>
          </w:p>
        </w:tc>
      </w:tr>
      <w:tr w:rsidR="00EC5E61">
        <w:trPr>
          <w:trHeight w:val="409"/>
          <w:jc w:val="center"/>
        </w:trPr>
        <w:tc>
          <w:tcPr>
            <w:tcW w:w="774"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10</w:t>
            </w:r>
          </w:p>
        </w:tc>
        <w:tc>
          <w:tcPr>
            <w:tcW w:w="2230"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GUDCA</w:t>
            </w:r>
          </w:p>
        </w:tc>
        <w:tc>
          <w:tcPr>
            <w:tcW w:w="995"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448.1</w:t>
            </w:r>
          </w:p>
        </w:tc>
        <w:tc>
          <w:tcPr>
            <w:tcW w:w="998"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74.0</w:t>
            </w:r>
          </w:p>
        </w:tc>
      </w:tr>
      <w:tr w:rsidR="00EC5E61">
        <w:trPr>
          <w:trHeight w:val="409"/>
          <w:jc w:val="center"/>
        </w:trPr>
        <w:tc>
          <w:tcPr>
            <w:tcW w:w="774"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11</w:t>
            </w:r>
          </w:p>
        </w:tc>
        <w:tc>
          <w:tcPr>
            <w:tcW w:w="2230"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TCA</w:t>
            </w:r>
          </w:p>
        </w:tc>
        <w:tc>
          <w:tcPr>
            <w:tcW w:w="995"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514.1</w:t>
            </w:r>
          </w:p>
        </w:tc>
        <w:tc>
          <w:tcPr>
            <w:tcW w:w="998"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80.1</w:t>
            </w:r>
          </w:p>
        </w:tc>
      </w:tr>
      <w:tr w:rsidR="00EC5E61">
        <w:trPr>
          <w:trHeight w:val="409"/>
          <w:jc w:val="center"/>
        </w:trPr>
        <w:tc>
          <w:tcPr>
            <w:tcW w:w="774"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12</w:t>
            </w:r>
          </w:p>
        </w:tc>
        <w:tc>
          <w:tcPr>
            <w:tcW w:w="2230"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TLCA</w:t>
            </w:r>
          </w:p>
        </w:tc>
        <w:tc>
          <w:tcPr>
            <w:tcW w:w="995"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482.0</w:t>
            </w:r>
          </w:p>
        </w:tc>
        <w:tc>
          <w:tcPr>
            <w:tcW w:w="998" w:type="pct"/>
            <w:tcBorders>
              <w:tl2br w:val="nil"/>
              <w:tr2bl w:val="nil"/>
            </w:tcBorders>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79.9</w:t>
            </w:r>
          </w:p>
        </w:tc>
      </w:tr>
      <w:tr w:rsidR="00EC5E61">
        <w:trPr>
          <w:trHeight w:val="409"/>
          <w:jc w:val="center"/>
        </w:trPr>
        <w:tc>
          <w:tcPr>
            <w:tcW w:w="774"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13</w:t>
            </w:r>
          </w:p>
        </w:tc>
        <w:tc>
          <w:tcPr>
            <w:tcW w:w="2230"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TDCA</w:t>
            </w:r>
          </w:p>
        </w:tc>
        <w:tc>
          <w:tcPr>
            <w:tcW w:w="995"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498.1</w:t>
            </w:r>
          </w:p>
        </w:tc>
        <w:tc>
          <w:tcPr>
            <w:tcW w:w="998"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80.1</w:t>
            </w:r>
          </w:p>
        </w:tc>
      </w:tr>
      <w:tr w:rsidR="00EC5E61">
        <w:trPr>
          <w:trHeight w:val="409"/>
          <w:jc w:val="center"/>
        </w:trPr>
        <w:tc>
          <w:tcPr>
            <w:tcW w:w="774"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14</w:t>
            </w:r>
          </w:p>
        </w:tc>
        <w:tc>
          <w:tcPr>
            <w:tcW w:w="2230"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TCDCA</w:t>
            </w:r>
          </w:p>
        </w:tc>
        <w:tc>
          <w:tcPr>
            <w:tcW w:w="995"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498.1</w:t>
            </w:r>
          </w:p>
        </w:tc>
        <w:tc>
          <w:tcPr>
            <w:tcW w:w="998"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80.0</w:t>
            </w:r>
          </w:p>
        </w:tc>
      </w:tr>
      <w:tr w:rsidR="00EC5E61">
        <w:trPr>
          <w:trHeight w:val="409"/>
          <w:jc w:val="center"/>
        </w:trPr>
        <w:tc>
          <w:tcPr>
            <w:tcW w:w="774"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15</w:t>
            </w:r>
          </w:p>
        </w:tc>
        <w:tc>
          <w:tcPr>
            <w:tcW w:w="2230"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TUDCA</w:t>
            </w:r>
          </w:p>
        </w:tc>
        <w:tc>
          <w:tcPr>
            <w:tcW w:w="995"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498.1</w:t>
            </w:r>
          </w:p>
        </w:tc>
        <w:tc>
          <w:tcPr>
            <w:tcW w:w="998"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79.9</w:t>
            </w:r>
          </w:p>
        </w:tc>
      </w:tr>
      <w:tr w:rsidR="00EC5E61">
        <w:trPr>
          <w:trHeight w:val="409"/>
          <w:jc w:val="center"/>
        </w:trPr>
        <w:tc>
          <w:tcPr>
            <w:tcW w:w="774"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16</w:t>
            </w:r>
          </w:p>
        </w:tc>
        <w:tc>
          <w:tcPr>
            <w:tcW w:w="2230"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CA-d5</w:t>
            </w:r>
          </w:p>
        </w:tc>
        <w:tc>
          <w:tcPr>
            <w:tcW w:w="995"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412.4</w:t>
            </w:r>
          </w:p>
        </w:tc>
        <w:tc>
          <w:tcPr>
            <w:tcW w:w="998"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412.4</w:t>
            </w:r>
          </w:p>
        </w:tc>
      </w:tr>
      <w:tr w:rsidR="00EC5E61">
        <w:trPr>
          <w:trHeight w:val="409"/>
          <w:jc w:val="center"/>
        </w:trPr>
        <w:tc>
          <w:tcPr>
            <w:tcW w:w="774"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17</w:t>
            </w:r>
          </w:p>
        </w:tc>
        <w:tc>
          <w:tcPr>
            <w:tcW w:w="2230"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DCA-d5</w:t>
            </w:r>
          </w:p>
        </w:tc>
        <w:tc>
          <w:tcPr>
            <w:tcW w:w="995"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396.3</w:t>
            </w:r>
          </w:p>
        </w:tc>
        <w:tc>
          <w:tcPr>
            <w:tcW w:w="998"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396.3</w:t>
            </w:r>
          </w:p>
        </w:tc>
      </w:tr>
      <w:tr w:rsidR="00EC5E61">
        <w:trPr>
          <w:trHeight w:val="409"/>
          <w:jc w:val="center"/>
        </w:trPr>
        <w:tc>
          <w:tcPr>
            <w:tcW w:w="774"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18</w:t>
            </w:r>
          </w:p>
        </w:tc>
        <w:tc>
          <w:tcPr>
            <w:tcW w:w="2230"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LCA-d4</w:t>
            </w:r>
          </w:p>
        </w:tc>
        <w:tc>
          <w:tcPr>
            <w:tcW w:w="995"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379.3</w:t>
            </w:r>
          </w:p>
        </w:tc>
        <w:tc>
          <w:tcPr>
            <w:tcW w:w="998"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379.5</w:t>
            </w:r>
          </w:p>
        </w:tc>
      </w:tr>
      <w:tr w:rsidR="00EC5E61">
        <w:trPr>
          <w:trHeight w:val="409"/>
          <w:jc w:val="center"/>
        </w:trPr>
        <w:tc>
          <w:tcPr>
            <w:tcW w:w="774"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19</w:t>
            </w:r>
          </w:p>
        </w:tc>
        <w:tc>
          <w:tcPr>
            <w:tcW w:w="2230"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GLCA-d4</w:t>
            </w:r>
          </w:p>
        </w:tc>
        <w:tc>
          <w:tcPr>
            <w:tcW w:w="995"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436.4</w:t>
            </w:r>
          </w:p>
        </w:tc>
        <w:tc>
          <w:tcPr>
            <w:tcW w:w="998"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74.2</w:t>
            </w:r>
          </w:p>
        </w:tc>
      </w:tr>
      <w:tr w:rsidR="00EC5E61">
        <w:trPr>
          <w:trHeight w:val="409"/>
          <w:jc w:val="center"/>
        </w:trPr>
        <w:tc>
          <w:tcPr>
            <w:tcW w:w="774"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20</w:t>
            </w:r>
          </w:p>
        </w:tc>
        <w:tc>
          <w:tcPr>
            <w:tcW w:w="2230"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TCA-d5</w:t>
            </w:r>
          </w:p>
        </w:tc>
        <w:tc>
          <w:tcPr>
            <w:tcW w:w="995"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519.1</w:t>
            </w:r>
          </w:p>
        </w:tc>
        <w:tc>
          <w:tcPr>
            <w:tcW w:w="998"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80.1</w:t>
            </w:r>
          </w:p>
        </w:tc>
      </w:tr>
      <w:tr w:rsidR="00EC5E61">
        <w:trPr>
          <w:trHeight w:val="409"/>
          <w:jc w:val="center"/>
        </w:trPr>
        <w:tc>
          <w:tcPr>
            <w:tcW w:w="774"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21</w:t>
            </w:r>
          </w:p>
        </w:tc>
        <w:tc>
          <w:tcPr>
            <w:tcW w:w="2230"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TLCA-d5</w:t>
            </w:r>
          </w:p>
        </w:tc>
        <w:tc>
          <w:tcPr>
            <w:tcW w:w="995"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487.2</w:t>
            </w:r>
          </w:p>
        </w:tc>
        <w:tc>
          <w:tcPr>
            <w:tcW w:w="998"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80.0</w:t>
            </w:r>
          </w:p>
        </w:tc>
      </w:tr>
      <w:tr w:rsidR="00EC5E61">
        <w:trPr>
          <w:trHeight w:val="409"/>
          <w:jc w:val="center"/>
        </w:trPr>
        <w:tc>
          <w:tcPr>
            <w:tcW w:w="774"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22</w:t>
            </w:r>
          </w:p>
        </w:tc>
        <w:tc>
          <w:tcPr>
            <w:tcW w:w="2230"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TCDCA-d5</w:t>
            </w:r>
          </w:p>
        </w:tc>
        <w:tc>
          <w:tcPr>
            <w:tcW w:w="995"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503.5</w:t>
            </w:r>
          </w:p>
        </w:tc>
        <w:tc>
          <w:tcPr>
            <w:tcW w:w="998" w:type="pct"/>
            <w:tcBorders>
              <w:tl2br w:val="nil"/>
              <w:tr2bl w:val="nil"/>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80.0</w:t>
            </w:r>
          </w:p>
        </w:tc>
      </w:tr>
      <w:tr w:rsidR="00EC5E61">
        <w:trPr>
          <w:trHeight w:val="478"/>
          <w:jc w:val="center"/>
        </w:trPr>
        <w:tc>
          <w:tcPr>
            <w:tcW w:w="774" w:type="pct"/>
            <w:tcBorders>
              <w:bottom w:val="single" w:sz="12" w:space="0" w:color="auto"/>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23</w:t>
            </w:r>
          </w:p>
        </w:tc>
        <w:tc>
          <w:tcPr>
            <w:tcW w:w="2230" w:type="pct"/>
            <w:tcBorders>
              <w:bottom w:val="single" w:sz="12" w:space="0" w:color="auto"/>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TUDCA-d5</w:t>
            </w:r>
          </w:p>
        </w:tc>
        <w:tc>
          <w:tcPr>
            <w:tcW w:w="995" w:type="pct"/>
            <w:tcBorders>
              <w:bottom w:val="single" w:sz="12" w:space="0" w:color="auto"/>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503.4</w:t>
            </w:r>
          </w:p>
        </w:tc>
        <w:tc>
          <w:tcPr>
            <w:tcW w:w="998" w:type="pct"/>
            <w:tcBorders>
              <w:bottom w:val="single" w:sz="12" w:space="0" w:color="auto"/>
            </w:tcBorders>
            <w:shd w:val="clear" w:color="auto" w:fill="auto"/>
            <w:vAlign w:val="center"/>
          </w:tcPr>
          <w:p w:rsidR="00EC5E61" w:rsidRDefault="00DD7ACF" w:rsidP="00AB1318">
            <w:pPr>
              <w:spacing w:line="400" w:lineRule="exact"/>
              <w:jc w:val="left"/>
              <w:rPr>
                <w:rFonts w:ascii="Times" w:eastAsia="SimSun" w:hAnsi="Times" w:cs="Times New Roman"/>
                <w:color w:val="000000" w:themeColor="text1"/>
                <w:kern w:val="0"/>
                <w:sz w:val="22"/>
              </w:rPr>
            </w:pPr>
            <w:r>
              <w:rPr>
                <w:rFonts w:ascii="Times" w:eastAsia="SimSun" w:hAnsi="Times" w:cs="Times New Roman"/>
                <w:color w:val="000000" w:themeColor="text1"/>
                <w:kern w:val="0"/>
                <w:sz w:val="22"/>
              </w:rPr>
              <w:t>80.0</w:t>
            </w:r>
          </w:p>
        </w:tc>
      </w:tr>
    </w:tbl>
    <w:p w:rsidR="00EC5E61" w:rsidRDefault="00DD7ACF" w:rsidP="00AB1318">
      <w:pPr>
        <w:spacing w:before="120" w:line="360" w:lineRule="auto"/>
        <w:jc w:val="left"/>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rPr>
        <w:t xml:space="preserve">BA </w:t>
      </w:r>
      <w:r>
        <w:rPr>
          <w:rFonts w:ascii="Times New Roman" w:hAnsi="Times New Roman" w:cs="Times New Roman"/>
          <w:color w:val="000000" w:themeColor="text1"/>
          <w:sz w:val="24"/>
          <w:szCs w:val="24"/>
        </w:rPr>
        <w:t>D</w:t>
      </w:r>
      <w:r>
        <w:rPr>
          <w:rFonts w:ascii="Times New Roman" w:hAnsi="Times New Roman" w:cs="Times New Roman" w:hint="eastAsia"/>
          <w:color w:val="000000" w:themeColor="text1"/>
          <w:sz w:val="24"/>
          <w:szCs w:val="24"/>
        </w:rPr>
        <w:t>etection</w:t>
      </w:r>
    </w:p>
    <w:p w:rsidR="00EC5E61" w:rsidRDefault="00DD7ACF" w:rsidP="00AB1318">
      <w:pPr>
        <w:spacing w:line="360" w:lineRule="auto"/>
        <w:jc w:val="left"/>
        <w:rPr>
          <w:rFonts w:ascii="Times New Roman" w:eastAsia="DengXian" w:hAnsi="Times New Roman" w:cs="Times New Roman"/>
          <w:color w:val="000000" w:themeColor="text1"/>
          <w:sz w:val="24"/>
          <w:szCs w:val="24"/>
        </w:rPr>
      </w:pPr>
      <w:bookmarkStart w:id="5" w:name="OLE_LINK58"/>
      <w:r>
        <w:rPr>
          <w:rFonts w:ascii="Times New Roman" w:hAnsi="Times New Roman" w:cs="Times New Roman" w:hint="eastAsia"/>
          <w:color w:val="000000" w:themeColor="text1"/>
          <w:sz w:val="24"/>
          <w:szCs w:val="24"/>
        </w:rPr>
        <w:t xml:space="preserve">The treated calibration product, quality control product, and test sample solution were injected into a </w:t>
      </w:r>
      <w:r>
        <w:rPr>
          <w:rFonts w:ascii="Times New Roman" w:hAnsi="Times New Roman" w:cs="Times New Roman"/>
          <w:color w:val="000000" w:themeColor="text1"/>
          <w:sz w:val="24"/>
          <w:szCs w:val="24"/>
        </w:rPr>
        <w:t>UPLC-MS/MS</w:t>
      </w:r>
      <w:r>
        <w:rPr>
          <w:rFonts w:ascii="Times New Roman" w:hAnsi="Times New Roman" w:cs="Times New Roman" w:hint="eastAsia"/>
          <w:color w:val="000000" w:themeColor="text1"/>
          <w:sz w:val="24"/>
          <w:szCs w:val="24"/>
        </w:rPr>
        <w:t xml:space="preserve"> for detection. The peak areas of </w:t>
      </w:r>
      <w:r>
        <w:rPr>
          <w:rFonts w:ascii="Times New Roman" w:eastAsia="DengXian" w:hAnsi="Times New Roman" w:cs="Times New Roman"/>
          <w:color w:val="000000" w:themeColor="text1"/>
          <w:sz w:val="24"/>
          <w:szCs w:val="24"/>
        </w:rPr>
        <w:t xml:space="preserve">the 15 BAs and </w:t>
      </w:r>
      <w:r>
        <w:rPr>
          <w:rFonts w:ascii="Times New Roman" w:hAnsi="Times New Roman" w:cs="Times New Roman" w:hint="eastAsia"/>
          <w:color w:val="000000" w:themeColor="text1"/>
          <w:sz w:val="24"/>
          <w:szCs w:val="24"/>
        </w:rPr>
        <w:t xml:space="preserve">inner </w:t>
      </w:r>
      <w:r>
        <w:rPr>
          <w:rFonts w:ascii="Times New Roman" w:hAnsi="Times New Roman" w:cs="Times New Roman" w:hint="eastAsia"/>
          <w:color w:val="000000" w:themeColor="text1"/>
          <w:sz w:val="24"/>
          <w:szCs w:val="24"/>
        </w:rPr>
        <w:lastRenderedPageBreak/>
        <w:t>target peak area</w:t>
      </w:r>
      <w:r>
        <w:rPr>
          <w:rFonts w:ascii="Times New Roman" w:eastAsia="DengXian" w:hAnsi="Times New Roman" w:cs="Times New Roman"/>
          <w:color w:val="000000" w:themeColor="text1"/>
          <w:sz w:val="24"/>
          <w:szCs w:val="24"/>
        </w:rPr>
        <w:t xml:space="preserve">s of CA-d5, DCA-d5, LCA-d4, GLCA-d4, TCA-d5, TLCA-d5, TCDCA-d5, and TUDCA-d5 in the chromatograms and test samples were recorded. </w:t>
      </w:r>
    </w:p>
    <w:p w:rsidR="00EC5E61" w:rsidRDefault="00DD7ACF" w:rsidP="00AB1318">
      <w:pPr>
        <w:spacing w:before="120" w:line="360" w:lineRule="auto"/>
        <w:jc w:val="left"/>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rPr>
        <w:t>Calculation of</w:t>
      </w:r>
      <w:r>
        <w:rPr>
          <w:rFonts w:ascii="Times New Roman" w:hAnsi="Times New Roman" w:cs="Times New Roman" w:hint="eastAsia"/>
          <w:color w:val="000000" w:themeColor="text1"/>
          <w:sz w:val="24"/>
          <w:szCs w:val="24"/>
        </w:rPr>
        <w:t xml:space="preserve"> </w:t>
      </w:r>
      <w:r>
        <w:rPr>
          <w:rFonts w:ascii="Times New Roman" w:hAnsi="Times New Roman" w:cs="Times New Roman" w:hint="eastAsia"/>
          <w:color w:val="000000" w:themeColor="text1"/>
          <w:sz w:val="24"/>
          <w:szCs w:val="24"/>
        </w:rPr>
        <w:t>Test Sample Results</w:t>
      </w:r>
      <w:bookmarkEnd w:id="5"/>
    </w:p>
    <w:p w:rsidR="00EC5E61" w:rsidRDefault="00DD7ACF" w:rsidP="00AB1318">
      <w:pPr>
        <w:spacing w:line="360" w:lineRule="auto"/>
        <w:jc w:val="left"/>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 xml:space="preserve">The ratios of the actual peak areas of the test </w:t>
      </w:r>
      <w:r>
        <w:rPr>
          <w:rFonts w:ascii="Times New Roman" w:eastAsia="DengXian" w:hAnsi="Times New Roman" w:cs="Times New Roman"/>
          <w:color w:val="000000" w:themeColor="text1"/>
          <w:sz w:val="24"/>
          <w:szCs w:val="24"/>
        </w:rPr>
        <w:t>samples to the internal standard peak area were substituted into the standard curve equation to calculate the concentrations of the compounds to be measured in the test sample.</w:t>
      </w:r>
    </w:p>
    <w:p w:rsidR="00EC5E61" w:rsidRDefault="00EC5E61" w:rsidP="00AB1318">
      <w:pPr>
        <w:spacing w:line="360" w:lineRule="auto"/>
        <w:jc w:val="left"/>
        <w:rPr>
          <w:rFonts w:ascii="Times New Roman" w:eastAsia="DengXian" w:hAnsi="Times New Roman" w:cs="Times New Roman"/>
          <w:color w:val="000000" w:themeColor="text1"/>
          <w:sz w:val="24"/>
          <w:szCs w:val="24"/>
        </w:rPr>
      </w:pPr>
    </w:p>
    <w:sectPr w:rsidR="00EC5E61">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ACF" w:rsidRDefault="00DD7ACF">
      <w:r>
        <w:separator/>
      </w:r>
    </w:p>
  </w:endnote>
  <w:endnote w:type="continuationSeparator" w:id="0">
    <w:p w:rsidR="00DD7ACF" w:rsidRDefault="00DD7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SimSun"/>
    <w:panose1 w:val="02010600030101010101"/>
    <w:charset w:val="86"/>
    <w:family w:val="auto"/>
    <w:pitch w:val="default"/>
    <w:sig w:usb0="A00002BF" w:usb1="38CF7CFA" w:usb2="00000016" w:usb3="00000000" w:csb0="0004000F" w:csb1="00000000"/>
  </w:font>
  <w:font w:name="Times">
    <w:panose1 w:val="02020603050405020304"/>
    <w:charset w:val="00"/>
    <w:family w:val="roman"/>
    <w:pitch w:val="default"/>
    <w:sig w:usb0="00000000" w:usb1="00000000"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E61" w:rsidRDefault="00DD7ACF">
    <w:pPr>
      <w:pStyle w:val="Footer"/>
    </w:pPr>
    <w:r>
      <w:rPr>
        <w:noProof/>
        <w:lang w:eastAsia="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C5E61" w:rsidRDefault="00DD7ACF">
                          <w:pPr>
                            <w:pStyle w:val="Footer"/>
                          </w:pPr>
                          <w:r>
                            <w:rPr>
                              <w:rFonts w:ascii="Times New Roman" w:hAnsi="Times New Roman" w:cs="Times New Roman"/>
                              <w:b/>
                              <w:bCs/>
                            </w:rPr>
                            <w:fldChar w:fldCharType="begin"/>
                          </w:r>
                          <w:r>
                            <w:rPr>
                              <w:rFonts w:ascii="Times New Roman" w:hAnsi="Times New Roman" w:cs="Times New Roman"/>
                              <w:b/>
                              <w:bCs/>
                            </w:rPr>
                            <w:instrText xml:space="preserve"> PAGE  \* MERGEFORMAT </w:instrText>
                          </w:r>
                          <w:r>
                            <w:rPr>
                              <w:rFonts w:ascii="Times New Roman" w:hAnsi="Times New Roman" w:cs="Times New Roman"/>
                              <w:b/>
                              <w:bCs/>
                            </w:rPr>
                            <w:fldChar w:fldCharType="separate"/>
                          </w:r>
                          <w:r w:rsidR="00AB1318">
                            <w:rPr>
                              <w:rFonts w:ascii="Times New Roman" w:hAnsi="Times New Roman" w:cs="Times New Roman"/>
                              <w:b/>
                              <w:bCs/>
                              <w:noProof/>
                            </w:rPr>
                            <w:t>2</w:t>
                          </w:r>
                          <w:r>
                            <w:rPr>
                              <w:rFonts w:ascii="Times New Roman" w:hAnsi="Times New Roman" w:cs="Times New Roman"/>
                              <w:b/>
                              <w:bC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EC5E61" w:rsidRDefault="00DD7ACF">
                    <w:pPr>
                      <w:pStyle w:val="Footer"/>
                    </w:pPr>
                    <w:r>
                      <w:rPr>
                        <w:rFonts w:ascii="Times New Roman" w:hAnsi="Times New Roman" w:cs="Times New Roman"/>
                        <w:b/>
                        <w:bCs/>
                      </w:rPr>
                      <w:fldChar w:fldCharType="begin"/>
                    </w:r>
                    <w:r>
                      <w:rPr>
                        <w:rFonts w:ascii="Times New Roman" w:hAnsi="Times New Roman" w:cs="Times New Roman"/>
                        <w:b/>
                        <w:bCs/>
                      </w:rPr>
                      <w:instrText xml:space="preserve"> PAGE  \* MERGEFORMAT </w:instrText>
                    </w:r>
                    <w:r>
                      <w:rPr>
                        <w:rFonts w:ascii="Times New Roman" w:hAnsi="Times New Roman" w:cs="Times New Roman"/>
                        <w:b/>
                        <w:bCs/>
                      </w:rPr>
                      <w:fldChar w:fldCharType="separate"/>
                    </w:r>
                    <w:r w:rsidR="00AB1318">
                      <w:rPr>
                        <w:rFonts w:ascii="Times New Roman" w:hAnsi="Times New Roman" w:cs="Times New Roman"/>
                        <w:b/>
                        <w:bCs/>
                        <w:noProof/>
                      </w:rPr>
                      <w:t>2</w:t>
                    </w:r>
                    <w:r>
                      <w:rPr>
                        <w:rFonts w:ascii="Times New Roman" w:hAnsi="Times New Roman" w:cs="Times New Roman"/>
                        <w:b/>
                        <w:bCs/>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ACF" w:rsidRDefault="00DD7ACF">
      <w:r>
        <w:separator/>
      </w:r>
    </w:p>
  </w:footnote>
  <w:footnote w:type="continuationSeparator" w:id="0">
    <w:p w:rsidR="00DD7ACF" w:rsidRDefault="00DD7A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M3YjBiZjM0N2Y4ODExNWY4MjNlZDg4NjM0ZDM4MmYifQ=="/>
  </w:docVars>
  <w:rsids>
    <w:rsidRoot w:val="6DB51B18"/>
    <w:rsid w:val="00053BE0"/>
    <w:rsid w:val="001B1FA9"/>
    <w:rsid w:val="00467AF6"/>
    <w:rsid w:val="007412BC"/>
    <w:rsid w:val="00AB1318"/>
    <w:rsid w:val="00AF4CC9"/>
    <w:rsid w:val="00B264D1"/>
    <w:rsid w:val="00D23242"/>
    <w:rsid w:val="00DC7C1D"/>
    <w:rsid w:val="00DD7ACF"/>
    <w:rsid w:val="00EC5E61"/>
    <w:rsid w:val="01D134FA"/>
    <w:rsid w:val="023C4E17"/>
    <w:rsid w:val="0250441F"/>
    <w:rsid w:val="035E700F"/>
    <w:rsid w:val="0365214C"/>
    <w:rsid w:val="036D379B"/>
    <w:rsid w:val="049C7DEF"/>
    <w:rsid w:val="05526700"/>
    <w:rsid w:val="059E7B97"/>
    <w:rsid w:val="071C5217"/>
    <w:rsid w:val="07214E72"/>
    <w:rsid w:val="07866B35"/>
    <w:rsid w:val="07BC5398"/>
    <w:rsid w:val="07DD5CA4"/>
    <w:rsid w:val="084E1401"/>
    <w:rsid w:val="0A3D797F"/>
    <w:rsid w:val="0AD11E75"/>
    <w:rsid w:val="0CB67574"/>
    <w:rsid w:val="0D7C0716"/>
    <w:rsid w:val="0DD405FA"/>
    <w:rsid w:val="0ED06433"/>
    <w:rsid w:val="0ED203F1"/>
    <w:rsid w:val="0F3F1AA3"/>
    <w:rsid w:val="0F7D050A"/>
    <w:rsid w:val="111B209C"/>
    <w:rsid w:val="11357601"/>
    <w:rsid w:val="11360C84"/>
    <w:rsid w:val="11382C4E"/>
    <w:rsid w:val="114F1D45"/>
    <w:rsid w:val="11F272A1"/>
    <w:rsid w:val="12303925"/>
    <w:rsid w:val="127B4A5C"/>
    <w:rsid w:val="137D2B9A"/>
    <w:rsid w:val="14157276"/>
    <w:rsid w:val="149A6190"/>
    <w:rsid w:val="15657D89"/>
    <w:rsid w:val="157E709D"/>
    <w:rsid w:val="15883A78"/>
    <w:rsid w:val="15B825AF"/>
    <w:rsid w:val="16FB6BF7"/>
    <w:rsid w:val="17A728DB"/>
    <w:rsid w:val="17CC40F0"/>
    <w:rsid w:val="17FF44C5"/>
    <w:rsid w:val="187529D9"/>
    <w:rsid w:val="192B3098"/>
    <w:rsid w:val="196A0064"/>
    <w:rsid w:val="199C7AF2"/>
    <w:rsid w:val="1C540E62"/>
    <w:rsid w:val="1C8E7BC6"/>
    <w:rsid w:val="1CEC0D90"/>
    <w:rsid w:val="1D4B3D09"/>
    <w:rsid w:val="1DED6B6E"/>
    <w:rsid w:val="1E937715"/>
    <w:rsid w:val="1F35352C"/>
    <w:rsid w:val="1F3F789D"/>
    <w:rsid w:val="1FA140B4"/>
    <w:rsid w:val="20807C75"/>
    <w:rsid w:val="21BA145D"/>
    <w:rsid w:val="21BA320B"/>
    <w:rsid w:val="21F77FBB"/>
    <w:rsid w:val="221E7C3E"/>
    <w:rsid w:val="224F429B"/>
    <w:rsid w:val="22A77C33"/>
    <w:rsid w:val="22AC6FF8"/>
    <w:rsid w:val="232E5C5F"/>
    <w:rsid w:val="23384D2F"/>
    <w:rsid w:val="25B61F3B"/>
    <w:rsid w:val="25C91C6F"/>
    <w:rsid w:val="25D52D09"/>
    <w:rsid w:val="262E5F76"/>
    <w:rsid w:val="27B8643F"/>
    <w:rsid w:val="282E6701"/>
    <w:rsid w:val="28814A83"/>
    <w:rsid w:val="28887BBF"/>
    <w:rsid w:val="291E6775"/>
    <w:rsid w:val="2A005E7B"/>
    <w:rsid w:val="2A9A62D0"/>
    <w:rsid w:val="2AF754D0"/>
    <w:rsid w:val="2B29196D"/>
    <w:rsid w:val="2B91322F"/>
    <w:rsid w:val="2BE05F64"/>
    <w:rsid w:val="2C016606"/>
    <w:rsid w:val="2C31056E"/>
    <w:rsid w:val="2C954FA0"/>
    <w:rsid w:val="2CD5539D"/>
    <w:rsid w:val="2D144117"/>
    <w:rsid w:val="2D616C31"/>
    <w:rsid w:val="2E167084"/>
    <w:rsid w:val="2E6B5FB9"/>
    <w:rsid w:val="2EC90F31"/>
    <w:rsid w:val="303348B4"/>
    <w:rsid w:val="30BB2AFC"/>
    <w:rsid w:val="30D047F9"/>
    <w:rsid w:val="31E63BA8"/>
    <w:rsid w:val="321B5F48"/>
    <w:rsid w:val="322272D6"/>
    <w:rsid w:val="32432DA9"/>
    <w:rsid w:val="32715B68"/>
    <w:rsid w:val="329072DE"/>
    <w:rsid w:val="335E60EC"/>
    <w:rsid w:val="33957634"/>
    <w:rsid w:val="345B6AD0"/>
    <w:rsid w:val="34627E5E"/>
    <w:rsid w:val="348953EB"/>
    <w:rsid w:val="34D04DC8"/>
    <w:rsid w:val="3518051D"/>
    <w:rsid w:val="354B08F2"/>
    <w:rsid w:val="35EF43EC"/>
    <w:rsid w:val="36983883"/>
    <w:rsid w:val="37180CA8"/>
    <w:rsid w:val="3727713D"/>
    <w:rsid w:val="37607F59"/>
    <w:rsid w:val="37B02C8E"/>
    <w:rsid w:val="38037262"/>
    <w:rsid w:val="380F5C07"/>
    <w:rsid w:val="38CC58A6"/>
    <w:rsid w:val="38DE55D9"/>
    <w:rsid w:val="3A425AAD"/>
    <w:rsid w:val="3A5E69D2"/>
    <w:rsid w:val="3B223EA3"/>
    <w:rsid w:val="3B2A71FC"/>
    <w:rsid w:val="3B41722A"/>
    <w:rsid w:val="3BF5780A"/>
    <w:rsid w:val="3C074E47"/>
    <w:rsid w:val="3C4D31A2"/>
    <w:rsid w:val="3CC176EC"/>
    <w:rsid w:val="3CC316B6"/>
    <w:rsid w:val="3CCB140A"/>
    <w:rsid w:val="3DF80EEB"/>
    <w:rsid w:val="3E0B6E71"/>
    <w:rsid w:val="3E0E6961"/>
    <w:rsid w:val="3E686071"/>
    <w:rsid w:val="3F650802"/>
    <w:rsid w:val="3FD414E4"/>
    <w:rsid w:val="414548A4"/>
    <w:rsid w:val="41CA2B9F"/>
    <w:rsid w:val="421B33FA"/>
    <w:rsid w:val="422A0D9F"/>
    <w:rsid w:val="42CD0B98"/>
    <w:rsid w:val="43A044FF"/>
    <w:rsid w:val="44185E43"/>
    <w:rsid w:val="44331A02"/>
    <w:rsid w:val="453942C3"/>
    <w:rsid w:val="454B3FF6"/>
    <w:rsid w:val="46955E71"/>
    <w:rsid w:val="4714323A"/>
    <w:rsid w:val="481728B6"/>
    <w:rsid w:val="484C6A03"/>
    <w:rsid w:val="48790E7B"/>
    <w:rsid w:val="48AE7858"/>
    <w:rsid w:val="499E6DEB"/>
    <w:rsid w:val="49CE7717"/>
    <w:rsid w:val="49D2118A"/>
    <w:rsid w:val="4BBF129A"/>
    <w:rsid w:val="4BF559FF"/>
    <w:rsid w:val="4C8A7AFA"/>
    <w:rsid w:val="4CE23492"/>
    <w:rsid w:val="4CE30FB8"/>
    <w:rsid w:val="4CEF3B10"/>
    <w:rsid w:val="4D64034B"/>
    <w:rsid w:val="4EB15812"/>
    <w:rsid w:val="4EC512BE"/>
    <w:rsid w:val="4F626B0C"/>
    <w:rsid w:val="4F6C1739"/>
    <w:rsid w:val="4FD277EE"/>
    <w:rsid w:val="50302767"/>
    <w:rsid w:val="505E1082"/>
    <w:rsid w:val="512F0F13"/>
    <w:rsid w:val="51960CEF"/>
    <w:rsid w:val="51976F41"/>
    <w:rsid w:val="53073C53"/>
    <w:rsid w:val="533662E6"/>
    <w:rsid w:val="544D1B39"/>
    <w:rsid w:val="54813591"/>
    <w:rsid w:val="54992FD0"/>
    <w:rsid w:val="54D9161F"/>
    <w:rsid w:val="54DC4C6B"/>
    <w:rsid w:val="55D3606E"/>
    <w:rsid w:val="563805C7"/>
    <w:rsid w:val="56C37E91"/>
    <w:rsid w:val="574B7E86"/>
    <w:rsid w:val="580E15DF"/>
    <w:rsid w:val="59471AD1"/>
    <w:rsid w:val="59822285"/>
    <w:rsid w:val="59F111B9"/>
    <w:rsid w:val="5A221372"/>
    <w:rsid w:val="5A250E62"/>
    <w:rsid w:val="5A3F1F24"/>
    <w:rsid w:val="5A5D684E"/>
    <w:rsid w:val="5AA4622B"/>
    <w:rsid w:val="5AB50438"/>
    <w:rsid w:val="5B6D2AC1"/>
    <w:rsid w:val="5B962018"/>
    <w:rsid w:val="5DC10EA2"/>
    <w:rsid w:val="5DE52DE2"/>
    <w:rsid w:val="5E6230CD"/>
    <w:rsid w:val="5F2913F5"/>
    <w:rsid w:val="5F6E6E08"/>
    <w:rsid w:val="5FA12D39"/>
    <w:rsid w:val="5FAD16DE"/>
    <w:rsid w:val="5FD56E87"/>
    <w:rsid w:val="5FDE5D3B"/>
    <w:rsid w:val="5FEB2206"/>
    <w:rsid w:val="5FF7504F"/>
    <w:rsid w:val="61181721"/>
    <w:rsid w:val="614921AA"/>
    <w:rsid w:val="61826B9A"/>
    <w:rsid w:val="625E7607"/>
    <w:rsid w:val="634A36E8"/>
    <w:rsid w:val="640D4E41"/>
    <w:rsid w:val="64DD4813"/>
    <w:rsid w:val="65051FBC"/>
    <w:rsid w:val="6589499B"/>
    <w:rsid w:val="65F8567D"/>
    <w:rsid w:val="66327BF7"/>
    <w:rsid w:val="66384FBC"/>
    <w:rsid w:val="6694184A"/>
    <w:rsid w:val="66AA4BC9"/>
    <w:rsid w:val="677451B8"/>
    <w:rsid w:val="678B62E9"/>
    <w:rsid w:val="67C9107F"/>
    <w:rsid w:val="68FB170C"/>
    <w:rsid w:val="69020CEC"/>
    <w:rsid w:val="693469CC"/>
    <w:rsid w:val="697414BE"/>
    <w:rsid w:val="6A0D2309"/>
    <w:rsid w:val="6A3D5D54"/>
    <w:rsid w:val="6ABA55F7"/>
    <w:rsid w:val="6AE54422"/>
    <w:rsid w:val="6AF36842"/>
    <w:rsid w:val="6B621F16"/>
    <w:rsid w:val="6B76151E"/>
    <w:rsid w:val="6BCB7ABB"/>
    <w:rsid w:val="6C7672FB"/>
    <w:rsid w:val="6CBF6EF4"/>
    <w:rsid w:val="6CD3474E"/>
    <w:rsid w:val="6DB51B18"/>
    <w:rsid w:val="6DCE5641"/>
    <w:rsid w:val="6E873A42"/>
    <w:rsid w:val="6F2521F7"/>
    <w:rsid w:val="6FFD045F"/>
    <w:rsid w:val="702F7EED"/>
    <w:rsid w:val="707955CB"/>
    <w:rsid w:val="71125845"/>
    <w:rsid w:val="735F6D3B"/>
    <w:rsid w:val="73B70925"/>
    <w:rsid w:val="73C179F6"/>
    <w:rsid w:val="746A3BEA"/>
    <w:rsid w:val="74EA0887"/>
    <w:rsid w:val="753A35BC"/>
    <w:rsid w:val="756643B1"/>
    <w:rsid w:val="75EB0D5A"/>
    <w:rsid w:val="765406AD"/>
    <w:rsid w:val="77811976"/>
    <w:rsid w:val="782D11B6"/>
    <w:rsid w:val="784F737E"/>
    <w:rsid w:val="78574485"/>
    <w:rsid w:val="792A1B99"/>
    <w:rsid w:val="79D00993"/>
    <w:rsid w:val="7A7516A9"/>
    <w:rsid w:val="7B272834"/>
    <w:rsid w:val="7B7F441F"/>
    <w:rsid w:val="7BB8348D"/>
    <w:rsid w:val="7C8F68E3"/>
    <w:rsid w:val="7D67516A"/>
    <w:rsid w:val="7DC91981"/>
    <w:rsid w:val="7E3314F0"/>
    <w:rsid w:val="7E386B07"/>
    <w:rsid w:val="7E655B4E"/>
    <w:rsid w:val="7E9F0934"/>
    <w:rsid w:val="7EA85A3A"/>
    <w:rsid w:val="7F315A30"/>
    <w:rsid w:val="7F4A0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696B66-9453-450A-A3CD-ED353150E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line number" w:qFormat="1"/>
    <w:lsdException w:name="Title" w:qFormat="1"/>
    <w:lsdException w:name="Default Paragraph Font" w:semiHidden="1" w:uiPriority="1" w:unhideWhenUsed="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rPr>
  </w:style>
  <w:style w:type="character" w:styleId="LineNumber">
    <w:name w:val="line number"/>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DD4AC0-3D00-468A-B4F9-D1CF88E2D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753</Words>
  <Characters>4297</Characters>
  <Application>Microsoft Office Word</Application>
  <DocSecurity>0</DocSecurity>
  <Lines>35</Lines>
  <Paragraphs>10</Paragraphs>
  <ScaleCrop>false</ScaleCrop>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LVSHENG</dc:creator>
  <cp:lastModifiedBy>Maria Fe Caloring</cp:lastModifiedBy>
  <cp:revision>5</cp:revision>
  <dcterms:created xsi:type="dcterms:W3CDTF">2024-08-25T13:57:00Z</dcterms:created>
  <dcterms:modified xsi:type="dcterms:W3CDTF">2025-04-21T13:35:00Z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5FF5DCEEF0354C9B9C9E63EDCEAA91DC_11</vt:lpwstr>
  </property>
  <property fmtid="{D5CDD505-2E9C-101B-9397-08002B2CF9AE}" pid="4" name="KSOTemplateDocerSaveRecord">
    <vt:lpwstr>eyJoZGlkIjoiZGM3YjBiZjM0N2Y4ODExNWY4MjNlZDg4NjM0ZDM4MmYiLCJ1c2VySWQiOiI3MzI4ODUyNjMifQ==</vt:lpwstr>
  </property>
</Properties>
</file>