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C738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Title </w:t>
      </w:r>
    </w:p>
    <w:p w14:paraId="51A255E2">
      <w:pPr>
        <w:rPr>
          <w:rFonts w:ascii="Times New Roman" w:hAnsi="Times New Roman" w:cs="Times New Roman"/>
          <w:szCs w:val="21"/>
        </w:rPr>
      </w:pPr>
      <w:bookmarkStart w:id="0" w:name="OLE_LINK5"/>
      <w:r>
        <w:rPr>
          <w:rFonts w:ascii="Times New Roman" w:hAnsi="Times New Roman" w:cs="Times New Roman"/>
          <w:szCs w:val="21"/>
        </w:rPr>
        <w:t>Clinical characteristics</w:t>
      </w:r>
      <w:bookmarkEnd w:id="0"/>
      <w:r>
        <w:rPr>
          <w:rFonts w:ascii="Times New Roman" w:hAnsi="Times New Roman" w:cs="Times New Roman"/>
          <w:szCs w:val="21"/>
        </w:rPr>
        <w:t xml:space="preserve"> of MASLD/MetALD/MAFLD/NAFLD and the relative risk analysis on metabolic disorders</w:t>
      </w:r>
    </w:p>
    <w:p w14:paraId="23C8898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Running title </w:t>
      </w:r>
    </w:p>
    <w:p w14:paraId="02BD9793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The challenges of renaming steatotic liver diseas</w:t>
      </w:r>
    </w:p>
    <w:p w14:paraId="720466E5">
      <w:pPr>
        <w:rPr>
          <w:rFonts w:hint="default" w:ascii="Times New Roman" w:hAnsi="Times New Roman" w:cs="Times New Roman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J</w:t>
      </w:r>
      <w:r>
        <w:rPr>
          <w:rFonts w:ascii="Times New Roman" w:hAnsi="Times New Roman" w:cs="Times New Roman"/>
          <w:b/>
          <w:bCs/>
          <w:szCs w:val="21"/>
        </w:rPr>
        <w:t>ournal name</w:t>
      </w:r>
      <w:r>
        <w:rPr>
          <w:rFonts w:hint="eastAsia" w:ascii="Times New Roman" w:hAnsi="Times New Roman" w:cs="Times New Roman"/>
          <w:b/>
          <w:bCs/>
          <w:szCs w:val="21"/>
          <w:lang w:eastAsia="zh-CN"/>
        </w:rPr>
        <w:t>：</w:t>
      </w:r>
      <w:r>
        <w:rPr>
          <w:rFonts w:hint="eastAsia" w:ascii="Times New Roman" w:hAnsi="Times New Roman" w:cs="Times New Roman"/>
          <w:szCs w:val="21"/>
        </w:rPr>
        <w:t>Journal of Diabetes &amp; Metabolic Disorders</w:t>
      </w:r>
    </w:p>
    <w:p w14:paraId="426049E5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Authors</w:t>
      </w:r>
    </w:p>
    <w:p w14:paraId="6761347A">
      <w:pPr>
        <w:rPr>
          <w:rFonts w:ascii="Times New Roman" w:hAnsi="Times New Roman" w:cs="Times New Roman"/>
          <w:szCs w:val="21"/>
          <w:vertAlign w:val="superscript"/>
        </w:rPr>
      </w:pPr>
      <w:r>
        <w:rPr>
          <w:rFonts w:ascii="Times New Roman" w:hAnsi="Times New Roman" w:cs="Times New Roman"/>
          <w:szCs w:val="21"/>
        </w:rPr>
        <w:t>Hong-ye Peng</w:t>
      </w:r>
      <w:r>
        <w:rPr>
          <w:rFonts w:ascii="Times New Roman" w:hAnsi="Times New Roman" w:cs="Times New Roman"/>
          <w:szCs w:val="21"/>
          <w:vertAlign w:val="superscript"/>
        </w:rPr>
        <w:t>1,2,#</w:t>
      </w:r>
      <w:r>
        <w:rPr>
          <w:rFonts w:ascii="Times New Roman" w:hAnsi="Times New Roman" w:cs="Times New Roman"/>
          <w:szCs w:val="21"/>
        </w:rPr>
        <w:t>, Chun-li Lu</w:t>
      </w:r>
      <w:r>
        <w:rPr>
          <w:rFonts w:ascii="Times New Roman" w:hAnsi="Times New Roman" w:cs="Times New Roman"/>
          <w:szCs w:val="21"/>
          <w:vertAlign w:val="superscript"/>
        </w:rPr>
        <w:t>3,#</w:t>
      </w:r>
      <w:r>
        <w:rPr>
          <w:rFonts w:ascii="Times New Roman" w:hAnsi="Times New Roman" w:cs="Times New Roman"/>
          <w:szCs w:val="21"/>
        </w:rPr>
        <w:t>, Mo Zhao</w:t>
      </w:r>
      <w:r>
        <w:rPr>
          <w:rFonts w:ascii="Times New Roman" w:hAnsi="Times New Roman" w:cs="Times New Roman"/>
          <w:szCs w:val="21"/>
          <w:vertAlign w:val="superscript"/>
        </w:rPr>
        <w:t>2,#</w:t>
      </w:r>
      <w:r>
        <w:rPr>
          <w:rFonts w:ascii="Times New Roman" w:hAnsi="Times New Roman" w:cs="Times New Roman"/>
          <w:szCs w:val="21"/>
        </w:rPr>
        <w:t>, Xiao-qiang Huang</w:t>
      </w:r>
      <w:r>
        <w:rPr>
          <w:rFonts w:ascii="Times New Roman" w:hAnsi="Times New Roman" w:cs="Times New Roman"/>
          <w:szCs w:val="21"/>
          <w:vertAlign w:val="superscript"/>
        </w:rPr>
        <w:t>3</w:t>
      </w:r>
      <w:r>
        <w:rPr>
          <w:rFonts w:ascii="Times New Roman" w:hAnsi="Times New Roman" w:cs="Times New Roman"/>
          <w:szCs w:val="21"/>
        </w:rPr>
        <w:t>, Shu-xia Huang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, Zi-wen Zhuo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, Jing Liu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hint="eastAsia" w:ascii="Times New Roman" w:hAnsi="Times New Roman" w:cs="Times New Roman"/>
          <w:szCs w:val="21"/>
          <w:lang w:val="en-US" w:eastAsia="zh-CN"/>
        </w:rPr>
        <w:t>Yan-ping Lu</w:t>
      </w:r>
      <w:r>
        <w:rPr>
          <w:rFonts w:hint="eastAsia" w:ascii="Times New Roman" w:hAnsi="Times New Roman" w:cs="Times New Roman"/>
          <w:szCs w:val="21"/>
          <w:vertAlign w:val="superscript"/>
          <w:lang w:val="en-US" w:eastAsia="zh-CN"/>
        </w:rPr>
        <w:t>4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, </w:t>
      </w:r>
      <w:r>
        <w:rPr>
          <w:rFonts w:ascii="Times New Roman" w:hAnsi="Times New Roman" w:cs="Times New Roman"/>
          <w:szCs w:val="21"/>
        </w:rPr>
        <w:t>Wen-liang Lv</w:t>
      </w:r>
      <w:r>
        <w:rPr>
          <w:rFonts w:ascii="Times New Roman" w:hAnsi="Times New Roman" w:cs="Times New Roman"/>
          <w:szCs w:val="21"/>
          <w:vertAlign w:val="superscript"/>
        </w:rPr>
        <w:t>1,*</w:t>
      </w:r>
    </w:p>
    <w:p w14:paraId="5C8405E0">
      <w:pPr>
        <w:rPr>
          <w:rFonts w:ascii="Times New Roman" w:hAnsi="Times New Roman" w:cs="Times New Roman"/>
          <w:szCs w:val="21"/>
          <w:vertAlign w:val="superscript"/>
        </w:rPr>
      </w:pPr>
      <w:r>
        <w:rPr>
          <w:rFonts w:ascii="Times New Roman" w:hAnsi="Times New Roman" w:cs="Times New Roman"/>
          <w:szCs w:val="21"/>
          <w:vertAlign w:val="superscript"/>
        </w:rPr>
        <w:t>#</w:t>
      </w:r>
      <w:r>
        <w:rPr>
          <w:rFonts w:ascii="Times New Roman" w:hAnsi="Times New Roman" w:cs="Times New Roman"/>
          <w:color w:val="000000"/>
        </w:rPr>
        <w:t>These three authors contributed equally to this manuscript, and share first authorship.</w:t>
      </w:r>
    </w:p>
    <w:p w14:paraId="329F2717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color w:val="000000"/>
        </w:rPr>
        <w:t>Correspondence:</w:t>
      </w:r>
      <w:r>
        <w:rPr>
          <w:rFonts w:ascii="Times New Roman" w:hAnsi="Times New Roman" w:cs="Times New Roman"/>
          <w:szCs w:val="21"/>
        </w:rPr>
        <w:t xml:space="preserve"> </w:t>
      </w:r>
      <w:r>
        <w:fldChar w:fldCharType="begin"/>
      </w:r>
      <w:r>
        <w:instrText xml:space="preserve"> HYPERLINK "mailto:2725850656@qq.com" </w:instrText>
      </w:r>
      <w:r>
        <w:fldChar w:fldCharType="separate"/>
      </w:r>
      <w:r>
        <w:rPr>
          <w:rFonts w:ascii="Times New Roman" w:hAnsi="Times New Roman" w:cs="Times New Roman"/>
          <w:szCs w:val="21"/>
        </w:rPr>
        <w:t>2725850656@qq.com</w:t>
      </w:r>
      <w:r>
        <w:rPr>
          <w:rFonts w:ascii="Times New Roman" w:hAnsi="Times New Roman" w:cs="Times New Roman"/>
          <w:szCs w:val="21"/>
        </w:rPr>
        <w:fldChar w:fldCharType="end"/>
      </w:r>
      <w:r>
        <w:rPr>
          <w:rFonts w:ascii="Times New Roman" w:hAnsi="Times New Roman" w:cs="Times New Roman"/>
          <w:szCs w:val="21"/>
        </w:rPr>
        <w:t xml:space="preserve"> (Yanping Lu) and </w:t>
      </w:r>
      <w:r>
        <w:fldChar w:fldCharType="begin"/>
      </w:r>
      <w:r>
        <w:instrText xml:space="preserve"> HYPERLINK "mailto:lvwenliang@sohu.com" </w:instrText>
      </w:r>
      <w:r>
        <w:fldChar w:fldCharType="separate"/>
      </w:r>
      <w:r>
        <w:rPr>
          <w:rFonts w:ascii="Times New Roman" w:hAnsi="Times New Roman" w:cs="Times New Roman"/>
          <w:szCs w:val="21"/>
        </w:rPr>
        <w:t>lvwenliang@sohu.com</w:t>
      </w:r>
      <w:r>
        <w:rPr>
          <w:rFonts w:ascii="Times New Roman" w:hAnsi="Times New Roman" w:cs="Times New Roman"/>
          <w:szCs w:val="21"/>
        </w:rPr>
        <w:fldChar w:fldCharType="end"/>
      </w:r>
      <w:r>
        <w:rPr>
          <w:rFonts w:ascii="Times New Roman" w:hAnsi="Times New Roman" w:cs="Times New Roman"/>
          <w:szCs w:val="21"/>
        </w:rPr>
        <w:t xml:space="preserve"> (Wenliang Lv) </w:t>
      </w:r>
    </w:p>
    <w:p w14:paraId="787E9150">
      <w:pPr>
        <w:widowControl/>
        <w:ind w:firstLine="422" w:firstLineChars="200"/>
        <w:jc w:val="center"/>
        <w:rPr>
          <w:rFonts w:ascii="Times New Roman" w:hAnsi="Times New Roman" w:eastAsia="宋体" w:cs="Times New Roman"/>
          <w:b/>
          <w:bCs/>
          <w:szCs w:val="21"/>
          <w:lang w:bidi="ar"/>
        </w:rPr>
      </w:pPr>
    </w:p>
    <w:p w14:paraId="421B2B62">
      <w:pPr>
        <w:widowControl/>
        <w:ind w:firstLine="422" w:firstLineChars="200"/>
        <w:jc w:val="center"/>
        <w:rPr>
          <w:rFonts w:ascii="Times New Roman" w:hAnsi="Times New Roman" w:eastAsia="宋体" w:cs="Times New Roman"/>
          <w:b/>
          <w:bCs/>
          <w:szCs w:val="21"/>
          <w:lang w:bidi="ar"/>
        </w:rPr>
      </w:pPr>
    </w:p>
    <w:p w14:paraId="2D8A1B70">
      <w:pPr>
        <w:widowControl/>
        <w:ind w:firstLine="422" w:firstLineChars="200"/>
        <w:jc w:val="center"/>
        <w:rPr>
          <w:rFonts w:ascii="Times New Roman" w:hAnsi="Times New Roman" w:eastAsia="宋体" w:cs="Times New Roman"/>
          <w:b/>
          <w:bCs/>
          <w:szCs w:val="21"/>
          <w:lang w:bidi="ar"/>
        </w:rPr>
      </w:pPr>
    </w:p>
    <w:p w14:paraId="1C15CD9C">
      <w:pPr>
        <w:widowControl/>
        <w:ind w:firstLine="420" w:firstLineChars="200"/>
        <w:jc w:val="center"/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t xml:space="preserve">Online Resource 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t xml:space="preserve">1 </w:t>
      </w:r>
    </w:p>
    <w:p w14:paraId="3C6007C3">
      <w:pPr>
        <w:widowControl/>
        <w:ind w:firstLine="422" w:firstLineChars="200"/>
        <w:jc w:val="center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Cs w:val="21"/>
          <w:lang w:bidi="ar"/>
        </w:rPr>
        <w:t>S</w:t>
      </w:r>
      <w:r>
        <w:rPr>
          <w:rFonts w:ascii="Times New Roman" w:hAnsi="Times New Roman" w:eastAsia="宋体" w:cs="Times New Roman"/>
          <w:b/>
          <w:bCs/>
          <w:szCs w:val="21"/>
          <w:lang w:bidi="ar"/>
        </w:rPr>
        <w:t>1 The diagnostic criteria for NAFLD, MAFLD, MASLD and MetALD</w:t>
      </w:r>
    </w:p>
    <w:tbl>
      <w:tblPr>
        <w:tblStyle w:val="5"/>
        <w:tblW w:w="5000" w:type="pct"/>
        <w:tblInd w:w="0" w:type="dxa"/>
        <w:tblBorders>
          <w:top w:val="single" w:color="auto" w:sz="12" w:space="0"/>
          <w:left w:val="none" w:color="auto" w:sz="4" w:space="0"/>
          <w:bottom w:val="single" w:color="auto" w:sz="12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4"/>
        <w:gridCol w:w="10712"/>
      </w:tblGrid>
      <w:tr w14:paraId="4B289B04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</w:tcPr>
          <w:p w14:paraId="4B168E3E">
            <w:pPr>
              <w:widowControl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1"/>
                <w:lang w:bidi="ar"/>
              </w:rPr>
              <w:t>Disease</w:t>
            </w:r>
          </w:p>
        </w:tc>
        <w:tc>
          <w:tcPr>
            <w:tcW w:w="4064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</w:tcPr>
          <w:p w14:paraId="3B5BC88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1"/>
                <w:lang w:bidi="ar"/>
              </w:rPr>
              <w:t>Diagnostic criteria</w:t>
            </w:r>
          </w:p>
        </w:tc>
      </w:tr>
      <w:tr w14:paraId="1511E071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</w:tcPr>
          <w:p w14:paraId="6FCFB63A">
            <w:pPr>
              <w:widowControl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Hepatic steatosis</w:t>
            </w:r>
          </w:p>
        </w:tc>
        <w:tc>
          <w:tcPr>
            <w:tcW w:w="4064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</w:tcPr>
          <w:p w14:paraId="0E8EBDBE"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CAP values ≥248 dB/m. Mild steatosis was identified by FibroScan CAP values of 248-268 dB/m, while values above 268 dB/m indicated moderate to severe steatosis</w:t>
            </w:r>
          </w:p>
        </w:tc>
      </w:tr>
      <w:tr w14:paraId="085824B5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C0E4A">
            <w:pPr>
              <w:widowControl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NAFLD</w:t>
            </w:r>
          </w:p>
        </w:tc>
        <w:tc>
          <w:tcPr>
            <w:tcW w:w="4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D1269">
            <w:pPr>
              <w:widowControl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1) with hepatic steatosis; 2) exclude heavy drink and other competing etiology for hepatic steatosis</w:t>
            </w:r>
          </w:p>
        </w:tc>
      </w:tr>
      <w:tr w14:paraId="555E784C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4F012">
            <w:pPr>
              <w:widowControl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MAFLD</w:t>
            </w:r>
          </w:p>
        </w:tc>
        <w:tc>
          <w:tcPr>
            <w:tcW w:w="4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AC4D8">
            <w:pPr>
              <w:widowControl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1)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 with hepatic steatosis; 2) overweight/obesity or presence of T2DM or with two or more metabolic risk.</w:t>
            </w:r>
          </w:p>
        </w:tc>
      </w:tr>
      <w:tr w14:paraId="4E723196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9CFAE">
            <w:pPr>
              <w:widowControl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MASLD</w:t>
            </w:r>
          </w:p>
        </w:tc>
        <w:tc>
          <w:tcPr>
            <w:tcW w:w="4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11868">
            <w:pPr>
              <w:widowControl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1) with hepatic steatosis; 2) with one or more cardiometabolic risk factor; 3) 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no other discernible cause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 for hepatic steatosis</w:t>
            </w:r>
          </w:p>
        </w:tc>
      </w:tr>
      <w:tr w14:paraId="600EE4AC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51F3D">
            <w:pPr>
              <w:widowControl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MetALD</w:t>
            </w:r>
          </w:p>
        </w:tc>
        <w:tc>
          <w:tcPr>
            <w:tcW w:w="4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C0F2C">
            <w:pPr>
              <w:widowControl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1) with hepatic steatosis; 2) with one cardiometabolic risk factor; 3) heavy drink; 4)</w:t>
            </w: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 xml:space="preserve"> no other discernible cause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 for hepatic steatosis</w:t>
            </w:r>
          </w:p>
        </w:tc>
      </w:tr>
      <w:tr w14:paraId="508CEB51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78495">
            <w:pPr>
              <w:widowControl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Metabolic risk</w:t>
            </w:r>
          </w:p>
        </w:tc>
        <w:tc>
          <w:tcPr>
            <w:tcW w:w="4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629C3"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1) WC ≥102cmin males or 88 cm in females; 2) blood pressure ≥130/85mmHg or specific medications; 3) serum TG ≥1.70mmol/L or specific medications; 4) HDL-C &lt; 1.0mmol/L for males and &lt; 1.3mmol/L for females; 5) prediabetes (a fasting glucose level between 5.6 and 6.9mmol/L, or a 2-hour post-load glucose level between 7.8 and 11.0mmol/L or HbA1c 5.7% to 6.4%); 6) HOMA-IR score ≥ 2.5 and 7) a plasma C-reactive protein level &gt; 2mg/L.</w:t>
            </w:r>
          </w:p>
        </w:tc>
      </w:tr>
      <w:tr w14:paraId="36A8508B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 w14:paraId="492C5539">
            <w:pPr>
              <w:widowControl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Cardiometabolic risk factor</w:t>
            </w:r>
          </w:p>
        </w:tc>
        <w:tc>
          <w:tcPr>
            <w:tcW w:w="40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 w14:paraId="44CE3A88"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1) BMI ≥ 25kg/m</w:t>
            </w:r>
            <w:r>
              <w:rPr>
                <w:rFonts w:ascii="Times New Roman" w:hAnsi="Times New Roman" w:eastAsia="宋体" w:cs="Times New Roman"/>
                <w:szCs w:val="21"/>
                <w:vertAlign w:val="superscript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, or WC ≥94 cm in males or 80 cm in females; 2)</w:t>
            </w:r>
            <w:r>
              <w:rPr>
                <w:rFonts w:ascii="Times New Roman" w:hAnsi="Times New Roman" w:eastAsia="等线" w:cs="Times New Roman"/>
                <w:color w:val="101214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fasting serum glucose ≥ 5.6 mmol/L [100 mg/dL] OR 2-hour post-load glucose levels ≥ 7.8 mmol/L [140 mg/dL] OR HbA1c ≥ 5.7% [39 mmol/L] OR type 2 diabetes OR treatment for type 2 diabetes; 3) Blood pressure ≥ 130/85 mmHg OR specific antihypertensive drug treatment; 4) Plasma triglycerides ≥ 1.70 mmol/L [150 mg/dL] OR lipid lowering treatment; 5) Plasma HDL-C ≤ 1.0 mmol/L [40 mg/dL] in males and ≤ 1.3 mmol/L [50 mg/dL] in females OR lipid lowering treatment.</w:t>
            </w:r>
          </w:p>
        </w:tc>
      </w:tr>
    </w:tbl>
    <w:p w14:paraId="7226B5DE">
      <w:pPr>
        <w:pStyle w:val="7"/>
      </w:pPr>
      <w:r>
        <w:rPr>
          <w:color w:val="252626"/>
          <w:kern w:val="0"/>
          <w:sz w:val="22"/>
        </w:rPr>
        <w:t xml:space="preserve">CAP: </w:t>
      </w:r>
      <w:r>
        <w:t xml:space="preserve">controlled attenuation parameter; </w:t>
      </w:r>
      <w:r>
        <w:rPr>
          <w:color w:val="252626"/>
          <w:kern w:val="0"/>
          <w:sz w:val="22"/>
        </w:rPr>
        <w:t xml:space="preserve">NAFLD: </w:t>
      </w:r>
      <w:r>
        <w:t>nonalcoholic fatty liver disease; MAFLD: metabolic associated fatty liver disease; T2DM: type 2 diabetes mellitus; MASLD: Metabolic dysfunction-associated steatotic liver disease; MetALD: metabolic alcohol-related liver disease; WC: waist circumference; TG: triglycerides; HDL-C: high-density lipoprotein cholesterol; HbA1c: hemoglobin A1c; HOMA-IR: homeostasis model assessment of insulin resistance; BMI: body mass index.</w:t>
      </w:r>
    </w:p>
    <w:p w14:paraId="521BE987">
      <w:pPr>
        <w:jc w:val="center"/>
        <w:rPr>
          <w:rFonts w:ascii="Times New Roman" w:hAnsi="Times New Roman" w:eastAsia="宋体" w:cs="Times New Roman"/>
          <w:color w:val="252626"/>
          <w:kern w:val="0"/>
          <w:sz w:val="22"/>
          <w:szCs w:val="22"/>
        </w:rPr>
      </w:pPr>
    </w:p>
    <w:p w14:paraId="13DABED5">
      <w:pPr>
        <w:jc w:val="center"/>
        <w:rPr>
          <w:rFonts w:ascii="Times New Roman" w:hAnsi="Times New Roman" w:eastAsia="宋体" w:cs="Times New Roman"/>
          <w:b/>
          <w:bCs/>
          <w:color w:val="252626"/>
          <w:kern w:val="0"/>
          <w:sz w:val="22"/>
          <w:szCs w:val="22"/>
        </w:rPr>
      </w:pPr>
    </w:p>
    <w:p w14:paraId="49D79C3D">
      <w:pPr>
        <w:jc w:val="center"/>
        <w:rPr>
          <w:rFonts w:ascii="Times New Roman" w:hAnsi="Times New Roman" w:eastAsia="宋体" w:cs="Times New Roman"/>
          <w:b/>
          <w:bCs/>
          <w:color w:val="252626"/>
          <w:kern w:val="0"/>
          <w:sz w:val="22"/>
          <w:szCs w:val="22"/>
          <w:lang w:bidi="ar"/>
        </w:rPr>
      </w:pPr>
    </w:p>
    <w:p w14:paraId="6F91A61A">
      <w:pPr>
        <w:rPr>
          <w:rFonts w:ascii="Times New Roman" w:hAnsi="Times New Roman" w:eastAsia="等线" w:cs="Times New Roman"/>
          <w:b/>
          <w:bCs/>
          <w:color w:val="000000"/>
          <w:szCs w:val="22"/>
          <w:lang w:bidi="ar"/>
        </w:rPr>
      </w:pPr>
    </w:p>
    <w:p w14:paraId="1D7B3C2F">
      <w:pPr>
        <w:widowControl/>
        <w:ind w:firstLine="420" w:firstLineChars="200"/>
        <w:jc w:val="center"/>
        <w:rPr>
          <w:rFonts w:hint="default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t xml:space="preserve">Online Resource 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t>2</w:t>
      </w:r>
    </w:p>
    <w:p w14:paraId="696784B5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hint="eastAsia" w:ascii="Times New Roman" w:hAnsi="Times New Roman" w:eastAsia="等线" w:cs="Times New Roman"/>
          <w:b/>
          <w:bCs/>
          <w:color w:val="000000"/>
          <w:szCs w:val="22"/>
          <w:lang w:val="en-US" w:eastAsia="zh-CN" w:bidi="ar"/>
        </w:rPr>
        <w:t>F</w:t>
      </w:r>
      <w:r>
        <w:rPr>
          <w:rFonts w:ascii="Times New Roman" w:hAnsi="Times New Roman" w:eastAsia="等线" w:cs="Times New Roman"/>
          <w:b/>
          <w:bCs/>
          <w:color w:val="000000"/>
          <w:szCs w:val="22"/>
          <w:lang w:bidi="ar"/>
        </w:rPr>
        <w:t xml:space="preserve">igure </w:t>
      </w:r>
      <w:r>
        <w:rPr>
          <w:rFonts w:hint="eastAsia" w:ascii="Times New Roman" w:hAnsi="Times New Roman" w:eastAsia="等线" w:cs="Times New Roman"/>
          <w:b/>
          <w:bCs/>
          <w:color w:val="000000"/>
          <w:szCs w:val="22"/>
          <w:lang w:bidi="ar"/>
        </w:rPr>
        <w:t>S</w:t>
      </w:r>
      <w:r>
        <w:rPr>
          <w:rFonts w:ascii="Times New Roman" w:hAnsi="Times New Roman" w:eastAsia="等线" w:cs="Times New Roman"/>
          <w:b/>
          <w:bCs/>
          <w:color w:val="000000"/>
          <w:szCs w:val="22"/>
          <w:lang w:bidi="ar"/>
        </w:rPr>
        <w:t>1. The flow chart of case selection</w:t>
      </w:r>
      <w:bookmarkStart w:id="1" w:name="_GoBack"/>
      <w:bookmarkEnd w:id="1"/>
    </w:p>
    <w:p w14:paraId="435B02CC">
      <w:r>
        <w:rPr>
          <w:rFonts w:hint="eastAsia"/>
        </w:rPr>
        <w:drawing>
          <wp:inline distT="0" distB="0" distL="114300" distR="114300">
            <wp:extent cx="6668770" cy="3444240"/>
            <wp:effectExtent l="0" t="0" r="11430" b="10160"/>
            <wp:docPr id="1" name="图片 1" descr="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8770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5840" w:h="12240" w:orient="landscape"/>
      <w:pgMar w:top="1800" w:right="1440" w:bottom="1800" w:left="144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3NzYzODdjMmUyZTBiY2U4YmIwMTgwZWMwODUyZDcifQ=="/>
  </w:docVars>
  <w:rsids>
    <w:rsidRoot w:val="00834FF5"/>
    <w:rsid w:val="000B0D1C"/>
    <w:rsid w:val="00396078"/>
    <w:rsid w:val="00834FF5"/>
    <w:rsid w:val="02247ACE"/>
    <w:rsid w:val="07AD5E6F"/>
    <w:rsid w:val="10BA368D"/>
    <w:rsid w:val="1FC16CC0"/>
    <w:rsid w:val="212705E9"/>
    <w:rsid w:val="21C347B6"/>
    <w:rsid w:val="3BA743A8"/>
    <w:rsid w:val="4DFC4A28"/>
    <w:rsid w:val="57652F70"/>
    <w:rsid w:val="58E30CBE"/>
    <w:rsid w:val="58E94C1F"/>
    <w:rsid w:val="591E4843"/>
    <w:rsid w:val="5A87371A"/>
    <w:rsid w:val="73906B47"/>
    <w:rsid w:val="79725A1A"/>
    <w:rsid w:val="7E9C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7">
    <w:name w:val="正文1"/>
    <w:basedOn w:val="1"/>
    <w:qFormat/>
    <w:uiPriority w:val="0"/>
    <w:pPr>
      <w:widowControl/>
    </w:pPr>
    <w:rPr>
      <w:rFonts w:ascii="Times New Roman" w:hAnsi="Times New Roman" w:eastAsia="宋体" w:cs="Times New Roman"/>
      <w:szCs w:val="21"/>
    </w:rPr>
  </w:style>
  <w:style w:type="character" w:customStyle="1" w:styleId="8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C32358BBC6A54783924BFDE8D01310" ma:contentTypeVersion="16" ma:contentTypeDescription="Create a new document." ma:contentTypeScope="" ma:versionID="07bc696cb06d58ea9dfec030a3cb18f5">
  <xsd:schema xmlns:xsd="http://www.w3.org/2001/XMLSchema" xmlns:xs="http://www.w3.org/2001/XMLSchema" xmlns:p="http://schemas.microsoft.com/office/2006/metadata/properties" xmlns:ns2="2afb718e-e481-4740-8c83-c962c2ae7a47" xmlns:ns3="f0c92a45-72c8-44ed-aaa3-c8a9987dc276" targetNamespace="http://schemas.microsoft.com/office/2006/metadata/properties" ma:root="true" ma:fieldsID="c5eed9092d50947df28d044ae2e1b7e6" ns2:_="" ns3:_="">
    <xsd:import namespace="2afb718e-e481-4740-8c83-c962c2ae7a47"/>
    <xsd:import namespace="f0c92a45-72c8-44ed-aaa3-c8a9987dc2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b718e-e481-4740-8c83-c962c2ae7a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0206d38-80b7-4fda-b169-763e61a9c543}" ma:internalName="TaxCatchAll" ma:showField="CatchAllData" ma:web="2afb718e-e481-4740-8c83-c962c2ae7a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2a45-72c8-44ed-aaa3-c8a9987dc2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e3e60b7-7e0f-4d14-858b-c8d7d76977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fb718e-e481-4740-8c83-c962c2ae7a47" xsi:nil="true"/>
    <lcf76f155ced4ddcb4097134ff3c332f xmlns="f0c92a45-72c8-44ed-aaa3-c8a9987dc2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E3252C-7934-4CE2-9DA5-180AB499C116}"/>
</file>

<file path=customXml/itemProps2.xml><?xml version="1.0" encoding="utf-8"?>
<ds:datastoreItem xmlns:ds="http://schemas.openxmlformats.org/officeDocument/2006/customXml" ds:itemID="{76CAB2D9-E474-40C3-A055-4098D9826318}"/>
</file>

<file path=customXml/itemProps3.xml><?xml version="1.0" encoding="utf-8"?>
<ds:datastoreItem xmlns:ds="http://schemas.openxmlformats.org/officeDocument/2006/customXml" ds:itemID="{4DF2C98A-4210-48B4-A3CD-2ABAFAF85A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353</Words>
  <Characters>1931</Characters>
  <Lines>16</Lines>
  <Paragraphs>4</Paragraphs>
  <TotalTime>0</TotalTime>
  <ScaleCrop>false</ScaleCrop>
  <LinksUpToDate>false</LinksUpToDate>
  <CharactersWithSpaces>2265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彭红叶</dc:creator>
  <cp:lastModifiedBy>Admin</cp:lastModifiedBy>
  <cp:revision>2</cp:revision>
  <dcterms:created xsi:type="dcterms:W3CDTF">2023-09-15T07:08:00Z</dcterms:created>
  <dcterms:modified xsi:type="dcterms:W3CDTF">2025-02-28T15:29:45Z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6D04806151BC49D1BFEECF83E93324B1_12</vt:lpwstr>
  </property>
  <property fmtid="{D5CDD505-2E9C-101B-9397-08002B2CF9AE}" pid="4" name="KSOTemplateDocerSaveRecord">
    <vt:lpwstr>eyJoZGlkIjoiYzM3NzYzODdjMmUyZTBiY2U4YmIwMTgwZWMwODUyZDciLCJ1c2VySWQiOiIyODk1NDIxOTgifQ==</vt:lpwstr>
  </property>
  <property fmtid="{D5CDD505-2E9C-101B-9397-08002B2CF9AE}" pid="5" name="ContentTypeId">
    <vt:lpwstr>0x010100F5C32358BBC6A54783924BFDE8D01310</vt:lpwstr>
  </property>
</Properties>
</file>