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371" w:rsidRPr="004805B0" w:rsidRDefault="00226F77" w:rsidP="000C6371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805B0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0C6371" w:rsidRPr="004805B0">
        <w:rPr>
          <w:rFonts w:ascii="Times New Roman" w:hAnsi="Times New Roman" w:cs="Times New Roman"/>
          <w:b/>
          <w:bCs/>
          <w:sz w:val="24"/>
        </w:rPr>
        <w:t>Table 1 Basic characteristics of the included literature</w:t>
      </w:r>
    </w:p>
    <w:tbl>
      <w:tblPr>
        <w:tblStyle w:val="a3"/>
        <w:tblpPr w:leftFromText="180" w:rightFromText="180" w:vertAnchor="text" w:horzAnchor="page" w:tblpXSpec="center" w:tblpY="464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2370"/>
        <w:gridCol w:w="1282"/>
        <w:gridCol w:w="986"/>
        <w:gridCol w:w="1985"/>
        <w:gridCol w:w="1310"/>
        <w:gridCol w:w="1701"/>
        <w:gridCol w:w="1701"/>
        <w:gridCol w:w="1701"/>
        <w:gridCol w:w="1276"/>
      </w:tblGrid>
      <w:tr w:rsidR="000C6371" w:rsidRPr="004805B0" w:rsidTr="001B3C5C">
        <w:trPr>
          <w:trHeight w:val="1162"/>
        </w:trPr>
        <w:tc>
          <w:tcPr>
            <w:tcW w:w="2370" w:type="dxa"/>
            <w:vMerge w:val="restart"/>
            <w:tcBorders>
              <w:top w:val="single" w:sz="12" w:space="0" w:color="auto"/>
            </w:tcBorders>
          </w:tcPr>
          <w:p w:rsidR="000C6371" w:rsidRPr="004805B0" w:rsidRDefault="000C6371" w:rsidP="00860829">
            <w:pPr>
              <w:spacing w:beforeLines="250" w:before="780" w:line="360" w:lineRule="auto"/>
              <w:ind w:firstLineChars="200" w:firstLine="480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Study ID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0C6371" w:rsidRPr="004805B0" w:rsidRDefault="000C6371" w:rsidP="00860829">
            <w:pPr>
              <w:spacing w:beforeLines="100" w:before="312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Sample size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（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n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）</w:t>
            </w:r>
          </w:p>
        </w:tc>
        <w:tc>
          <w:tcPr>
            <w:tcW w:w="3295" w:type="dxa"/>
            <w:gridSpan w:val="2"/>
            <w:tcBorders>
              <w:top w:val="single" w:sz="12" w:space="0" w:color="auto"/>
            </w:tcBorders>
          </w:tcPr>
          <w:p w:rsidR="000C6371" w:rsidRPr="004805B0" w:rsidRDefault="000C6371" w:rsidP="00860829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</w:p>
          <w:p w:rsidR="000C6371" w:rsidRPr="004805B0" w:rsidRDefault="000C6371" w:rsidP="00860829">
            <w:pPr>
              <w:spacing w:afterLines="100" w:after="312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Ages (year)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0C6371" w:rsidRPr="004805B0" w:rsidRDefault="000C6371" w:rsidP="00860829">
            <w:pPr>
              <w:spacing w:beforeLines="100" w:before="312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Dose of</w:t>
            </w:r>
          </w:p>
          <w:p w:rsidR="000C6371" w:rsidRPr="004805B0" w:rsidRDefault="00F47438" w:rsidP="00860829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IFX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0C6371" w:rsidRPr="004805B0" w:rsidRDefault="000C6371" w:rsidP="001B3C5C">
            <w:pPr>
              <w:spacing w:beforeLines="150" w:before="468" w:line="360" w:lineRule="auto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Route of</w:t>
            </w:r>
          </w:p>
          <w:p w:rsidR="000C6371" w:rsidRPr="004805B0" w:rsidRDefault="000C6371" w:rsidP="001B3C5C">
            <w:pPr>
              <w:spacing w:line="360" w:lineRule="auto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Administration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0C6371" w:rsidRPr="004805B0" w:rsidRDefault="000C6371" w:rsidP="00860829">
            <w:pPr>
              <w:spacing w:beforeLines="200" w:before="624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rFonts w:eastAsia="等线"/>
                <w:color w:val="000000" w:themeColor="text1"/>
                <w:sz w:val="24"/>
                <w:szCs w:val="24"/>
                <w14:ligatures w14:val="none"/>
              </w:rPr>
              <w:t>Nationality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:rsidR="000C6371" w:rsidRPr="004805B0" w:rsidRDefault="000C6371" w:rsidP="00860829">
            <w:pPr>
              <w:spacing w:beforeLines="200" w:before="624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Outcomes</w:t>
            </w:r>
          </w:p>
        </w:tc>
      </w:tr>
      <w:tr w:rsidR="000C6371" w:rsidRPr="004805B0" w:rsidTr="001B3C5C">
        <w:trPr>
          <w:trHeight w:val="90"/>
        </w:trPr>
        <w:tc>
          <w:tcPr>
            <w:tcW w:w="2370" w:type="dxa"/>
            <w:vMerge/>
          </w:tcPr>
          <w:p w:rsidR="000C6371" w:rsidRPr="004805B0" w:rsidRDefault="000C6371" w:rsidP="00860829">
            <w:pPr>
              <w:spacing w:line="360" w:lineRule="auto"/>
              <w:rPr>
                <w:sz w:val="24"/>
                <w:szCs w:val="24"/>
                <w14:ligatures w14:val="none"/>
              </w:rPr>
            </w:pPr>
          </w:p>
        </w:tc>
        <w:tc>
          <w:tcPr>
            <w:tcW w:w="1282" w:type="dxa"/>
          </w:tcPr>
          <w:p w:rsidR="000C6371" w:rsidRPr="004805B0" w:rsidRDefault="00F47438" w:rsidP="00860829">
            <w:pPr>
              <w:spacing w:beforeLines="50" w:before="156" w:afterLines="50" w:after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IFX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afterLines="50" w:after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1985" w:type="dxa"/>
          </w:tcPr>
          <w:p w:rsidR="000C6371" w:rsidRPr="004805B0" w:rsidRDefault="00F47438" w:rsidP="00860829">
            <w:pPr>
              <w:spacing w:beforeLines="50" w:before="156" w:afterLines="50" w:after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IFX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afterLines="50" w:after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1701" w:type="dxa"/>
            <w:vMerge/>
          </w:tcPr>
          <w:p w:rsidR="000C6371" w:rsidRPr="004805B0" w:rsidRDefault="000C6371" w:rsidP="00860829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vMerge/>
          </w:tcPr>
          <w:p w:rsidR="000C6371" w:rsidRPr="004805B0" w:rsidRDefault="000C6371" w:rsidP="00860829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vMerge/>
          </w:tcPr>
          <w:p w:rsidR="000C6371" w:rsidRPr="004805B0" w:rsidRDefault="000C6371" w:rsidP="00860829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vMerge/>
          </w:tcPr>
          <w:p w:rsidR="000C6371" w:rsidRPr="004805B0" w:rsidRDefault="000C6371" w:rsidP="00860829">
            <w:pPr>
              <w:spacing w:line="360" w:lineRule="auto"/>
              <w:jc w:val="center"/>
              <w:rPr>
                <w:sz w:val="24"/>
                <w:szCs w:val="24"/>
                <w14:ligatures w14:val="none"/>
              </w:rPr>
            </w:pP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bookmarkStart w:id="0" w:name="OLE_LINK1"/>
            <w:bookmarkStart w:id="1" w:name="OLE_LINK2"/>
            <w:r w:rsidRPr="004805B0">
              <w:rPr>
                <w:sz w:val="24"/>
                <w:szCs w:val="24"/>
                <w14:ligatures w14:val="none"/>
              </w:rPr>
              <w:t>Paul Rutgeerts</w:t>
            </w:r>
            <w:r w:rsidRPr="004805B0">
              <w:rPr>
                <w:sz w:val="24"/>
                <w:szCs w:val="24"/>
                <w14:ligatures w14:val="none"/>
              </w:rPr>
              <w:t>（</w:t>
            </w:r>
            <w:r w:rsidRPr="004805B0">
              <w:rPr>
                <w:sz w:val="24"/>
                <w:szCs w:val="24"/>
                <w14:ligatures w14:val="none"/>
              </w:rPr>
              <w:t>ACT-1</w:t>
            </w:r>
            <w:r w:rsidRPr="004805B0">
              <w:rPr>
                <w:sz w:val="24"/>
                <w:szCs w:val="24"/>
                <w14:ligatures w14:val="none"/>
              </w:rPr>
              <w:t>）</w:t>
            </w:r>
            <w:bookmarkEnd w:id="0"/>
            <w:bookmarkEnd w:id="1"/>
            <w:r w:rsidRPr="004805B0">
              <w:rPr>
                <w:sz w:val="24"/>
                <w:szCs w:val="24"/>
                <w14:ligatures w14:val="none"/>
              </w:rPr>
              <w:t>2005</w:t>
            </w:r>
          </w:p>
        </w:tc>
        <w:tc>
          <w:tcPr>
            <w:tcW w:w="1282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243</w:t>
            </w:r>
          </w:p>
        </w:tc>
        <w:tc>
          <w:tcPr>
            <w:tcW w:w="98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121</w:t>
            </w:r>
          </w:p>
        </w:tc>
        <w:tc>
          <w:tcPr>
            <w:tcW w:w="1985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5mg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：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42.4±14.3 10mg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：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41.8±14.9</w:t>
            </w:r>
          </w:p>
        </w:tc>
        <w:tc>
          <w:tcPr>
            <w:tcW w:w="131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41.4±13.7</w:t>
            </w:r>
          </w:p>
        </w:tc>
        <w:tc>
          <w:tcPr>
            <w:tcW w:w="1701" w:type="dxa"/>
            <w:vAlign w:val="center"/>
          </w:tcPr>
          <w:p w:rsidR="001B3C5C" w:rsidRPr="004805B0" w:rsidRDefault="000C6371" w:rsidP="001B3C5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  <w:r w:rsidR="001B3C5C" w:rsidRPr="004805B0">
              <w:rPr>
                <w:rFonts w:hint="eastAsia"/>
                <w:color w:val="000000" w:themeColor="text1"/>
                <w:sz w:val="24"/>
                <w:szCs w:val="24"/>
                <w14:ligatures w14:val="none"/>
              </w:rPr>
              <w:t>;</w:t>
            </w:r>
          </w:p>
          <w:p w:rsidR="000C6371" w:rsidRPr="004805B0" w:rsidRDefault="000C6371" w:rsidP="001B3C5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10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Multinational</w:t>
            </w:r>
          </w:p>
        </w:tc>
        <w:tc>
          <w:tcPr>
            <w:tcW w:w="127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 w:hint="eastAsia"/>
                <w:sz w:val="24"/>
                <w:szCs w:val="24"/>
                <w14:ligatures w14:val="none"/>
              </w:rPr>
              <w:t>①②③④⑤⑦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Paul Rutgeerts</w:t>
            </w:r>
            <w:r w:rsidRPr="004805B0">
              <w:rPr>
                <w:sz w:val="24"/>
                <w:szCs w:val="24"/>
                <w14:ligatures w14:val="none"/>
              </w:rPr>
              <w:t>（</w:t>
            </w:r>
            <w:r w:rsidRPr="004805B0">
              <w:rPr>
                <w:sz w:val="24"/>
                <w:szCs w:val="24"/>
                <w14:ligatures w14:val="none"/>
              </w:rPr>
              <w:t>ACT-2</w:t>
            </w:r>
            <w:r w:rsidRPr="004805B0">
              <w:rPr>
                <w:sz w:val="24"/>
                <w:szCs w:val="24"/>
                <w14:ligatures w14:val="none"/>
              </w:rPr>
              <w:t>）</w:t>
            </w:r>
            <w:r w:rsidRPr="004805B0">
              <w:rPr>
                <w:sz w:val="24"/>
                <w:szCs w:val="24"/>
                <w14:ligatures w14:val="none"/>
              </w:rPr>
              <w:t>2005</w:t>
            </w:r>
          </w:p>
        </w:tc>
        <w:tc>
          <w:tcPr>
            <w:tcW w:w="1282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241</w:t>
            </w:r>
          </w:p>
        </w:tc>
        <w:tc>
          <w:tcPr>
            <w:tcW w:w="98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123</w:t>
            </w:r>
          </w:p>
        </w:tc>
        <w:tc>
          <w:tcPr>
            <w:tcW w:w="1985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5mg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：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40.5±13.1 10mg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：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40.3±13.3</w:t>
            </w:r>
          </w:p>
        </w:tc>
        <w:tc>
          <w:tcPr>
            <w:tcW w:w="131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39.3±13.5</w:t>
            </w:r>
          </w:p>
        </w:tc>
        <w:tc>
          <w:tcPr>
            <w:tcW w:w="1701" w:type="dxa"/>
            <w:vAlign w:val="center"/>
          </w:tcPr>
          <w:p w:rsidR="001B3C5C" w:rsidRPr="004805B0" w:rsidRDefault="000C6371" w:rsidP="001B3C5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>;</w:t>
            </w:r>
          </w:p>
          <w:p w:rsidR="000C6371" w:rsidRPr="004805B0" w:rsidRDefault="000C6371" w:rsidP="001B3C5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10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Multinational</w:t>
            </w:r>
          </w:p>
        </w:tc>
        <w:tc>
          <w:tcPr>
            <w:tcW w:w="127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①②③④⑤⑦</w:t>
            </w:r>
          </w:p>
        </w:tc>
      </w:tr>
      <w:tr w:rsidR="000C6371" w:rsidRPr="004805B0" w:rsidTr="001B3C5C">
        <w:trPr>
          <w:trHeight w:val="849"/>
        </w:trPr>
        <w:tc>
          <w:tcPr>
            <w:tcW w:w="237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A Armuzzi 2004</w:t>
            </w:r>
          </w:p>
        </w:tc>
        <w:tc>
          <w:tcPr>
            <w:tcW w:w="1282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8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985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24-50</w:t>
            </w:r>
          </w:p>
        </w:tc>
        <w:tc>
          <w:tcPr>
            <w:tcW w:w="131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24-53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Italy</w:t>
            </w:r>
          </w:p>
        </w:tc>
        <w:tc>
          <w:tcPr>
            <w:tcW w:w="1276" w:type="dxa"/>
            <w:vAlign w:val="center"/>
          </w:tcPr>
          <w:p w:rsidR="000C6371" w:rsidRPr="004805B0" w:rsidRDefault="000C6371" w:rsidP="001319A5">
            <w:pPr>
              <w:spacing w:beforeLines="50" w:before="156" w:line="360" w:lineRule="auto"/>
              <w:ind w:firstLineChars="100" w:firstLine="240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 w:hint="eastAsia"/>
                <w:sz w:val="24"/>
                <w:szCs w:val="24"/>
                <w14:ligatures w14:val="none"/>
              </w:rPr>
              <w:t>③④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 S J Probert 2003</w:t>
            </w:r>
          </w:p>
        </w:tc>
        <w:tc>
          <w:tcPr>
            <w:tcW w:w="1282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98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985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29-43.5</w:t>
            </w:r>
          </w:p>
        </w:tc>
        <w:tc>
          <w:tcPr>
            <w:tcW w:w="131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35.5–50.5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UK</w:t>
            </w:r>
          </w:p>
        </w:tc>
        <w:tc>
          <w:tcPr>
            <w:tcW w:w="127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①②④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Thomas Ochsenkühn 2004</w:t>
            </w:r>
          </w:p>
        </w:tc>
        <w:tc>
          <w:tcPr>
            <w:tcW w:w="1282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8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985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21-44</w:t>
            </w:r>
          </w:p>
        </w:tc>
        <w:tc>
          <w:tcPr>
            <w:tcW w:w="131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23-78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Germany</w:t>
            </w:r>
          </w:p>
        </w:tc>
        <w:tc>
          <w:tcPr>
            <w:tcW w:w="127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③</w:t>
            </w:r>
          </w:p>
        </w:tc>
      </w:tr>
      <w:tr w:rsidR="000C6371" w:rsidRPr="004805B0" w:rsidTr="001B3C5C">
        <w:trPr>
          <w:trHeight w:val="1082"/>
        </w:trPr>
        <w:tc>
          <w:tcPr>
            <w:tcW w:w="237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lastRenderedPageBreak/>
              <w:t>Gunnar</w:t>
            </w:r>
            <w:bookmarkStart w:id="2" w:name="OLE_LINK5"/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bookmarkStart w:id="3" w:name="OLE_LINK3"/>
            <w:bookmarkStart w:id="4" w:name="OLE_LINK4"/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Järnerot</w:t>
            </w:r>
            <w:bookmarkEnd w:id="2"/>
            <w:bookmarkEnd w:id="3"/>
            <w:bookmarkEnd w:id="4"/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2005</w:t>
            </w:r>
          </w:p>
        </w:tc>
        <w:tc>
          <w:tcPr>
            <w:tcW w:w="1282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98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985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20-60</w:t>
            </w:r>
          </w:p>
        </w:tc>
        <w:tc>
          <w:tcPr>
            <w:tcW w:w="131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19-61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Swedish</w:t>
            </w:r>
          </w:p>
        </w:tc>
        <w:tc>
          <w:tcPr>
            <w:tcW w:w="127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①②③④⑤⑥⑦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Taku Kobayashi 2016</w:t>
            </w:r>
          </w:p>
        </w:tc>
        <w:tc>
          <w:tcPr>
            <w:tcW w:w="1282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104</w:t>
            </w:r>
          </w:p>
        </w:tc>
        <w:tc>
          <w:tcPr>
            <w:tcW w:w="98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104</w:t>
            </w:r>
          </w:p>
        </w:tc>
        <w:tc>
          <w:tcPr>
            <w:tcW w:w="1985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40.0±12.7</w:t>
            </w:r>
          </w:p>
        </w:tc>
        <w:tc>
          <w:tcPr>
            <w:tcW w:w="1310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37.8±12.9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Japan</w:t>
            </w:r>
          </w:p>
        </w:tc>
        <w:tc>
          <w:tcPr>
            <w:tcW w:w="1276" w:type="dxa"/>
            <w:vAlign w:val="center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①②</w:t>
            </w:r>
            <w:r w:rsidR="004805B0"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⑤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B E Sands 2001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5mg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：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43.7± 17.0 10mg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：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35.0 ± 3.5 20mg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：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NR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40.3 ± 16.0</w:t>
            </w:r>
          </w:p>
        </w:tc>
        <w:tc>
          <w:tcPr>
            <w:tcW w:w="1701" w:type="dxa"/>
          </w:tcPr>
          <w:p w:rsidR="00E07BA1" w:rsidRPr="004805B0" w:rsidRDefault="000C6371" w:rsidP="001B3C5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  <w:r w:rsidR="00E07BA1" w:rsidRPr="004805B0">
              <w:rPr>
                <w:rFonts w:hint="eastAsia"/>
                <w:color w:val="000000" w:themeColor="text1"/>
                <w:sz w:val="24"/>
                <w:szCs w:val="24"/>
                <w14:ligatures w14:val="none"/>
              </w:rPr>
              <w:t>;</w:t>
            </w:r>
          </w:p>
          <w:p w:rsidR="001B3C5C" w:rsidRPr="004805B0" w:rsidRDefault="000C6371" w:rsidP="001B3C5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10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  <w:r w:rsidR="00E07BA1" w:rsidRPr="004805B0">
              <w:rPr>
                <w:rFonts w:hint="eastAsia"/>
                <w:color w:val="000000" w:themeColor="text1"/>
                <w:sz w:val="24"/>
                <w:szCs w:val="24"/>
                <w14:ligatures w14:val="none"/>
              </w:rPr>
              <w:t>;</w:t>
            </w:r>
          </w:p>
          <w:p w:rsidR="000C6371" w:rsidRPr="004805B0" w:rsidRDefault="000C6371" w:rsidP="001B3C5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20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USA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④⑥⑦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Silvio Danese 2022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198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199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18-70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rFonts w:hint="eastAsia"/>
                <w:color w:val="000000" w:themeColor="text1"/>
                <w:sz w:val="24"/>
                <w:szCs w:val="24"/>
                <w14:ligatures w14:val="none"/>
              </w:rPr>
              <w:t>1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8-76</w:t>
            </w:r>
          </w:p>
        </w:tc>
        <w:tc>
          <w:tcPr>
            <w:tcW w:w="1701" w:type="dxa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Multinational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①③⑤⑦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Lizhen Fan 2017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58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58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43.19±2.57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43.83±2.61</w:t>
            </w:r>
          </w:p>
        </w:tc>
        <w:tc>
          <w:tcPr>
            <w:tcW w:w="1701" w:type="dxa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Huadong Zhang 2015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44.6±5.1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45.4±5.9</w:t>
            </w:r>
          </w:p>
        </w:tc>
        <w:tc>
          <w:tcPr>
            <w:tcW w:w="1701" w:type="dxa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Lingwei Cai 2015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30.0±5.5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31.5±4.6</w:t>
            </w:r>
          </w:p>
        </w:tc>
        <w:tc>
          <w:tcPr>
            <w:tcW w:w="1701" w:type="dxa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Zhongjing Zhi 2014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35.8±12.3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32.5±11.6</w:t>
            </w:r>
          </w:p>
        </w:tc>
        <w:tc>
          <w:tcPr>
            <w:tcW w:w="1701" w:type="dxa"/>
          </w:tcPr>
          <w:p w:rsidR="000C6371" w:rsidRPr="004805B0" w:rsidRDefault="000C6371" w:rsidP="00E07BA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Haitao Chen 2014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3295" w:type="dxa"/>
            <w:gridSpan w:val="2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42.5±6.4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lastRenderedPageBreak/>
              <w:t>Fei Wang 2018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41.23±2.19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41.89±2.53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PO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Zhuo Gao 2016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45.29±15.86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45.16±15.73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Bailong Shen 2014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20-50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20-50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Gongchen Liang 2021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48.89 ± 2.96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48.55± 2,78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Lv Zhong 2016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38.44±5.48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38.65±5.89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</w:t>
            </w:r>
            <w:r w:rsidR="001B3C5C" w:rsidRPr="004805B0">
              <w:rPr>
                <w:color w:val="000000" w:themeColor="text1"/>
                <w:sz w:val="24"/>
                <w:szCs w:val="24"/>
                <w14:ligatures w14:val="none"/>
              </w:rPr>
              <w:t xml:space="preserve"> </w:t>
            </w: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①③⑦</w:t>
            </w:r>
          </w:p>
        </w:tc>
      </w:tr>
      <w:tr w:rsidR="000C6371" w:rsidRPr="004805B0" w:rsidTr="001B3C5C">
        <w:trPr>
          <w:trHeight w:val="780"/>
        </w:trPr>
        <w:tc>
          <w:tcPr>
            <w:tcW w:w="2370" w:type="dxa"/>
          </w:tcPr>
          <w:p w:rsidR="000C6371" w:rsidRPr="004805B0" w:rsidRDefault="000C6371" w:rsidP="00860829">
            <w:pPr>
              <w:spacing w:beforeLines="50" w:before="156" w:line="360" w:lineRule="auto"/>
              <w:rPr>
                <w:sz w:val="24"/>
                <w:szCs w:val="24"/>
                <w14:ligatures w14:val="none"/>
              </w:rPr>
            </w:pPr>
            <w:r w:rsidRPr="004805B0">
              <w:rPr>
                <w:sz w:val="24"/>
                <w:szCs w:val="24"/>
                <w14:ligatures w14:val="none"/>
              </w:rPr>
              <w:t>Baili Chen 2019</w:t>
            </w:r>
          </w:p>
        </w:tc>
        <w:tc>
          <w:tcPr>
            <w:tcW w:w="1282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98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1985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39.2±12.6</w:t>
            </w:r>
          </w:p>
        </w:tc>
        <w:tc>
          <w:tcPr>
            <w:tcW w:w="1310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37.0±11.4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5 mg/kg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1701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4805B0">
              <w:rPr>
                <w:color w:val="000000" w:themeColor="text1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276" w:type="dxa"/>
          </w:tcPr>
          <w:p w:rsidR="000C6371" w:rsidRPr="004805B0" w:rsidRDefault="000C6371" w:rsidP="00860829">
            <w:pPr>
              <w:spacing w:beforeLines="50" w:before="156" w:line="360" w:lineRule="auto"/>
              <w:jc w:val="center"/>
              <w:rPr>
                <w:rFonts w:ascii="宋体" w:hAnsi="宋体" w:cs="宋体"/>
                <w:sz w:val="24"/>
                <w:szCs w:val="24"/>
                <w14:ligatures w14:val="none"/>
              </w:rPr>
            </w:pPr>
            <w:r w:rsidRPr="004805B0">
              <w:rPr>
                <w:rFonts w:ascii="宋体" w:hAnsi="宋体" w:cs="宋体"/>
                <w:sz w:val="24"/>
                <w:szCs w:val="24"/>
                <w14:ligatures w14:val="none"/>
              </w:rPr>
              <w:t>①②③④⑤⑥</w:t>
            </w:r>
          </w:p>
        </w:tc>
      </w:tr>
    </w:tbl>
    <w:p w:rsidR="00EC7DBD" w:rsidRPr="00365E8A" w:rsidRDefault="00365E8A" w:rsidP="004A4D42">
      <w:pPr>
        <w:spacing w:line="360" w:lineRule="auto"/>
        <w:rPr>
          <w:color w:val="FF0000"/>
        </w:rPr>
      </w:pPr>
      <w:r w:rsidRPr="00365E8A">
        <w:rPr>
          <w:rFonts w:ascii="Times New Roman" w:hAnsi="Times New Roman" w:cs="Times New Roman"/>
          <w:color w:val="FF0000"/>
          <w:sz w:val="24"/>
        </w:rPr>
        <w:t xml:space="preserve">NR: not report; </w:t>
      </w:r>
      <w:r w:rsidR="000C6371" w:rsidRPr="00365E8A">
        <w:rPr>
          <w:rFonts w:ascii="Times New Roman" w:hAnsi="Times New Roman" w:cs="Times New Roman" w:hint="eastAsia"/>
          <w:color w:val="FF0000"/>
          <w:sz w:val="24"/>
        </w:rPr>
        <w:t>IV</w:t>
      </w:r>
      <w:r w:rsidR="000C6371" w:rsidRPr="00365E8A">
        <w:rPr>
          <w:rFonts w:ascii="宋体" w:eastAsia="宋体" w:hAnsi="宋体" w:cs="Times New Roman"/>
          <w:color w:val="FF0000"/>
          <w:sz w:val="24"/>
        </w:rPr>
        <w:t>：</w:t>
      </w:r>
      <w:r w:rsidR="000C6371" w:rsidRPr="00365E8A">
        <w:rPr>
          <w:rFonts w:ascii="Times New Roman" w:hAnsi="Times New Roman" w:cs="Times New Roman" w:hint="eastAsia"/>
          <w:color w:val="FF0000"/>
          <w:sz w:val="24"/>
        </w:rPr>
        <w:t>intrav</w:t>
      </w:r>
      <w:r w:rsidR="000C6371" w:rsidRPr="00365E8A">
        <w:rPr>
          <w:rFonts w:ascii="Times New Roman" w:hAnsi="Times New Roman" w:cs="Times New Roman"/>
          <w:color w:val="FF0000"/>
          <w:sz w:val="24"/>
        </w:rPr>
        <w:t xml:space="preserve">enous; </w:t>
      </w:r>
      <w:r w:rsidR="000C6371" w:rsidRPr="00365E8A">
        <w:rPr>
          <w:rFonts w:ascii="宋体" w:eastAsia="宋体" w:hAnsi="宋体" w:cs="宋体" w:hint="eastAsia"/>
          <w:color w:val="FF0000"/>
          <w:sz w:val="24"/>
        </w:rPr>
        <w:t>①</w:t>
      </w:r>
      <w:r w:rsidR="000C6371" w:rsidRPr="00365E8A">
        <w:rPr>
          <w:rFonts w:ascii="Times New Roman" w:hAnsi="Times New Roman" w:cs="Times New Roman"/>
          <w:color w:val="FF0000"/>
          <w:sz w:val="24"/>
        </w:rPr>
        <w:t>Short-term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 (4-12 weeks)</w:t>
      </w:r>
      <w:r w:rsidR="000C6371" w:rsidRPr="00365E8A">
        <w:rPr>
          <w:rFonts w:ascii="Times New Roman" w:hAnsi="Times New Roman" w:cs="Times New Roman"/>
          <w:color w:val="FF0000"/>
          <w:sz w:val="24"/>
        </w:rPr>
        <w:t xml:space="preserve"> clinical response; </w:t>
      </w:r>
      <w:r w:rsidR="000C6371" w:rsidRPr="00365E8A">
        <w:rPr>
          <w:rFonts w:ascii="宋体" w:eastAsia="宋体" w:hAnsi="宋体" w:cs="宋体"/>
          <w:color w:val="FF0000"/>
          <w:sz w:val="24"/>
        </w:rPr>
        <w:t>②</w:t>
      </w:r>
      <w:r w:rsidR="000C6371" w:rsidRPr="00365E8A">
        <w:rPr>
          <w:rFonts w:ascii="Times New Roman" w:hAnsi="Times New Roman" w:cs="Times New Roman"/>
          <w:color w:val="FF0000"/>
          <w:sz w:val="24"/>
        </w:rPr>
        <w:t>Long-term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 (</w:t>
      </w:r>
      <w:r w:rsidRPr="00365E8A">
        <w:rPr>
          <w:rFonts w:ascii="Times New Roman" w:hAnsi="Times New Roman" w:cs="Times New Roman" w:hint="eastAsia"/>
          <w:color w:val="FF0000"/>
          <w:sz w:val="24"/>
        </w:rPr>
        <w:t>≥</w:t>
      </w:r>
      <w:r w:rsidRPr="00365E8A">
        <w:rPr>
          <w:rFonts w:ascii="Times New Roman" w:hAnsi="Times New Roman" w:cs="Times New Roman"/>
          <w:color w:val="FF0000"/>
          <w:sz w:val="24"/>
        </w:rPr>
        <w:t>6 months)</w:t>
      </w:r>
      <w:r w:rsidR="000C6371" w:rsidRPr="00365E8A">
        <w:rPr>
          <w:rFonts w:ascii="Times New Roman" w:hAnsi="Times New Roman" w:cs="Times New Roman"/>
          <w:color w:val="FF0000"/>
          <w:sz w:val="24"/>
        </w:rPr>
        <w:t xml:space="preserve"> clinical response; </w:t>
      </w:r>
      <w:r w:rsidR="000C6371" w:rsidRPr="00365E8A">
        <w:rPr>
          <w:rFonts w:ascii="宋体" w:eastAsia="宋体" w:hAnsi="宋体" w:cs="宋体"/>
          <w:color w:val="FF0000"/>
          <w:sz w:val="24"/>
        </w:rPr>
        <w:t>③</w:t>
      </w:r>
      <w:r w:rsidR="000C6371" w:rsidRPr="00365E8A">
        <w:rPr>
          <w:rFonts w:ascii="Times New Roman" w:hAnsi="Times New Roman" w:cs="Times New Roman"/>
          <w:color w:val="FF0000"/>
          <w:sz w:val="24"/>
        </w:rPr>
        <w:t>Short-term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 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(4-12 weeks) </w:t>
      </w:r>
      <w:r w:rsidR="000C6371" w:rsidRPr="00365E8A">
        <w:rPr>
          <w:rFonts w:ascii="Times New Roman" w:hAnsi="Times New Roman" w:cs="Times New Roman"/>
          <w:color w:val="FF0000"/>
          <w:sz w:val="24"/>
        </w:rPr>
        <w:t xml:space="preserve">clinical remission; </w:t>
      </w:r>
      <w:r w:rsidR="000C6371" w:rsidRPr="00365E8A">
        <w:rPr>
          <w:rFonts w:ascii="宋体" w:eastAsia="宋体" w:hAnsi="宋体" w:cs="宋体"/>
          <w:color w:val="FF0000"/>
          <w:sz w:val="24"/>
        </w:rPr>
        <w:t>④</w:t>
      </w:r>
      <w:r w:rsidR="000C6371" w:rsidRPr="00365E8A">
        <w:rPr>
          <w:rFonts w:ascii="Times New Roman" w:hAnsi="Times New Roman" w:cs="Times New Roman"/>
          <w:color w:val="FF0000"/>
          <w:sz w:val="24"/>
        </w:rPr>
        <w:t>Long-term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 (</w:t>
      </w:r>
      <w:r w:rsidRPr="00365E8A">
        <w:rPr>
          <w:rFonts w:ascii="Times New Roman" w:hAnsi="Times New Roman" w:cs="Times New Roman" w:hint="eastAsia"/>
          <w:color w:val="FF0000"/>
          <w:sz w:val="24"/>
        </w:rPr>
        <w:t>≥</w:t>
      </w:r>
      <w:r w:rsidRPr="00365E8A">
        <w:rPr>
          <w:rFonts w:ascii="Times New Roman" w:hAnsi="Times New Roman" w:cs="Times New Roman"/>
          <w:color w:val="FF0000"/>
          <w:sz w:val="24"/>
        </w:rPr>
        <w:t>6 months)</w:t>
      </w:r>
      <w:r w:rsidR="000C6371" w:rsidRPr="00365E8A">
        <w:rPr>
          <w:rFonts w:ascii="Times New Roman" w:hAnsi="Times New Roman" w:cs="Times New Roman"/>
          <w:color w:val="FF0000"/>
          <w:sz w:val="24"/>
        </w:rPr>
        <w:t xml:space="preserve"> clinical remission; </w:t>
      </w:r>
      <w:r w:rsidR="000C6371" w:rsidRPr="00365E8A">
        <w:rPr>
          <w:rFonts w:ascii="宋体" w:eastAsia="宋体" w:hAnsi="宋体" w:cs="宋体"/>
          <w:color w:val="FF0000"/>
          <w:sz w:val="24"/>
        </w:rPr>
        <w:t>⑤</w:t>
      </w:r>
      <w:r w:rsidR="000C6371" w:rsidRPr="00365E8A">
        <w:rPr>
          <w:rFonts w:ascii="Times New Roman" w:hAnsi="Times New Roman" w:cs="Times New Roman"/>
          <w:color w:val="FF0000"/>
          <w:sz w:val="24"/>
        </w:rPr>
        <w:t>Short-term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 (4-12 weeks)</w:t>
      </w:r>
      <w:r w:rsidR="000C6371" w:rsidRPr="00365E8A">
        <w:rPr>
          <w:rFonts w:ascii="Times New Roman" w:hAnsi="Times New Roman" w:cs="Times New Roman"/>
          <w:color w:val="FF0000"/>
          <w:sz w:val="24"/>
        </w:rPr>
        <w:t xml:space="preserve"> mucosal remission; </w:t>
      </w:r>
      <w:r w:rsidR="000C6371" w:rsidRPr="00365E8A">
        <w:rPr>
          <w:rFonts w:ascii="宋体" w:eastAsia="宋体" w:hAnsi="宋体" w:cs="宋体"/>
          <w:color w:val="FF0000"/>
          <w:sz w:val="24"/>
        </w:rPr>
        <w:t>⑥</w:t>
      </w:r>
      <w:r w:rsidR="000C6371" w:rsidRPr="00365E8A">
        <w:rPr>
          <w:rFonts w:ascii="Times New Roman" w:hAnsi="Times New Roman" w:cs="Times New Roman"/>
          <w:color w:val="FF0000"/>
          <w:sz w:val="24"/>
        </w:rPr>
        <w:t>Long-term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 </w:t>
      </w:r>
      <w:r w:rsidRPr="00365E8A">
        <w:rPr>
          <w:rFonts w:ascii="Times New Roman" w:hAnsi="Times New Roman" w:cs="Times New Roman"/>
          <w:color w:val="FF0000"/>
          <w:sz w:val="24"/>
        </w:rPr>
        <w:t>(</w:t>
      </w:r>
      <w:r w:rsidRPr="00365E8A">
        <w:rPr>
          <w:rFonts w:ascii="Times New Roman" w:hAnsi="Times New Roman" w:cs="Times New Roman" w:hint="eastAsia"/>
          <w:color w:val="FF0000"/>
          <w:sz w:val="24"/>
        </w:rPr>
        <w:t>≥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6 months) </w:t>
      </w:r>
      <w:r w:rsidR="000C6371" w:rsidRPr="00365E8A">
        <w:rPr>
          <w:rFonts w:ascii="Times New Roman" w:hAnsi="Times New Roman" w:cs="Times New Roman"/>
          <w:color w:val="FF0000"/>
          <w:sz w:val="24"/>
        </w:rPr>
        <w:t xml:space="preserve"> mucosal remission; </w:t>
      </w:r>
      <w:r w:rsidR="000C6371" w:rsidRPr="00365E8A">
        <w:rPr>
          <w:rFonts w:ascii="宋体" w:eastAsia="宋体" w:hAnsi="宋体" w:cs="宋体"/>
          <w:color w:val="FF0000"/>
          <w:sz w:val="24"/>
        </w:rPr>
        <w:t>⑦</w:t>
      </w:r>
      <w:r w:rsidR="000C6371" w:rsidRPr="00365E8A">
        <w:rPr>
          <w:rFonts w:ascii="Times New Roman" w:hAnsi="Times New Roman" w:cs="Times New Roman"/>
          <w:color w:val="FF0000"/>
          <w:sz w:val="24"/>
        </w:rPr>
        <w:t xml:space="preserve">Adverse </w:t>
      </w:r>
      <w:r w:rsidR="000C6371" w:rsidRPr="00365E8A">
        <w:rPr>
          <w:rFonts w:ascii="Times New Roman" w:hAnsi="Times New Roman" w:cs="Times New Roman" w:hint="eastAsia"/>
          <w:color w:val="FF0000"/>
          <w:sz w:val="24"/>
        </w:rPr>
        <w:t>events</w:t>
      </w:r>
      <w:r w:rsidRPr="00365E8A">
        <w:rPr>
          <w:rFonts w:ascii="Times New Roman" w:hAnsi="Times New Roman" w:cs="Times New Roman"/>
          <w:color w:val="FF0000"/>
          <w:sz w:val="24"/>
        </w:rPr>
        <w:t xml:space="preserve"> (including gastrointestinal reactions [nausea, vomiting, diarrhea, abdominal pain, a</w:t>
      </w:r>
      <w:r w:rsidRPr="00365E8A">
        <w:rPr>
          <w:rFonts w:ascii="Times New Roman" w:hAnsi="Times New Roman" w:cs="Times New Roman"/>
          <w:color w:val="FF0000"/>
          <w:sz w:val="24"/>
        </w:rPr>
        <w:t>bdominal distension</w:t>
      </w:r>
      <w:r w:rsidRPr="00365E8A">
        <w:rPr>
          <w:rFonts w:ascii="Times New Roman" w:hAnsi="Times New Roman" w:cs="Times New Roman"/>
          <w:color w:val="FF0000"/>
          <w:sz w:val="24"/>
        </w:rPr>
        <w:t>], leukopenia, joint pain, and skin sensitization)</w:t>
      </w:r>
      <w:r w:rsidR="00847EB8" w:rsidRPr="00365E8A">
        <w:rPr>
          <w:rFonts w:ascii="Times New Roman" w:hAnsi="Times New Roman" w:cs="Times New Roman"/>
          <w:color w:val="FF0000"/>
          <w:sz w:val="24"/>
        </w:rPr>
        <w:t>.</w:t>
      </w:r>
      <w:bookmarkStart w:id="5" w:name="_GoBack"/>
      <w:bookmarkEnd w:id="5"/>
    </w:p>
    <w:sectPr w:rsidR="00EC7DBD" w:rsidRPr="00365E8A" w:rsidSect="000C63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42"/>
    <w:rsid w:val="000C6371"/>
    <w:rsid w:val="001319A5"/>
    <w:rsid w:val="001B3C5C"/>
    <w:rsid w:val="00226F77"/>
    <w:rsid w:val="002A33C4"/>
    <w:rsid w:val="002A437D"/>
    <w:rsid w:val="00365E8A"/>
    <w:rsid w:val="003B1048"/>
    <w:rsid w:val="004805B0"/>
    <w:rsid w:val="004A4D42"/>
    <w:rsid w:val="006E280D"/>
    <w:rsid w:val="00847EB8"/>
    <w:rsid w:val="00860829"/>
    <w:rsid w:val="00BE7D42"/>
    <w:rsid w:val="00D731BA"/>
    <w:rsid w:val="00E07BA1"/>
    <w:rsid w:val="00EC7DBD"/>
    <w:rsid w:val="00F4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28BD8F"/>
  <w15:chartTrackingRefBased/>
  <w15:docId w15:val="{54293D6F-6248-4245-8677-832257A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371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0C637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6371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E07BA1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07BA1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380</Words>
  <Characters>1723</Characters>
  <Application>Microsoft Office Word</Application>
  <DocSecurity>0</DocSecurity>
  <Lines>220</Lines>
  <Paragraphs>198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2025-05-21T03:14:00Z</dcterms:created>
  <dcterms:modified xsi:type="dcterms:W3CDTF">2025-05-30T13:22:00Z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705123bfd45bcafcc434adbeca736bbf613e6522971ed97ae1f8b6b44d0f67ae</vt:lpwstr>
  </property>
</Properties>
</file>