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30EA6" w14:textId="203CB16A" w:rsidR="00EE54D7" w:rsidRPr="000D5BCC" w:rsidRDefault="00E404BD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0D5BCC">
        <w:rPr>
          <w:rFonts w:ascii="Times New Roman" w:hAnsi="Times New Roman" w:cs="Times New Roman"/>
          <w:b/>
          <w:bCs/>
          <w:sz w:val="24"/>
          <w:szCs w:val="28"/>
        </w:rPr>
        <w:t>Table S2</w:t>
      </w:r>
      <w:r w:rsidR="00970079" w:rsidRPr="000D5BCC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7067F4" w:rsidRPr="000D5BCC">
        <w:rPr>
          <w:rFonts w:ascii="Times New Roman" w:hAnsi="Times New Roman" w:cs="Times New Roman" w:hint="eastAsia"/>
          <w:b/>
          <w:bCs/>
          <w:sz w:val="24"/>
          <w:szCs w:val="28"/>
        </w:rPr>
        <w:t>Methods for detecting pain</w:t>
      </w:r>
    </w:p>
    <w:tbl>
      <w:tblPr>
        <w:tblStyle w:val="af2"/>
        <w:tblW w:w="82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5"/>
        <w:gridCol w:w="2850"/>
        <w:gridCol w:w="2471"/>
      </w:tblGrid>
      <w:tr w:rsidR="000D1A6C" w14:paraId="035FB1C4" w14:textId="30BDBCA9" w:rsidTr="00C55450"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636E84A6" w14:textId="26D0CE4D" w:rsidR="000D1A6C" w:rsidRDefault="000D1A6C" w:rsidP="000D5B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1C4">
              <w:rPr>
                <w:rFonts w:ascii="Times New Roman" w:hAnsi="Times New Roman" w:cs="Times New Roman"/>
                <w:b/>
                <w:sz w:val="24"/>
              </w:rPr>
              <w:t>Study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</w:tcPr>
          <w:p w14:paraId="017F1545" w14:textId="7558D909" w:rsidR="000D1A6C" w:rsidRDefault="000D1A6C" w:rsidP="000D5B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D5BCC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Methods</w:t>
            </w:r>
          </w:p>
        </w:tc>
        <w:tc>
          <w:tcPr>
            <w:tcW w:w="2471" w:type="dxa"/>
            <w:tcBorders>
              <w:top w:val="single" w:sz="4" w:space="0" w:color="auto"/>
              <w:bottom w:val="single" w:sz="4" w:space="0" w:color="auto"/>
            </w:tcBorders>
          </w:tcPr>
          <w:p w14:paraId="79FB5E68" w14:textId="40D52A93" w:rsidR="000D1A6C" w:rsidRPr="000D5BCC" w:rsidRDefault="002E7397" w:rsidP="000D5BCC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2E7397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Time</w:t>
            </w:r>
            <w:r w:rsidR="00CD6F44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 point</w:t>
            </w:r>
            <w:r w:rsidRPr="002E7397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 xml:space="preserve"> to detect pain</w:t>
            </w:r>
          </w:p>
        </w:tc>
      </w:tr>
      <w:tr w:rsidR="000D1A6C" w14:paraId="20183C4F" w14:textId="4E89512E" w:rsidTr="00C55450">
        <w:tc>
          <w:tcPr>
            <w:tcW w:w="2975" w:type="dxa"/>
            <w:tcBorders>
              <w:top w:val="single" w:sz="4" w:space="0" w:color="auto"/>
            </w:tcBorders>
          </w:tcPr>
          <w:p w14:paraId="30422D58" w14:textId="33871878" w:rsidR="000D1A6C" w:rsidRDefault="000D1A6C" w:rsidP="000D5B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1C4">
              <w:rPr>
                <w:rFonts w:ascii="Times New Roman" w:hAnsi="Times New Roman" w:cs="Times New Roman"/>
                <w:sz w:val="24"/>
              </w:rPr>
              <w:t>Keighley et al, 1979</w:t>
            </w:r>
          </w:p>
        </w:tc>
        <w:tc>
          <w:tcPr>
            <w:tcW w:w="2850" w:type="dxa"/>
            <w:tcBorders>
              <w:top w:val="single" w:sz="4" w:space="0" w:color="auto"/>
            </w:tcBorders>
          </w:tcPr>
          <w:p w14:paraId="12213C6F" w14:textId="21046D8C" w:rsidR="000D1A6C" w:rsidRDefault="00874826" w:rsidP="000D5B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NM</w:t>
            </w:r>
          </w:p>
        </w:tc>
        <w:tc>
          <w:tcPr>
            <w:tcW w:w="2471" w:type="dxa"/>
            <w:tcBorders>
              <w:top w:val="single" w:sz="4" w:space="0" w:color="auto"/>
            </w:tcBorders>
          </w:tcPr>
          <w:p w14:paraId="04FC3E96" w14:textId="7C895B07" w:rsidR="000D1A6C" w:rsidRDefault="00874826" w:rsidP="000D5B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NM</w:t>
            </w:r>
          </w:p>
        </w:tc>
      </w:tr>
      <w:tr w:rsidR="000D1A6C" w14:paraId="2ABAA1C0" w14:textId="380ED0DC" w:rsidTr="00C55450">
        <w:tc>
          <w:tcPr>
            <w:tcW w:w="2975" w:type="dxa"/>
          </w:tcPr>
          <w:p w14:paraId="3A51D6BF" w14:textId="60C28BC8" w:rsidR="000D1A6C" w:rsidRDefault="000D1A6C" w:rsidP="000D5B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1C4">
              <w:rPr>
                <w:rFonts w:ascii="Times New Roman" w:hAnsi="Times New Roman" w:cs="Times New Roman"/>
                <w:sz w:val="24"/>
              </w:rPr>
              <w:t>Cavcic et al, 2001</w:t>
            </w:r>
          </w:p>
        </w:tc>
        <w:tc>
          <w:tcPr>
            <w:tcW w:w="2850" w:type="dxa"/>
          </w:tcPr>
          <w:p w14:paraId="3EFDD3FF" w14:textId="0449646A" w:rsidR="000D1A6C" w:rsidRDefault="000D1A6C" w:rsidP="000D5B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7FAA">
              <w:rPr>
                <w:rFonts w:ascii="Times New Roman" w:hAnsi="Times New Roman" w:cs="Times New Roman" w:hint="eastAsia"/>
                <w:sz w:val="24"/>
                <w:szCs w:val="28"/>
              </w:rPr>
              <w:t>linear analogue pain score</w:t>
            </w:r>
          </w:p>
        </w:tc>
        <w:tc>
          <w:tcPr>
            <w:tcW w:w="2471" w:type="dxa"/>
          </w:tcPr>
          <w:p w14:paraId="2B6F478A" w14:textId="54CDCA1F" w:rsidR="000D1A6C" w:rsidRPr="00947FAA" w:rsidRDefault="00A11F63" w:rsidP="000D5BC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F63">
              <w:rPr>
                <w:rFonts w:ascii="Times New Roman" w:hAnsi="Times New Roman" w:cs="Times New Roman" w:hint="eastAsia"/>
                <w:sz w:val="24"/>
                <w:szCs w:val="28"/>
              </w:rPr>
              <w:t>before the treatment, immediately after treatment, and on the fourth day of treatment</w:t>
            </w:r>
          </w:p>
        </w:tc>
      </w:tr>
      <w:tr w:rsidR="000D1A6C" w14:paraId="4045462E" w14:textId="691DD570" w:rsidTr="00C55450">
        <w:tc>
          <w:tcPr>
            <w:tcW w:w="2975" w:type="dxa"/>
          </w:tcPr>
          <w:p w14:paraId="3D5A70CE" w14:textId="22796FD8" w:rsidR="000D1A6C" w:rsidRDefault="000D1A6C" w:rsidP="004B24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1C4">
              <w:rPr>
                <w:rFonts w:ascii="Times New Roman" w:hAnsi="Times New Roman" w:cs="Times New Roman"/>
                <w:sz w:val="24"/>
              </w:rPr>
              <w:t>Greenspon et al, 2004</w:t>
            </w:r>
          </w:p>
        </w:tc>
        <w:tc>
          <w:tcPr>
            <w:tcW w:w="2850" w:type="dxa"/>
          </w:tcPr>
          <w:p w14:paraId="1625B960" w14:textId="75F05181" w:rsidR="000D1A6C" w:rsidRDefault="00874826" w:rsidP="004B24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NM</w:t>
            </w:r>
          </w:p>
        </w:tc>
        <w:tc>
          <w:tcPr>
            <w:tcW w:w="2471" w:type="dxa"/>
          </w:tcPr>
          <w:p w14:paraId="389220C0" w14:textId="74C14AC1" w:rsidR="000D1A6C" w:rsidRDefault="00874826" w:rsidP="004B242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NM</w:t>
            </w:r>
          </w:p>
        </w:tc>
      </w:tr>
      <w:tr w:rsidR="000D1A6C" w14:paraId="2A02665E" w14:textId="464FF451" w:rsidTr="00C55450">
        <w:tc>
          <w:tcPr>
            <w:tcW w:w="2975" w:type="dxa"/>
          </w:tcPr>
          <w:p w14:paraId="3F2CC680" w14:textId="27C4726F" w:rsidR="000D1A6C" w:rsidRDefault="000D1A6C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1C4">
              <w:rPr>
                <w:rFonts w:ascii="Times New Roman" w:hAnsi="Times New Roman" w:cs="Times New Roman"/>
                <w:sz w:val="24"/>
              </w:rPr>
              <w:t>Allan et al, 2006</w:t>
            </w:r>
          </w:p>
        </w:tc>
        <w:tc>
          <w:tcPr>
            <w:tcW w:w="2850" w:type="dxa"/>
          </w:tcPr>
          <w:p w14:paraId="36099E15" w14:textId="7F87CA3B" w:rsidR="000D1A6C" w:rsidRDefault="00874826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NM</w:t>
            </w:r>
          </w:p>
        </w:tc>
        <w:tc>
          <w:tcPr>
            <w:tcW w:w="2471" w:type="dxa"/>
          </w:tcPr>
          <w:p w14:paraId="045C9AD3" w14:textId="0CCACBE4" w:rsidR="000D1A6C" w:rsidRDefault="00874826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NM</w:t>
            </w:r>
          </w:p>
        </w:tc>
      </w:tr>
      <w:tr w:rsidR="000D1A6C" w14:paraId="025B67CC" w14:textId="49629091" w:rsidTr="00C55450">
        <w:tc>
          <w:tcPr>
            <w:tcW w:w="2975" w:type="dxa"/>
          </w:tcPr>
          <w:p w14:paraId="54C5E558" w14:textId="3666D24F" w:rsidR="000D1A6C" w:rsidRDefault="000D1A6C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1C4">
              <w:rPr>
                <w:rFonts w:ascii="Times New Roman" w:hAnsi="Times New Roman" w:cs="Times New Roman"/>
                <w:sz w:val="24"/>
              </w:rPr>
              <w:t>Eberspacher et al, 2020</w:t>
            </w:r>
          </w:p>
        </w:tc>
        <w:tc>
          <w:tcPr>
            <w:tcW w:w="2850" w:type="dxa"/>
          </w:tcPr>
          <w:p w14:paraId="4B832CD3" w14:textId="2135A4BC" w:rsidR="000D1A6C" w:rsidRDefault="000D1A6C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14052">
              <w:rPr>
                <w:rFonts w:ascii="Times New Roman" w:hAnsi="Times New Roman" w:cs="Times New Roman" w:hint="eastAsia"/>
                <w:sz w:val="24"/>
                <w:szCs w:val="28"/>
              </w:rPr>
              <w:t>visual analogue scale</w:t>
            </w:r>
          </w:p>
        </w:tc>
        <w:tc>
          <w:tcPr>
            <w:tcW w:w="2471" w:type="dxa"/>
          </w:tcPr>
          <w:p w14:paraId="6550D959" w14:textId="4DF01292" w:rsidR="000D1A6C" w:rsidRPr="00614052" w:rsidRDefault="00874826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sz w:val="24"/>
                <w:szCs w:val="28"/>
              </w:rPr>
              <w:t>NM</w:t>
            </w:r>
          </w:p>
        </w:tc>
      </w:tr>
      <w:tr w:rsidR="000D1A6C" w14:paraId="1E56C073" w14:textId="20AA23F8" w:rsidTr="00C55450">
        <w:tc>
          <w:tcPr>
            <w:tcW w:w="2975" w:type="dxa"/>
          </w:tcPr>
          <w:p w14:paraId="049BA9E8" w14:textId="219EED34" w:rsidR="000D1A6C" w:rsidRDefault="000D1A6C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1C4">
              <w:rPr>
                <w:rFonts w:ascii="Times New Roman" w:hAnsi="Times New Roman" w:cs="Times New Roman"/>
                <w:sz w:val="24"/>
              </w:rPr>
              <w:t>Luo et al, 2023</w:t>
            </w:r>
          </w:p>
        </w:tc>
        <w:tc>
          <w:tcPr>
            <w:tcW w:w="2850" w:type="dxa"/>
          </w:tcPr>
          <w:p w14:paraId="03EC6120" w14:textId="1A02CE6A" w:rsidR="000D1A6C" w:rsidRDefault="000D1A6C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14052">
              <w:rPr>
                <w:rFonts w:ascii="Times New Roman" w:hAnsi="Times New Roman" w:cs="Times New Roman"/>
                <w:sz w:val="24"/>
                <w:szCs w:val="28"/>
              </w:rPr>
              <w:t>visual analogue scale</w:t>
            </w:r>
          </w:p>
        </w:tc>
        <w:tc>
          <w:tcPr>
            <w:tcW w:w="2471" w:type="dxa"/>
          </w:tcPr>
          <w:p w14:paraId="3A32A08F" w14:textId="1048BC1D" w:rsidR="000D1A6C" w:rsidRPr="00614052" w:rsidRDefault="00D66E0C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66E0C">
              <w:rPr>
                <w:rFonts w:ascii="Times New Roman" w:hAnsi="Times New Roman" w:cs="Times New Roman"/>
                <w:sz w:val="24"/>
                <w:szCs w:val="28"/>
              </w:rPr>
              <w:t>peri-treatment period in days 0, 1, 7, and 14</w:t>
            </w:r>
          </w:p>
        </w:tc>
      </w:tr>
      <w:tr w:rsidR="000D1A6C" w14:paraId="4F2EC5B4" w14:textId="594452E5" w:rsidTr="00C55450">
        <w:tc>
          <w:tcPr>
            <w:tcW w:w="2975" w:type="dxa"/>
          </w:tcPr>
          <w:p w14:paraId="59D9A515" w14:textId="68FEA8D3" w:rsidR="000D1A6C" w:rsidRDefault="000D1A6C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D71C4">
              <w:rPr>
                <w:rFonts w:ascii="Times New Roman" w:hAnsi="Times New Roman" w:cs="Times New Roman"/>
                <w:sz w:val="24"/>
              </w:rPr>
              <w:t>Medkova et al, 2024</w:t>
            </w:r>
          </w:p>
        </w:tc>
        <w:tc>
          <w:tcPr>
            <w:tcW w:w="2850" w:type="dxa"/>
          </w:tcPr>
          <w:p w14:paraId="49B8BCC6" w14:textId="358DCF0B" w:rsidR="000D1A6C" w:rsidRDefault="000D1A6C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14052">
              <w:rPr>
                <w:rFonts w:ascii="Times New Roman" w:hAnsi="Times New Roman" w:cs="Times New Roman"/>
                <w:sz w:val="24"/>
                <w:szCs w:val="28"/>
              </w:rPr>
              <w:t>visual analogue scale</w:t>
            </w:r>
          </w:p>
        </w:tc>
        <w:tc>
          <w:tcPr>
            <w:tcW w:w="2471" w:type="dxa"/>
          </w:tcPr>
          <w:p w14:paraId="2D2CF2EF" w14:textId="792BBEB5" w:rsidR="000D1A6C" w:rsidRPr="00614052" w:rsidRDefault="00904F40" w:rsidP="00AF2B0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04F40">
              <w:rPr>
                <w:rFonts w:ascii="Times New Roman" w:hAnsi="Times New Roman" w:cs="Times New Roman" w:hint="eastAsia"/>
                <w:sz w:val="24"/>
                <w:szCs w:val="28"/>
              </w:rPr>
              <w:t>before treatment and 3 and 10 days after treatment</w:t>
            </w:r>
          </w:p>
        </w:tc>
      </w:tr>
    </w:tbl>
    <w:p w14:paraId="60EF84BE" w14:textId="266C40E4" w:rsidR="007067F4" w:rsidRPr="00970079" w:rsidRDefault="00CB1E9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N</w:t>
      </w:r>
      <w:r w:rsidR="00874826">
        <w:rPr>
          <w:rFonts w:ascii="Times New Roman" w:hAnsi="Times New Roman" w:cs="Times New Roman" w:hint="eastAsia"/>
          <w:sz w:val="24"/>
          <w:szCs w:val="28"/>
        </w:rPr>
        <w:t>M</w:t>
      </w:r>
      <w:r>
        <w:rPr>
          <w:rFonts w:ascii="Times New Roman" w:hAnsi="Times New Roman" w:cs="Times New Roman" w:hint="eastAsia"/>
          <w:sz w:val="24"/>
          <w:szCs w:val="28"/>
        </w:rPr>
        <w:t xml:space="preserve">: </w:t>
      </w:r>
      <w:r w:rsidR="00874826" w:rsidRPr="00874826">
        <w:rPr>
          <w:rFonts w:ascii="Times New Roman" w:hAnsi="Times New Roman" w:cs="Times New Roman" w:hint="eastAsia"/>
          <w:sz w:val="24"/>
          <w:szCs w:val="28"/>
        </w:rPr>
        <w:t>Not mentioned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sectPr w:rsidR="007067F4" w:rsidRPr="009700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99E8" w14:textId="77777777" w:rsidR="00C773AD" w:rsidRDefault="00C773AD" w:rsidP="00E404B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2AFCF61" w14:textId="77777777" w:rsidR="00C773AD" w:rsidRDefault="00C773AD" w:rsidP="00E404B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F3212" w14:textId="77777777" w:rsidR="00C773AD" w:rsidRDefault="00C773AD" w:rsidP="00E404B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8711DA4" w14:textId="77777777" w:rsidR="00C773AD" w:rsidRDefault="00C773AD" w:rsidP="00E404B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D7"/>
    <w:rsid w:val="000D1A6C"/>
    <w:rsid w:val="000D5BCC"/>
    <w:rsid w:val="00135929"/>
    <w:rsid w:val="00172246"/>
    <w:rsid w:val="00280689"/>
    <w:rsid w:val="002E7397"/>
    <w:rsid w:val="003E1F3E"/>
    <w:rsid w:val="0046226C"/>
    <w:rsid w:val="004B242B"/>
    <w:rsid w:val="00556E90"/>
    <w:rsid w:val="00574C3F"/>
    <w:rsid w:val="00614052"/>
    <w:rsid w:val="007067F4"/>
    <w:rsid w:val="007A48BF"/>
    <w:rsid w:val="00850A69"/>
    <w:rsid w:val="00874826"/>
    <w:rsid w:val="00904F40"/>
    <w:rsid w:val="0091255A"/>
    <w:rsid w:val="00947FAA"/>
    <w:rsid w:val="00970079"/>
    <w:rsid w:val="00A11F63"/>
    <w:rsid w:val="00AF2B0D"/>
    <w:rsid w:val="00C55450"/>
    <w:rsid w:val="00C773AD"/>
    <w:rsid w:val="00CB1E9C"/>
    <w:rsid w:val="00CD6F44"/>
    <w:rsid w:val="00D66E0C"/>
    <w:rsid w:val="00E404BD"/>
    <w:rsid w:val="00ED162B"/>
    <w:rsid w:val="00EE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220AD4"/>
  <w15:chartTrackingRefBased/>
  <w15:docId w15:val="{3CA4E4B4-0DFE-48BD-BF2E-931311E2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54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4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4D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54D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54D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4D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54D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54D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4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E5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E5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E54D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E54D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E54D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E54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E54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E54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E54D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E5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54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E54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5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E54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54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54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5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E54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E54D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04B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404B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404B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404BD"/>
    <w:rPr>
      <w:sz w:val="18"/>
      <w:szCs w:val="18"/>
    </w:rPr>
  </w:style>
  <w:style w:type="table" w:styleId="af2">
    <w:name w:val="Table Grid"/>
    <w:basedOn w:val="a1"/>
    <w:uiPriority w:val="39"/>
    <w:rsid w:val="00706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</Words>
  <Characters>444</Characters>
  <Application>Microsoft Office Word</Application>
  <DocSecurity>0</DocSecurity>
  <Lines>34</Lines>
  <Paragraphs>31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2025-04-25T12:19:00Z</dcterms:created>
  <dcterms:modified xsi:type="dcterms:W3CDTF">2025-04-28T09:08:00Z</dcterms:modified>
</cp:coreProperties>
</file>