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13DFFB2">
      <w:pPr>
        <w:spacing w:line="480" w:lineRule="auto"/>
        <w:rPr>
          <w:rFonts w:ascii="Times New Roman" w:hAnsi="Times New Roman" w:eastAsia="宋体" w:cs="Times New Roman"/>
          <w:b/>
          <w:bCs/>
          <w:sz w:val="24"/>
          <w:szCs w:val="24"/>
        </w:rPr>
      </w:pPr>
      <w:r>
        <w:rPr>
          <w:rFonts w:hint="eastAsia" w:ascii="Times New Roman" w:hAnsi="Times New Roman" w:eastAsia="宋体" w:cs="Times New Roman"/>
          <w:b/>
          <w:bCs/>
          <w:sz w:val="24"/>
          <w:szCs w:val="24"/>
        </w:rPr>
        <w:t>Supplementary Table</w:t>
      </w:r>
    </w:p>
    <w:p w14:paraId="44ACA0D6">
      <w:pPr>
        <w:spacing w:line="480" w:lineRule="auto"/>
        <w:rPr>
          <w:rFonts w:ascii="Times New Roman" w:hAnsi="Times New Roman" w:eastAsia="宋体" w:cs="Times New Roman"/>
          <w:b/>
          <w:bCs/>
          <w:sz w:val="24"/>
          <w:szCs w:val="24"/>
        </w:rPr>
      </w:pPr>
      <w:r>
        <w:rPr>
          <w:rFonts w:hint="eastAsia" w:ascii="Times New Roman" w:hAnsi="Times New Roman" w:eastAsia="宋体" w:cs="Times New Roman"/>
          <w:b/>
          <w:bCs/>
          <w:sz w:val="24"/>
          <w:szCs w:val="24"/>
        </w:rPr>
        <w:t>Table S1 Group-based trajectory modeling (GBTM) fitting parameters</w:t>
      </w:r>
    </w:p>
    <w:p w14:paraId="73F0A4AD">
      <w:pPr>
        <w:numPr>
          <w:ilvl w:val="1"/>
          <w:numId w:val="1"/>
        </w:numPr>
        <w:spacing w:line="480" w:lineRule="auto"/>
        <w:rPr>
          <w:rFonts w:ascii="Times New Roman" w:hAnsi="Times New Roman" w:eastAsia="宋体" w:cs="Times New Roman"/>
          <w:b/>
          <w:bCs/>
          <w:sz w:val="22"/>
        </w:rPr>
      </w:pPr>
      <w:r>
        <w:rPr>
          <w:rFonts w:hint="eastAsia" w:ascii="Times New Roman" w:hAnsi="Times New Roman" w:eastAsia="宋体" w:cs="Times New Roman"/>
          <w:b/>
          <w:bCs/>
          <w:sz w:val="22"/>
        </w:rPr>
        <w:t>Parametric case of the fitted 2-trajectory subgroups</w:t>
      </w:r>
    </w:p>
    <w:tbl>
      <w:tblPr>
        <w:tblStyle w:val="8"/>
        <w:tblW w:w="0" w:type="auto"/>
        <w:jc w:val="center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4"/>
        <w:gridCol w:w="944"/>
        <w:gridCol w:w="1115"/>
        <w:gridCol w:w="944"/>
        <w:gridCol w:w="944"/>
        <w:gridCol w:w="3284"/>
      </w:tblGrid>
      <w:tr w14:paraId="01BE51BD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0" w:type="auto"/>
            <w:gridSpan w:val="2"/>
            <w:tcBorders>
              <w:top w:val="single" w:color="000000" w:sz="12" w:space="0"/>
              <w:bottom w:val="single" w:color="000000" w:sz="4" w:space="0"/>
              <w:tl2br w:val="nil"/>
            </w:tcBorders>
            <w:shd w:val="clear" w:color="auto" w:fill="FFFFFF"/>
            <w:vAlign w:val="center"/>
          </w:tcPr>
          <w:p w14:paraId="6004B415">
            <w:pPr>
              <w:snapToGrid w:val="0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0"/>
              </w:rPr>
              <w:t>Order</w:t>
            </w:r>
          </w:p>
        </w:tc>
        <w:tc>
          <w:tcPr>
            <w:tcW w:w="0" w:type="auto"/>
            <w:vMerge w:val="restart"/>
            <w:tcBorders>
              <w:top w:val="single" w:color="000000" w:sz="12" w:space="0"/>
              <w:bottom w:val="single" w:color="000000" w:sz="4" w:space="0"/>
            </w:tcBorders>
            <w:shd w:val="clear" w:color="auto" w:fill="FFFFFF"/>
            <w:vAlign w:val="center"/>
          </w:tcPr>
          <w:p w14:paraId="78F9A6A0">
            <w:pPr>
              <w:snapToGrid w:val="0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0"/>
              </w:rPr>
              <w:t>BIC</w:t>
            </w:r>
          </w:p>
        </w:tc>
        <w:tc>
          <w:tcPr>
            <w:tcW w:w="0" w:type="auto"/>
            <w:gridSpan w:val="2"/>
            <w:tcBorders>
              <w:top w:val="single" w:color="000000" w:sz="12" w:space="0"/>
              <w:bottom w:val="single" w:color="000000" w:sz="4" w:space="0"/>
            </w:tcBorders>
            <w:shd w:val="clear" w:color="auto" w:fill="FFFFFF"/>
            <w:vAlign w:val="center"/>
          </w:tcPr>
          <w:p w14:paraId="64D12740">
            <w:pPr>
              <w:snapToGrid w:val="0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0"/>
              </w:rPr>
              <w:t>AvePP</w:t>
            </w:r>
          </w:p>
        </w:tc>
        <w:tc>
          <w:tcPr>
            <w:tcW w:w="0" w:type="auto"/>
            <w:vMerge w:val="restart"/>
            <w:tcBorders>
              <w:top w:val="single" w:color="000000" w:sz="12" w:space="0"/>
              <w:bottom w:val="single" w:color="000000" w:sz="4" w:space="0"/>
            </w:tcBorders>
            <w:shd w:val="clear" w:color="auto" w:fill="FFFFFF"/>
            <w:vAlign w:val="center"/>
          </w:tcPr>
          <w:p w14:paraId="08A3B78A">
            <w:pPr>
              <w:snapToGrid w:val="0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0"/>
              </w:rPr>
              <w:t>Proportion of Minimum group (%)</w:t>
            </w:r>
          </w:p>
        </w:tc>
      </w:tr>
      <w:tr w14:paraId="3159A24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0" w:type="auto"/>
            <w:tcBorders>
              <w:top w:val="single" w:color="000000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094306C6">
            <w:pPr>
              <w:snapToGrid w:val="0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0"/>
              </w:rPr>
              <w:t>Group 1</w:t>
            </w:r>
          </w:p>
        </w:tc>
        <w:tc>
          <w:tcPr>
            <w:tcW w:w="0" w:type="auto"/>
            <w:tcBorders>
              <w:top w:val="single" w:color="000000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5CE2061A">
            <w:pPr>
              <w:snapToGrid w:val="0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0"/>
              </w:rPr>
              <w:t>Group 2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75E804E2">
            <w:pPr>
              <w:snapToGrid w:val="0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0"/>
              </w:rPr>
            </w:pPr>
          </w:p>
        </w:tc>
        <w:tc>
          <w:tcPr>
            <w:tcW w:w="0" w:type="auto"/>
            <w:tcBorders>
              <w:top w:val="single" w:color="000000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6C7F5763">
            <w:pPr>
              <w:snapToGrid w:val="0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0"/>
              </w:rPr>
              <w:t>Group 1</w:t>
            </w:r>
          </w:p>
        </w:tc>
        <w:tc>
          <w:tcPr>
            <w:tcW w:w="0" w:type="auto"/>
            <w:tcBorders>
              <w:top w:val="single" w:color="000000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282A7C89">
            <w:pPr>
              <w:snapToGrid w:val="0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0"/>
              </w:rPr>
              <w:t>Group 2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4D9E589A">
            <w:pPr>
              <w:snapToGrid w:val="0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0"/>
              </w:rPr>
            </w:pPr>
          </w:p>
        </w:tc>
      </w:tr>
      <w:tr w14:paraId="64313EC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0" w:type="auto"/>
            <w:tcBorders>
              <w:top w:val="single" w:color="auto" w:sz="4" w:space="0"/>
            </w:tcBorders>
            <w:shd w:val="clear" w:color="auto" w:fill="FFFFFF"/>
            <w:vAlign w:val="center"/>
          </w:tcPr>
          <w:p w14:paraId="662DACB4">
            <w:pPr>
              <w:snapToGrid w:val="0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color="auto" w:sz="4" w:space="0"/>
            </w:tcBorders>
            <w:shd w:val="clear" w:color="auto" w:fill="FFFFFF"/>
            <w:vAlign w:val="center"/>
          </w:tcPr>
          <w:p w14:paraId="7ED3EE63">
            <w:pPr>
              <w:snapToGrid w:val="0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color="auto" w:sz="4" w:space="0"/>
            </w:tcBorders>
            <w:shd w:val="clear" w:color="auto" w:fill="FFFFFF"/>
            <w:vAlign w:val="center"/>
          </w:tcPr>
          <w:p w14:paraId="461B3146">
            <w:pPr>
              <w:snapToGrid w:val="0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0"/>
              </w:rPr>
            </w:pPr>
            <w:r>
              <w:rPr>
                <w:rFonts w:ascii="Times New Roman" w:hAnsi="Times New Roman" w:eastAsia="Terminal" w:cs="Times New Roman"/>
                <w:color w:val="000000"/>
                <w:kern w:val="0"/>
                <w:sz w:val="22"/>
                <w:szCs w:val="20"/>
              </w:rPr>
              <w:t>-76197.35</w:t>
            </w:r>
          </w:p>
        </w:tc>
        <w:tc>
          <w:tcPr>
            <w:tcW w:w="0" w:type="auto"/>
            <w:tcBorders>
              <w:top w:val="single" w:color="auto" w:sz="4" w:space="0"/>
            </w:tcBorders>
            <w:shd w:val="clear" w:color="auto" w:fill="FFFFFF"/>
            <w:vAlign w:val="center"/>
          </w:tcPr>
          <w:p w14:paraId="5E47F8ED">
            <w:pPr>
              <w:snapToGrid w:val="0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0"/>
              </w:rPr>
              <w:t>95.11</w:t>
            </w:r>
          </w:p>
        </w:tc>
        <w:tc>
          <w:tcPr>
            <w:tcW w:w="0" w:type="auto"/>
            <w:tcBorders>
              <w:top w:val="single" w:color="auto" w:sz="4" w:space="0"/>
            </w:tcBorders>
            <w:shd w:val="clear" w:color="auto" w:fill="FFFFFF"/>
            <w:vAlign w:val="center"/>
          </w:tcPr>
          <w:p w14:paraId="64DC090D">
            <w:pPr>
              <w:snapToGrid w:val="0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0"/>
              </w:rPr>
              <w:t>91.63</w:t>
            </w:r>
          </w:p>
        </w:tc>
        <w:tc>
          <w:tcPr>
            <w:tcW w:w="0" w:type="auto"/>
            <w:tcBorders>
              <w:top w:val="single" w:color="auto" w:sz="4" w:space="0"/>
            </w:tcBorders>
            <w:shd w:val="clear" w:color="auto" w:fill="FFFFFF"/>
            <w:vAlign w:val="center"/>
          </w:tcPr>
          <w:p w14:paraId="56393402">
            <w:pPr>
              <w:snapToGrid w:val="0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0"/>
              </w:rPr>
              <w:t>33.5</w:t>
            </w:r>
          </w:p>
        </w:tc>
      </w:tr>
      <w:tr w14:paraId="35185F3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0" w:type="auto"/>
            <w:shd w:val="clear" w:color="auto" w:fill="FFFFFF"/>
            <w:vAlign w:val="center"/>
          </w:tcPr>
          <w:p w14:paraId="6CE23756">
            <w:pPr>
              <w:snapToGrid w:val="0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0"/>
              </w:rPr>
              <w:t>1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6002FA56">
            <w:pPr>
              <w:snapToGrid w:val="0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0"/>
              </w:rPr>
              <w:t>3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630F90A7">
            <w:pPr>
              <w:snapToGrid w:val="0"/>
              <w:jc w:val="center"/>
              <w:rPr>
                <w:rFonts w:ascii="Times New Roman" w:hAnsi="Times New Roman" w:eastAsia="Terminal" w:cs="Times New Roman"/>
                <w:color w:val="000000"/>
                <w:kern w:val="0"/>
                <w:sz w:val="22"/>
                <w:szCs w:val="20"/>
              </w:rPr>
            </w:pPr>
            <w:r>
              <w:rPr>
                <w:rFonts w:ascii="Times New Roman" w:hAnsi="Times New Roman" w:eastAsia="Terminal" w:cs="Times New Roman"/>
                <w:color w:val="000000"/>
                <w:kern w:val="0"/>
                <w:sz w:val="22"/>
                <w:szCs w:val="20"/>
              </w:rPr>
              <w:t>-76192.87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7BDE7F5B">
            <w:pPr>
              <w:snapToGrid w:val="0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0"/>
              </w:rPr>
              <w:t>95.11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0D439BDA">
            <w:pPr>
              <w:snapToGrid w:val="0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0"/>
              </w:rPr>
              <w:t>91.62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67B95C06">
            <w:pPr>
              <w:snapToGrid w:val="0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0"/>
              </w:rPr>
              <w:t>33.6</w:t>
            </w:r>
          </w:p>
        </w:tc>
      </w:tr>
      <w:tr w14:paraId="392CF8F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0" w:type="auto"/>
            <w:shd w:val="clear" w:color="auto" w:fill="FFFFFF"/>
            <w:vAlign w:val="center"/>
          </w:tcPr>
          <w:p w14:paraId="417CEC87">
            <w:pPr>
              <w:snapToGrid w:val="0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0"/>
              </w:rPr>
              <w:t>1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07B2A761">
            <w:pPr>
              <w:snapToGrid w:val="0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0"/>
              </w:rPr>
              <w:t>2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5C2B86FB">
            <w:pPr>
              <w:snapToGrid w:val="0"/>
              <w:jc w:val="center"/>
              <w:rPr>
                <w:rFonts w:ascii="Times New Roman" w:hAnsi="Times New Roman" w:eastAsia="Terminal" w:cs="Times New Roman"/>
                <w:color w:val="000000"/>
                <w:kern w:val="0"/>
                <w:sz w:val="22"/>
                <w:szCs w:val="20"/>
              </w:rPr>
            </w:pPr>
            <w:r>
              <w:rPr>
                <w:rFonts w:ascii="Times New Roman" w:hAnsi="Times New Roman" w:eastAsia="Terminal" w:cs="Times New Roman"/>
                <w:color w:val="000000"/>
                <w:kern w:val="0"/>
                <w:sz w:val="22"/>
                <w:szCs w:val="20"/>
              </w:rPr>
              <w:t>-76195.49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27ABA346">
            <w:pPr>
              <w:snapToGrid w:val="0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0"/>
              </w:rPr>
              <w:t>95.11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246D6AC5">
            <w:pPr>
              <w:snapToGrid w:val="0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0"/>
              </w:rPr>
              <w:t>91.63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57257642">
            <w:pPr>
              <w:snapToGrid w:val="0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0"/>
              </w:rPr>
              <w:t>33.6</w:t>
            </w:r>
          </w:p>
        </w:tc>
      </w:tr>
      <w:tr w14:paraId="3C358B7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0" w:type="auto"/>
            <w:shd w:val="clear" w:color="auto" w:fill="FFFFFF"/>
            <w:vAlign w:val="center"/>
          </w:tcPr>
          <w:p w14:paraId="0735A480">
            <w:pPr>
              <w:snapToGrid w:val="0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0"/>
              </w:rPr>
              <w:t>2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6B3CC54C">
            <w:pPr>
              <w:snapToGrid w:val="0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0"/>
              </w:rPr>
              <w:t>1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7595B306">
            <w:pPr>
              <w:snapToGrid w:val="0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0"/>
              </w:rPr>
            </w:pPr>
            <w:r>
              <w:rPr>
                <w:rFonts w:ascii="Times New Roman" w:hAnsi="Times New Roman" w:eastAsia="Terminal" w:cs="Times New Roman"/>
                <w:color w:val="000000"/>
                <w:kern w:val="0"/>
                <w:sz w:val="22"/>
                <w:szCs w:val="20"/>
              </w:rPr>
              <w:t>-76165.11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6672044D">
            <w:pPr>
              <w:snapToGrid w:val="0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0"/>
              </w:rPr>
              <w:t>95.13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4F32D073">
            <w:pPr>
              <w:snapToGrid w:val="0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0"/>
              </w:rPr>
              <w:t>91.61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622DEAE0">
            <w:pPr>
              <w:snapToGrid w:val="0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0"/>
              </w:rPr>
              <w:t>33.6</w:t>
            </w:r>
          </w:p>
        </w:tc>
      </w:tr>
      <w:tr w14:paraId="72D007E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0" w:type="auto"/>
            <w:shd w:val="clear" w:color="auto" w:fill="FFFFFF"/>
            <w:vAlign w:val="center"/>
          </w:tcPr>
          <w:p w14:paraId="728FC17A">
            <w:pPr>
              <w:snapToGrid w:val="0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0"/>
              </w:rPr>
              <w:t>2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4683577C">
            <w:pPr>
              <w:snapToGrid w:val="0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0"/>
              </w:rPr>
              <w:t>3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71E6AFEE">
            <w:pPr>
              <w:snapToGrid w:val="0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0"/>
              </w:rPr>
            </w:pPr>
            <w:r>
              <w:rPr>
                <w:rFonts w:ascii="Times New Roman" w:hAnsi="Times New Roman" w:eastAsia="Terminal" w:cs="Times New Roman"/>
                <w:color w:val="000000"/>
                <w:kern w:val="0"/>
                <w:sz w:val="22"/>
                <w:szCs w:val="20"/>
              </w:rPr>
              <w:t>-76162.20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0BA09565">
            <w:pPr>
              <w:snapToGrid w:val="0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0"/>
              </w:rPr>
              <w:t>95.12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50CD3271">
            <w:pPr>
              <w:snapToGrid w:val="0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0"/>
              </w:rPr>
              <w:t>91.62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155ABEF0">
            <w:pPr>
              <w:snapToGrid w:val="0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0"/>
              </w:rPr>
              <w:t>33.6</w:t>
            </w:r>
          </w:p>
        </w:tc>
      </w:tr>
      <w:tr w14:paraId="6DADAB63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0" w:type="auto"/>
            <w:shd w:val="clear" w:color="auto" w:fill="FFFFFF"/>
            <w:vAlign w:val="center"/>
          </w:tcPr>
          <w:p w14:paraId="4124712A">
            <w:pPr>
              <w:snapToGrid w:val="0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0"/>
              </w:rPr>
              <w:t>3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0F6EB3F9">
            <w:pPr>
              <w:snapToGrid w:val="0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0"/>
              </w:rPr>
              <w:t>1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2BBCC822">
            <w:pPr>
              <w:snapToGrid w:val="0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0"/>
              </w:rPr>
            </w:pPr>
            <w:r>
              <w:rPr>
                <w:rFonts w:ascii="Times New Roman" w:hAnsi="Times New Roman" w:eastAsia="Terminal" w:cs="Times New Roman"/>
                <w:color w:val="000000"/>
                <w:kern w:val="0"/>
                <w:sz w:val="22"/>
                <w:szCs w:val="20"/>
              </w:rPr>
              <w:t>-76148.08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1AB9ED38">
            <w:pPr>
              <w:snapToGrid w:val="0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0"/>
              </w:rPr>
              <w:t>95.15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6C2BB52D">
            <w:pPr>
              <w:snapToGrid w:val="0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0"/>
              </w:rPr>
              <w:t>91.60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3FFDBCA6">
            <w:pPr>
              <w:snapToGrid w:val="0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0"/>
              </w:rPr>
              <w:t>33.5</w:t>
            </w:r>
          </w:p>
        </w:tc>
      </w:tr>
      <w:tr w14:paraId="27E8DFF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0" w:type="auto"/>
            <w:tcBorders>
              <w:bottom w:val="single" w:color="000000" w:sz="12" w:space="0"/>
            </w:tcBorders>
            <w:shd w:val="clear" w:color="auto" w:fill="FFFFFF"/>
            <w:vAlign w:val="center"/>
          </w:tcPr>
          <w:p w14:paraId="2CB7293A">
            <w:pPr>
              <w:snapToGrid w:val="0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0"/>
              </w:rPr>
              <w:t>3</w:t>
            </w:r>
          </w:p>
        </w:tc>
        <w:tc>
          <w:tcPr>
            <w:tcW w:w="0" w:type="auto"/>
            <w:tcBorders>
              <w:bottom w:val="single" w:color="000000" w:sz="12" w:space="0"/>
            </w:tcBorders>
            <w:shd w:val="clear" w:color="auto" w:fill="FFFFFF"/>
            <w:vAlign w:val="center"/>
          </w:tcPr>
          <w:p w14:paraId="372E2646">
            <w:pPr>
              <w:snapToGrid w:val="0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0"/>
              </w:rPr>
              <w:t>3</w:t>
            </w:r>
          </w:p>
        </w:tc>
        <w:tc>
          <w:tcPr>
            <w:tcW w:w="0" w:type="auto"/>
            <w:tcBorders>
              <w:bottom w:val="single" w:color="000000" w:sz="12" w:space="0"/>
            </w:tcBorders>
            <w:shd w:val="clear" w:color="auto" w:fill="FFFFFF"/>
            <w:vAlign w:val="center"/>
          </w:tcPr>
          <w:p w14:paraId="3FA75B9D">
            <w:pPr>
              <w:snapToGrid w:val="0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0"/>
              </w:rPr>
            </w:pPr>
            <w:r>
              <w:rPr>
                <w:rFonts w:ascii="Times New Roman" w:hAnsi="Times New Roman" w:eastAsia="Terminal" w:cs="Times New Roman"/>
                <w:color w:val="000000"/>
                <w:kern w:val="0"/>
                <w:sz w:val="22"/>
                <w:szCs w:val="20"/>
              </w:rPr>
              <w:t>-76146.50</w:t>
            </w:r>
          </w:p>
        </w:tc>
        <w:tc>
          <w:tcPr>
            <w:tcW w:w="0" w:type="auto"/>
            <w:tcBorders>
              <w:bottom w:val="single" w:color="000000" w:sz="12" w:space="0"/>
            </w:tcBorders>
            <w:shd w:val="clear" w:color="auto" w:fill="FFFFFF"/>
            <w:vAlign w:val="center"/>
          </w:tcPr>
          <w:p w14:paraId="6D5B860C">
            <w:pPr>
              <w:snapToGrid w:val="0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0"/>
              </w:rPr>
              <w:t>95.13</w:t>
            </w:r>
          </w:p>
        </w:tc>
        <w:tc>
          <w:tcPr>
            <w:tcW w:w="0" w:type="auto"/>
            <w:tcBorders>
              <w:bottom w:val="single" w:color="000000" w:sz="12" w:space="0"/>
            </w:tcBorders>
            <w:shd w:val="clear" w:color="auto" w:fill="FFFFFF"/>
            <w:vAlign w:val="center"/>
          </w:tcPr>
          <w:p w14:paraId="4980F5FC">
            <w:pPr>
              <w:snapToGrid w:val="0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0"/>
              </w:rPr>
              <w:t>91.61</w:t>
            </w:r>
          </w:p>
        </w:tc>
        <w:tc>
          <w:tcPr>
            <w:tcW w:w="0" w:type="auto"/>
            <w:tcBorders>
              <w:bottom w:val="single" w:color="000000" w:sz="12" w:space="0"/>
            </w:tcBorders>
            <w:shd w:val="clear" w:color="auto" w:fill="FFFFFF"/>
            <w:vAlign w:val="center"/>
          </w:tcPr>
          <w:p w14:paraId="4C6CB8DF">
            <w:pPr>
              <w:snapToGrid w:val="0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0"/>
              </w:rPr>
              <w:t>33.6</w:t>
            </w:r>
          </w:p>
        </w:tc>
      </w:tr>
    </w:tbl>
    <w:p w14:paraId="3E8102B6">
      <w:pPr>
        <w:rPr>
          <w:rFonts w:ascii="Times New Roman" w:hAnsi="Times New Roman" w:eastAsia="宋体" w:cs="Times New Roman"/>
          <w:sz w:val="22"/>
        </w:rPr>
      </w:pPr>
      <w:r>
        <w:rPr>
          <w:rFonts w:hint="eastAsia" w:ascii="Times New Roman" w:hAnsi="Times New Roman" w:eastAsia="宋体" w:cs="Times New Roman"/>
          <w:sz w:val="22"/>
        </w:rPr>
        <w:t>BIC: Bayesian Information Criterion；AvePP: Average Posterior Probability</w:t>
      </w:r>
    </w:p>
    <w:p w14:paraId="52BC0E20">
      <w:pPr>
        <w:numPr>
          <w:ilvl w:val="1"/>
          <w:numId w:val="1"/>
        </w:numPr>
        <w:spacing w:line="480" w:lineRule="auto"/>
        <w:rPr>
          <w:rFonts w:ascii="Times New Roman" w:hAnsi="Times New Roman" w:eastAsia="宋体" w:cs="Times New Roman"/>
          <w:b/>
          <w:bCs/>
          <w:sz w:val="22"/>
        </w:rPr>
      </w:pPr>
      <w:r>
        <w:rPr>
          <w:rFonts w:hint="eastAsia" w:ascii="Times New Roman" w:hAnsi="Times New Roman" w:eastAsia="宋体" w:cs="Times New Roman"/>
          <w:b/>
          <w:bCs/>
          <w:sz w:val="22"/>
        </w:rPr>
        <w:t>Parametric case of the fitted 3-trajectory subgroups</w:t>
      </w:r>
    </w:p>
    <w:tbl>
      <w:tblPr>
        <w:tblStyle w:val="8"/>
        <w:tblpPr w:leftFromText="180" w:rightFromText="180" w:vertAnchor="text" w:horzAnchor="page" w:tblpX="1799" w:tblpY="54"/>
        <w:tblOverlap w:val="never"/>
        <w:tblW w:w="8931" w:type="dxa"/>
        <w:tblInd w:w="0" w:type="dxa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9"/>
        <w:gridCol w:w="839"/>
        <w:gridCol w:w="839"/>
        <w:gridCol w:w="1289"/>
        <w:gridCol w:w="1014"/>
        <w:gridCol w:w="1134"/>
        <w:gridCol w:w="1134"/>
        <w:gridCol w:w="1843"/>
      </w:tblGrid>
      <w:tr w14:paraId="46302D8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0" w:type="auto"/>
            <w:gridSpan w:val="3"/>
            <w:tcBorders>
              <w:top w:val="single" w:color="000000" w:sz="12" w:space="0"/>
              <w:bottom w:val="single" w:color="000000" w:sz="4" w:space="0"/>
              <w:tl2br w:val="nil"/>
            </w:tcBorders>
            <w:shd w:val="clear" w:color="auto" w:fill="FFFFFF"/>
            <w:vAlign w:val="center"/>
          </w:tcPr>
          <w:p w14:paraId="7AFF3D25">
            <w:pPr>
              <w:snapToGrid w:val="0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0"/>
              </w:rPr>
              <w:t>Order</w:t>
            </w:r>
          </w:p>
        </w:tc>
        <w:tc>
          <w:tcPr>
            <w:tcW w:w="1289" w:type="dxa"/>
            <w:vMerge w:val="restart"/>
            <w:tcBorders>
              <w:top w:val="single" w:color="000000" w:sz="12" w:space="0"/>
              <w:bottom w:val="single" w:color="000000" w:sz="4" w:space="0"/>
            </w:tcBorders>
            <w:shd w:val="clear" w:color="auto" w:fill="FFFFFF"/>
            <w:vAlign w:val="center"/>
          </w:tcPr>
          <w:p w14:paraId="7A55D73F">
            <w:pPr>
              <w:snapToGrid w:val="0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0"/>
              </w:rPr>
              <w:t>BIC</w:t>
            </w:r>
          </w:p>
        </w:tc>
        <w:tc>
          <w:tcPr>
            <w:tcW w:w="3282" w:type="dxa"/>
            <w:gridSpan w:val="3"/>
            <w:tcBorders>
              <w:top w:val="single" w:color="000000" w:sz="12" w:space="0"/>
              <w:bottom w:val="single" w:color="000000" w:sz="4" w:space="0"/>
            </w:tcBorders>
            <w:shd w:val="clear" w:color="auto" w:fill="FFFFFF"/>
            <w:vAlign w:val="center"/>
          </w:tcPr>
          <w:p w14:paraId="6040FD3B">
            <w:pPr>
              <w:snapToGrid w:val="0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0"/>
              </w:rPr>
              <w:t>AvePP</w:t>
            </w:r>
          </w:p>
        </w:tc>
        <w:tc>
          <w:tcPr>
            <w:tcW w:w="1843" w:type="dxa"/>
            <w:vMerge w:val="restart"/>
            <w:tcBorders>
              <w:top w:val="single" w:color="000000" w:sz="12" w:space="0"/>
              <w:bottom w:val="single" w:color="000000" w:sz="4" w:space="0"/>
            </w:tcBorders>
            <w:shd w:val="clear" w:color="auto" w:fill="FFFFFF"/>
            <w:vAlign w:val="center"/>
          </w:tcPr>
          <w:p w14:paraId="1B60B35C">
            <w:pPr>
              <w:snapToGrid w:val="0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0"/>
              </w:rPr>
              <w:t>Proportion of Minimum subgroup (%)</w:t>
            </w:r>
          </w:p>
        </w:tc>
      </w:tr>
      <w:tr w14:paraId="194B1AF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0" w:type="auto"/>
            <w:tcBorders>
              <w:top w:val="single" w:color="000000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04360EBA">
            <w:pPr>
              <w:snapToGrid w:val="0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0"/>
              </w:rPr>
              <w:t>Group 1</w:t>
            </w:r>
          </w:p>
        </w:tc>
        <w:tc>
          <w:tcPr>
            <w:tcW w:w="0" w:type="auto"/>
            <w:tcBorders>
              <w:top w:val="single" w:color="000000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22786426">
            <w:pPr>
              <w:snapToGrid w:val="0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0"/>
              </w:rPr>
              <w:t>Group 2</w:t>
            </w:r>
          </w:p>
        </w:tc>
        <w:tc>
          <w:tcPr>
            <w:tcW w:w="0" w:type="auto"/>
            <w:tcBorders>
              <w:top w:val="single" w:color="000000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1B3C9FBB">
            <w:pPr>
              <w:snapToGrid w:val="0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0"/>
              </w:rPr>
              <w:t>Group 3</w:t>
            </w:r>
          </w:p>
        </w:tc>
        <w:tc>
          <w:tcPr>
            <w:tcW w:w="1289" w:type="dxa"/>
            <w:vMerge w:val="continue"/>
            <w:tcBorders>
              <w:top w:val="single" w:color="000000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343123C2">
            <w:pPr>
              <w:snapToGrid w:val="0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0"/>
              </w:rPr>
            </w:pPr>
          </w:p>
        </w:tc>
        <w:tc>
          <w:tcPr>
            <w:tcW w:w="1014" w:type="dxa"/>
            <w:tcBorders>
              <w:top w:val="single" w:color="000000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7B19DD1A">
            <w:pPr>
              <w:snapToGrid w:val="0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0"/>
              </w:rPr>
              <w:t>Group 1</w:t>
            </w:r>
          </w:p>
        </w:tc>
        <w:tc>
          <w:tcPr>
            <w:tcW w:w="1134" w:type="dxa"/>
            <w:tcBorders>
              <w:top w:val="single" w:color="000000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351B6637">
            <w:pPr>
              <w:snapToGrid w:val="0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0"/>
              </w:rPr>
              <w:t>Group 2</w:t>
            </w:r>
          </w:p>
        </w:tc>
        <w:tc>
          <w:tcPr>
            <w:tcW w:w="1134" w:type="dxa"/>
            <w:tcBorders>
              <w:top w:val="single" w:color="000000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40523E03">
            <w:pPr>
              <w:snapToGrid w:val="0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0"/>
              </w:rPr>
              <w:t>Group 3</w:t>
            </w:r>
          </w:p>
        </w:tc>
        <w:tc>
          <w:tcPr>
            <w:tcW w:w="1843" w:type="dxa"/>
            <w:vMerge w:val="continue"/>
            <w:tcBorders>
              <w:top w:val="single" w:color="000000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7E38AAC1">
            <w:pPr>
              <w:snapToGrid w:val="0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0"/>
              </w:rPr>
            </w:pPr>
          </w:p>
        </w:tc>
      </w:tr>
      <w:tr w14:paraId="443D3E6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0" w:type="auto"/>
            <w:tcBorders>
              <w:top w:val="single" w:color="auto" w:sz="4" w:space="0"/>
            </w:tcBorders>
            <w:shd w:val="clear" w:color="auto" w:fill="FFFFFF"/>
            <w:vAlign w:val="center"/>
          </w:tcPr>
          <w:p w14:paraId="463A3853">
            <w:pPr>
              <w:snapToGrid w:val="0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0"/>
              </w:rPr>
              <w:t>2</w:t>
            </w:r>
          </w:p>
        </w:tc>
        <w:tc>
          <w:tcPr>
            <w:tcW w:w="0" w:type="auto"/>
            <w:tcBorders>
              <w:top w:val="single" w:color="auto" w:sz="4" w:space="0"/>
            </w:tcBorders>
            <w:shd w:val="clear" w:color="auto" w:fill="FFFFFF"/>
            <w:vAlign w:val="center"/>
          </w:tcPr>
          <w:p w14:paraId="50BF9797">
            <w:pPr>
              <w:snapToGrid w:val="0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color="auto" w:sz="4" w:space="0"/>
            </w:tcBorders>
            <w:shd w:val="clear" w:color="auto" w:fill="FFFFFF"/>
            <w:vAlign w:val="center"/>
          </w:tcPr>
          <w:p w14:paraId="1A9B3739">
            <w:pPr>
              <w:snapToGrid w:val="0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0"/>
              </w:rPr>
              <w:t>1</w:t>
            </w:r>
          </w:p>
        </w:tc>
        <w:tc>
          <w:tcPr>
            <w:tcW w:w="1289" w:type="dxa"/>
            <w:tcBorders>
              <w:top w:val="single" w:color="auto" w:sz="4" w:space="0"/>
            </w:tcBorders>
            <w:shd w:val="clear" w:color="auto" w:fill="FFFFFF"/>
            <w:vAlign w:val="center"/>
          </w:tcPr>
          <w:p w14:paraId="7A099E3E">
            <w:pPr>
              <w:snapToGrid w:val="0"/>
              <w:jc w:val="center"/>
              <w:rPr>
                <w:rFonts w:ascii="Times New Roman" w:hAnsi="Times New Roman" w:eastAsia="Terminal" w:cs="Times New Roman"/>
                <w:color w:val="000000"/>
                <w:kern w:val="0"/>
                <w:sz w:val="22"/>
                <w:szCs w:val="20"/>
              </w:rPr>
            </w:pPr>
            <w:r>
              <w:rPr>
                <w:rFonts w:hint="eastAsia" w:ascii="Times New Roman" w:hAnsi="Times New Roman" w:eastAsia="Terminal" w:cs="Times New Roman"/>
                <w:color w:val="000000"/>
                <w:kern w:val="0"/>
                <w:sz w:val="22"/>
                <w:szCs w:val="20"/>
              </w:rPr>
              <w:t>-69796.94</w:t>
            </w:r>
          </w:p>
        </w:tc>
        <w:tc>
          <w:tcPr>
            <w:tcW w:w="1014" w:type="dxa"/>
            <w:tcBorders>
              <w:top w:val="single" w:color="auto" w:sz="4" w:space="0"/>
            </w:tcBorders>
            <w:shd w:val="clear" w:color="auto" w:fill="FFFFFF"/>
            <w:vAlign w:val="center"/>
          </w:tcPr>
          <w:p w14:paraId="48179391">
            <w:pPr>
              <w:snapToGrid w:val="0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0"/>
              </w:rPr>
              <w:t>90.93</w:t>
            </w:r>
          </w:p>
        </w:tc>
        <w:tc>
          <w:tcPr>
            <w:tcW w:w="1134" w:type="dxa"/>
            <w:tcBorders>
              <w:top w:val="single" w:color="auto" w:sz="4" w:space="0"/>
            </w:tcBorders>
            <w:shd w:val="clear" w:color="auto" w:fill="FFFFFF"/>
            <w:vAlign w:val="center"/>
          </w:tcPr>
          <w:p w14:paraId="2B43BEA3">
            <w:pPr>
              <w:snapToGrid w:val="0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0"/>
              </w:rPr>
              <w:t>89.65</w:t>
            </w:r>
          </w:p>
        </w:tc>
        <w:tc>
          <w:tcPr>
            <w:tcW w:w="1134" w:type="dxa"/>
            <w:tcBorders>
              <w:top w:val="single" w:color="auto" w:sz="4" w:space="0"/>
            </w:tcBorders>
            <w:shd w:val="clear" w:color="auto" w:fill="FFFFFF"/>
            <w:vAlign w:val="center"/>
          </w:tcPr>
          <w:p w14:paraId="456FCFD8">
            <w:pPr>
              <w:snapToGrid w:val="0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0"/>
              </w:rPr>
              <w:t>91.05</w:t>
            </w:r>
          </w:p>
        </w:tc>
        <w:tc>
          <w:tcPr>
            <w:tcW w:w="1843" w:type="dxa"/>
            <w:tcBorders>
              <w:top w:val="single" w:color="auto" w:sz="4" w:space="0"/>
            </w:tcBorders>
            <w:shd w:val="clear" w:color="auto" w:fill="FFFFFF"/>
            <w:vAlign w:val="center"/>
          </w:tcPr>
          <w:p w14:paraId="6D3127BD">
            <w:pPr>
              <w:snapToGrid w:val="0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0"/>
              </w:rPr>
              <w:t>10.6</w:t>
            </w:r>
          </w:p>
        </w:tc>
      </w:tr>
      <w:tr w14:paraId="0028D1B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0" w:type="auto"/>
            <w:shd w:val="clear" w:color="auto" w:fill="FFFFFF"/>
            <w:vAlign w:val="center"/>
          </w:tcPr>
          <w:p w14:paraId="4E8AD457">
            <w:pPr>
              <w:snapToGrid w:val="0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0"/>
              </w:rPr>
              <w:t>2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6E379053">
            <w:pPr>
              <w:snapToGrid w:val="0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0"/>
              </w:rPr>
              <w:t>2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5C351C49">
            <w:pPr>
              <w:snapToGrid w:val="0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0"/>
              </w:rPr>
              <w:t>1</w:t>
            </w:r>
          </w:p>
        </w:tc>
        <w:tc>
          <w:tcPr>
            <w:tcW w:w="1289" w:type="dxa"/>
            <w:shd w:val="clear" w:color="auto" w:fill="FFFFFF"/>
            <w:vAlign w:val="center"/>
          </w:tcPr>
          <w:p w14:paraId="42E6EB2B">
            <w:pPr>
              <w:snapToGrid w:val="0"/>
              <w:jc w:val="center"/>
              <w:rPr>
                <w:rFonts w:ascii="Times New Roman" w:hAnsi="Times New Roman" w:eastAsia="Terminal" w:cs="Times New Roman"/>
                <w:color w:val="000000"/>
                <w:kern w:val="0"/>
                <w:sz w:val="22"/>
                <w:szCs w:val="20"/>
              </w:rPr>
            </w:pPr>
            <w:r>
              <w:rPr>
                <w:rFonts w:hint="eastAsia" w:ascii="Times New Roman" w:hAnsi="Times New Roman" w:eastAsia="Terminal" w:cs="Times New Roman"/>
                <w:color w:val="000000"/>
                <w:kern w:val="0"/>
                <w:sz w:val="22"/>
                <w:szCs w:val="20"/>
              </w:rPr>
              <w:t>-69785.01</w:t>
            </w:r>
          </w:p>
        </w:tc>
        <w:tc>
          <w:tcPr>
            <w:tcW w:w="1014" w:type="dxa"/>
            <w:shd w:val="clear" w:color="auto" w:fill="FFFFFF"/>
            <w:vAlign w:val="center"/>
          </w:tcPr>
          <w:p w14:paraId="53BA3C67">
            <w:pPr>
              <w:snapToGrid w:val="0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0"/>
              </w:rPr>
              <w:t>90.90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192C139F">
            <w:pPr>
              <w:snapToGrid w:val="0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0"/>
              </w:rPr>
              <w:t>89.67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7B6C5159">
            <w:pPr>
              <w:snapToGrid w:val="0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0"/>
              </w:rPr>
              <w:t>91.05</w:t>
            </w:r>
          </w:p>
        </w:tc>
        <w:tc>
          <w:tcPr>
            <w:tcW w:w="1843" w:type="dxa"/>
            <w:shd w:val="clear" w:color="auto" w:fill="FFFFFF"/>
            <w:vAlign w:val="center"/>
          </w:tcPr>
          <w:p w14:paraId="2502AD5F">
            <w:pPr>
              <w:snapToGrid w:val="0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0"/>
              </w:rPr>
              <w:t>10.7</w:t>
            </w:r>
          </w:p>
        </w:tc>
      </w:tr>
      <w:tr w14:paraId="40F768E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0" w:type="auto"/>
            <w:shd w:val="clear" w:color="auto" w:fill="FFFFFF"/>
            <w:vAlign w:val="center"/>
          </w:tcPr>
          <w:p w14:paraId="546B77FF">
            <w:pPr>
              <w:snapToGrid w:val="0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0"/>
              </w:rPr>
              <w:t>2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03CA42CF">
            <w:pPr>
              <w:snapToGrid w:val="0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0"/>
              </w:rPr>
              <w:t>3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71D5921A">
            <w:pPr>
              <w:snapToGrid w:val="0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0"/>
              </w:rPr>
              <w:t>1</w:t>
            </w:r>
          </w:p>
        </w:tc>
        <w:tc>
          <w:tcPr>
            <w:tcW w:w="1289" w:type="dxa"/>
            <w:shd w:val="clear" w:color="auto" w:fill="FFFFFF"/>
            <w:vAlign w:val="center"/>
          </w:tcPr>
          <w:p w14:paraId="733084F1">
            <w:pPr>
              <w:snapToGrid w:val="0"/>
              <w:jc w:val="center"/>
              <w:rPr>
                <w:rFonts w:ascii="Times New Roman" w:hAnsi="Times New Roman" w:eastAsia="Terminal" w:cs="Times New Roman"/>
                <w:color w:val="000000"/>
                <w:kern w:val="0"/>
                <w:sz w:val="22"/>
                <w:szCs w:val="20"/>
              </w:rPr>
            </w:pPr>
            <w:r>
              <w:rPr>
                <w:rFonts w:hint="eastAsia" w:ascii="Times New Roman" w:hAnsi="Times New Roman" w:eastAsia="Terminal" w:cs="Times New Roman"/>
                <w:color w:val="000000"/>
                <w:kern w:val="0"/>
                <w:sz w:val="22"/>
                <w:szCs w:val="20"/>
              </w:rPr>
              <w:t>-69765.23</w:t>
            </w:r>
          </w:p>
        </w:tc>
        <w:tc>
          <w:tcPr>
            <w:tcW w:w="1014" w:type="dxa"/>
            <w:shd w:val="clear" w:color="auto" w:fill="FFFFFF"/>
            <w:vAlign w:val="center"/>
          </w:tcPr>
          <w:p w14:paraId="5DB23E0B">
            <w:pPr>
              <w:snapToGrid w:val="0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0"/>
              </w:rPr>
              <w:t>90.88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72D3D7D0">
            <w:pPr>
              <w:snapToGrid w:val="0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0"/>
              </w:rPr>
              <w:t>89.67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6E2131AA">
            <w:pPr>
              <w:snapToGrid w:val="0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0"/>
              </w:rPr>
              <w:t>91.10</w:t>
            </w:r>
          </w:p>
        </w:tc>
        <w:tc>
          <w:tcPr>
            <w:tcW w:w="1843" w:type="dxa"/>
            <w:shd w:val="clear" w:color="auto" w:fill="FFFFFF"/>
            <w:vAlign w:val="center"/>
          </w:tcPr>
          <w:p w14:paraId="194D3FE8">
            <w:pPr>
              <w:snapToGrid w:val="0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0"/>
              </w:rPr>
              <w:t>10.7</w:t>
            </w:r>
          </w:p>
        </w:tc>
      </w:tr>
      <w:tr w14:paraId="15275CA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0" w:type="auto"/>
            <w:shd w:val="clear" w:color="auto" w:fill="FFFFFF"/>
            <w:vAlign w:val="center"/>
          </w:tcPr>
          <w:p w14:paraId="58B8EF39">
            <w:pPr>
              <w:snapToGrid w:val="0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0"/>
              </w:rPr>
              <w:t>3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0308795F">
            <w:pPr>
              <w:snapToGrid w:val="0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0"/>
              </w:rPr>
              <w:t>1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29ABDD94">
            <w:pPr>
              <w:snapToGrid w:val="0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0"/>
              </w:rPr>
              <w:t>1</w:t>
            </w:r>
          </w:p>
        </w:tc>
        <w:tc>
          <w:tcPr>
            <w:tcW w:w="1289" w:type="dxa"/>
            <w:shd w:val="clear" w:color="auto" w:fill="FFFFFF"/>
            <w:vAlign w:val="center"/>
          </w:tcPr>
          <w:p w14:paraId="2D64AED8">
            <w:pPr>
              <w:snapToGrid w:val="0"/>
              <w:jc w:val="center"/>
              <w:rPr>
                <w:rFonts w:ascii="Times New Roman" w:hAnsi="Times New Roman" w:eastAsia="Terminal" w:cs="Times New Roman"/>
                <w:color w:val="000000"/>
                <w:kern w:val="0"/>
                <w:sz w:val="22"/>
                <w:szCs w:val="20"/>
              </w:rPr>
            </w:pPr>
            <w:r>
              <w:rPr>
                <w:rFonts w:hint="eastAsia" w:ascii="Times New Roman" w:hAnsi="Times New Roman" w:eastAsia="Terminal" w:cs="Times New Roman"/>
                <w:color w:val="000000"/>
                <w:kern w:val="0"/>
                <w:sz w:val="22"/>
                <w:szCs w:val="20"/>
              </w:rPr>
              <w:t>-69787.68</w:t>
            </w:r>
          </w:p>
        </w:tc>
        <w:tc>
          <w:tcPr>
            <w:tcW w:w="1014" w:type="dxa"/>
            <w:shd w:val="clear" w:color="auto" w:fill="FFFFFF"/>
            <w:vAlign w:val="center"/>
          </w:tcPr>
          <w:p w14:paraId="07546A32">
            <w:pPr>
              <w:snapToGrid w:val="0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0"/>
              </w:rPr>
              <w:t>90.94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68EC7089">
            <w:pPr>
              <w:snapToGrid w:val="0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0"/>
              </w:rPr>
              <w:t>89.66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3CDE6AC4">
            <w:pPr>
              <w:snapToGrid w:val="0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0"/>
              </w:rPr>
              <w:t>91.09</w:t>
            </w:r>
          </w:p>
        </w:tc>
        <w:tc>
          <w:tcPr>
            <w:tcW w:w="1843" w:type="dxa"/>
            <w:shd w:val="clear" w:color="auto" w:fill="FFFFFF"/>
            <w:vAlign w:val="center"/>
          </w:tcPr>
          <w:p w14:paraId="0C915C33">
            <w:pPr>
              <w:snapToGrid w:val="0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0"/>
              </w:rPr>
              <w:t>10.6</w:t>
            </w:r>
          </w:p>
        </w:tc>
      </w:tr>
      <w:tr w14:paraId="3E6681E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0" w:type="auto"/>
            <w:shd w:val="clear" w:color="auto" w:fill="FFFFFF"/>
            <w:vAlign w:val="center"/>
          </w:tcPr>
          <w:p w14:paraId="16C6C056">
            <w:pPr>
              <w:snapToGrid w:val="0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0"/>
              </w:rPr>
              <w:t>3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2D344F9A">
            <w:pPr>
              <w:snapToGrid w:val="0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0"/>
              </w:rPr>
              <w:t>2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7C6369AA">
            <w:pPr>
              <w:snapToGrid w:val="0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0"/>
              </w:rPr>
              <w:t>1</w:t>
            </w:r>
          </w:p>
        </w:tc>
        <w:tc>
          <w:tcPr>
            <w:tcW w:w="1289" w:type="dxa"/>
            <w:shd w:val="clear" w:color="auto" w:fill="FFFFFF"/>
            <w:vAlign w:val="center"/>
          </w:tcPr>
          <w:p w14:paraId="599336F0">
            <w:pPr>
              <w:snapToGrid w:val="0"/>
              <w:jc w:val="center"/>
              <w:rPr>
                <w:rFonts w:ascii="Times New Roman" w:hAnsi="Times New Roman" w:eastAsia="Terminal" w:cs="Times New Roman"/>
                <w:color w:val="000000"/>
                <w:kern w:val="0"/>
                <w:sz w:val="22"/>
                <w:szCs w:val="20"/>
              </w:rPr>
            </w:pPr>
            <w:r>
              <w:rPr>
                <w:rFonts w:hint="eastAsia" w:ascii="Times New Roman" w:hAnsi="Times New Roman" w:eastAsia="Terminal" w:cs="Times New Roman"/>
                <w:color w:val="000000"/>
                <w:kern w:val="0"/>
                <w:sz w:val="22"/>
                <w:szCs w:val="20"/>
              </w:rPr>
              <w:t>-69775.61</w:t>
            </w:r>
          </w:p>
        </w:tc>
        <w:tc>
          <w:tcPr>
            <w:tcW w:w="1014" w:type="dxa"/>
            <w:shd w:val="clear" w:color="auto" w:fill="FFFFFF"/>
            <w:vAlign w:val="center"/>
          </w:tcPr>
          <w:p w14:paraId="56CB2D3A">
            <w:pPr>
              <w:snapToGrid w:val="0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0"/>
              </w:rPr>
              <w:t>90.93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132827DC">
            <w:pPr>
              <w:snapToGrid w:val="0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0"/>
              </w:rPr>
              <w:t>89.66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53C02902">
            <w:pPr>
              <w:snapToGrid w:val="0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0"/>
              </w:rPr>
              <w:t>91.09</w:t>
            </w:r>
          </w:p>
        </w:tc>
        <w:tc>
          <w:tcPr>
            <w:tcW w:w="1843" w:type="dxa"/>
            <w:shd w:val="clear" w:color="auto" w:fill="FFFFFF"/>
            <w:vAlign w:val="center"/>
          </w:tcPr>
          <w:p w14:paraId="23AD802F">
            <w:pPr>
              <w:snapToGrid w:val="0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0"/>
              </w:rPr>
              <w:t>10.6</w:t>
            </w:r>
          </w:p>
        </w:tc>
      </w:tr>
      <w:tr w14:paraId="1EEBDA1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0" w:type="auto"/>
            <w:tcBorders>
              <w:bottom w:val="single" w:color="000000" w:sz="12" w:space="0"/>
            </w:tcBorders>
            <w:shd w:val="clear" w:color="auto" w:fill="FFFFFF"/>
            <w:vAlign w:val="center"/>
          </w:tcPr>
          <w:p w14:paraId="46AF0FE1">
            <w:pPr>
              <w:snapToGrid w:val="0"/>
              <w:jc w:val="center"/>
              <w:rPr>
                <w:rFonts w:ascii="Times New Roman" w:hAnsi="Times New Roman" w:eastAsia="宋体" w:cs="Times New Roman"/>
                <w:bCs/>
                <w:color w:val="000000"/>
                <w:kern w:val="0"/>
                <w:sz w:val="22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bCs/>
                <w:color w:val="000000"/>
                <w:kern w:val="0"/>
                <w:sz w:val="22"/>
                <w:szCs w:val="20"/>
              </w:rPr>
              <w:t>3</w:t>
            </w:r>
          </w:p>
        </w:tc>
        <w:tc>
          <w:tcPr>
            <w:tcW w:w="0" w:type="auto"/>
            <w:tcBorders>
              <w:bottom w:val="single" w:color="000000" w:sz="12" w:space="0"/>
            </w:tcBorders>
            <w:shd w:val="clear" w:color="auto" w:fill="FFFFFF"/>
            <w:vAlign w:val="center"/>
          </w:tcPr>
          <w:p w14:paraId="2647893D">
            <w:pPr>
              <w:snapToGrid w:val="0"/>
              <w:jc w:val="center"/>
              <w:rPr>
                <w:rFonts w:ascii="Times New Roman" w:hAnsi="Times New Roman" w:eastAsia="宋体" w:cs="Times New Roman"/>
                <w:bCs/>
                <w:color w:val="000000"/>
                <w:kern w:val="0"/>
                <w:sz w:val="22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bCs/>
                <w:color w:val="000000"/>
                <w:kern w:val="0"/>
                <w:sz w:val="22"/>
                <w:szCs w:val="20"/>
              </w:rPr>
              <w:t>3</w:t>
            </w:r>
          </w:p>
        </w:tc>
        <w:tc>
          <w:tcPr>
            <w:tcW w:w="0" w:type="auto"/>
            <w:tcBorders>
              <w:bottom w:val="single" w:color="000000" w:sz="12" w:space="0"/>
            </w:tcBorders>
            <w:shd w:val="clear" w:color="auto" w:fill="FFFFFF"/>
            <w:vAlign w:val="center"/>
          </w:tcPr>
          <w:p w14:paraId="7FD44477">
            <w:pPr>
              <w:snapToGrid w:val="0"/>
              <w:jc w:val="center"/>
              <w:rPr>
                <w:rFonts w:ascii="Times New Roman" w:hAnsi="Times New Roman" w:eastAsia="宋体" w:cs="Times New Roman"/>
                <w:bCs/>
                <w:color w:val="000000"/>
                <w:kern w:val="0"/>
                <w:sz w:val="22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bCs/>
                <w:color w:val="000000"/>
                <w:kern w:val="0"/>
                <w:sz w:val="22"/>
                <w:szCs w:val="20"/>
              </w:rPr>
              <w:t>1</w:t>
            </w:r>
          </w:p>
        </w:tc>
        <w:tc>
          <w:tcPr>
            <w:tcW w:w="1289" w:type="dxa"/>
            <w:tcBorders>
              <w:bottom w:val="single" w:color="000000" w:sz="12" w:space="0"/>
            </w:tcBorders>
            <w:shd w:val="clear" w:color="auto" w:fill="FFFFFF"/>
            <w:vAlign w:val="center"/>
          </w:tcPr>
          <w:p w14:paraId="5A183FC9">
            <w:pPr>
              <w:snapToGrid w:val="0"/>
              <w:jc w:val="center"/>
              <w:rPr>
                <w:rFonts w:ascii="Times New Roman" w:hAnsi="Times New Roman" w:eastAsia="Terminal" w:cs="Times New Roman"/>
                <w:bCs/>
                <w:color w:val="000000"/>
                <w:kern w:val="0"/>
                <w:sz w:val="22"/>
                <w:szCs w:val="20"/>
              </w:rPr>
            </w:pPr>
            <w:r>
              <w:rPr>
                <w:rFonts w:hint="eastAsia" w:ascii="Times New Roman" w:hAnsi="Times New Roman" w:eastAsia="Terminal" w:cs="Times New Roman"/>
                <w:bCs/>
                <w:color w:val="000000"/>
                <w:kern w:val="0"/>
                <w:sz w:val="22"/>
                <w:szCs w:val="20"/>
              </w:rPr>
              <w:t>-69759.07</w:t>
            </w:r>
          </w:p>
        </w:tc>
        <w:tc>
          <w:tcPr>
            <w:tcW w:w="1014" w:type="dxa"/>
            <w:tcBorders>
              <w:bottom w:val="single" w:color="000000" w:sz="12" w:space="0"/>
            </w:tcBorders>
            <w:shd w:val="clear" w:color="auto" w:fill="FFFFFF"/>
            <w:vAlign w:val="center"/>
          </w:tcPr>
          <w:p w14:paraId="1A7E8BC1">
            <w:pPr>
              <w:snapToGrid w:val="0"/>
              <w:jc w:val="center"/>
              <w:rPr>
                <w:rFonts w:ascii="Times New Roman" w:hAnsi="Times New Roman" w:eastAsia="宋体" w:cs="Times New Roman"/>
                <w:bCs/>
                <w:color w:val="000000"/>
                <w:kern w:val="0"/>
                <w:sz w:val="22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bCs/>
                <w:color w:val="000000"/>
                <w:kern w:val="0"/>
                <w:sz w:val="22"/>
                <w:szCs w:val="20"/>
              </w:rPr>
              <w:t>90.89</w:t>
            </w:r>
          </w:p>
        </w:tc>
        <w:tc>
          <w:tcPr>
            <w:tcW w:w="1134" w:type="dxa"/>
            <w:tcBorders>
              <w:bottom w:val="single" w:color="000000" w:sz="12" w:space="0"/>
            </w:tcBorders>
            <w:shd w:val="clear" w:color="auto" w:fill="FFFFFF"/>
            <w:vAlign w:val="center"/>
          </w:tcPr>
          <w:p w14:paraId="36C32707">
            <w:pPr>
              <w:snapToGrid w:val="0"/>
              <w:jc w:val="center"/>
              <w:rPr>
                <w:rFonts w:ascii="Times New Roman" w:hAnsi="Times New Roman" w:eastAsia="宋体" w:cs="Times New Roman"/>
                <w:bCs/>
                <w:color w:val="000000"/>
                <w:kern w:val="0"/>
                <w:sz w:val="22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bCs/>
                <w:color w:val="000000"/>
                <w:kern w:val="0"/>
                <w:sz w:val="22"/>
                <w:szCs w:val="20"/>
              </w:rPr>
              <w:t>89.69</w:t>
            </w:r>
          </w:p>
        </w:tc>
        <w:tc>
          <w:tcPr>
            <w:tcW w:w="1134" w:type="dxa"/>
            <w:tcBorders>
              <w:bottom w:val="single" w:color="000000" w:sz="12" w:space="0"/>
            </w:tcBorders>
            <w:shd w:val="clear" w:color="auto" w:fill="FFFFFF"/>
            <w:vAlign w:val="center"/>
          </w:tcPr>
          <w:p w14:paraId="744DE24E">
            <w:pPr>
              <w:snapToGrid w:val="0"/>
              <w:jc w:val="center"/>
              <w:rPr>
                <w:rFonts w:ascii="Times New Roman" w:hAnsi="Times New Roman" w:eastAsia="宋体" w:cs="Times New Roman"/>
                <w:bCs/>
                <w:color w:val="000000"/>
                <w:kern w:val="0"/>
                <w:sz w:val="22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bCs/>
                <w:color w:val="000000"/>
                <w:kern w:val="0"/>
                <w:sz w:val="22"/>
                <w:szCs w:val="20"/>
              </w:rPr>
              <w:t>91.11</w:t>
            </w:r>
          </w:p>
        </w:tc>
        <w:tc>
          <w:tcPr>
            <w:tcW w:w="1843" w:type="dxa"/>
            <w:tcBorders>
              <w:bottom w:val="single" w:color="000000" w:sz="12" w:space="0"/>
            </w:tcBorders>
            <w:shd w:val="clear" w:color="auto" w:fill="FFFFFF"/>
            <w:vAlign w:val="center"/>
          </w:tcPr>
          <w:p w14:paraId="329E8CC2">
            <w:pPr>
              <w:snapToGrid w:val="0"/>
              <w:jc w:val="center"/>
              <w:rPr>
                <w:rFonts w:ascii="Times New Roman" w:hAnsi="Times New Roman" w:eastAsia="宋体" w:cs="Times New Roman"/>
                <w:bCs/>
                <w:color w:val="000000"/>
                <w:kern w:val="0"/>
                <w:sz w:val="22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bCs/>
                <w:color w:val="000000"/>
                <w:kern w:val="0"/>
                <w:sz w:val="22"/>
                <w:szCs w:val="20"/>
              </w:rPr>
              <w:t>10.7</w:t>
            </w:r>
          </w:p>
        </w:tc>
      </w:tr>
    </w:tbl>
    <w:p w14:paraId="5A4BD223">
      <w:pPr>
        <w:rPr>
          <w:rFonts w:ascii="Times New Roman" w:hAnsi="Times New Roman" w:eastAsia="宋体" w:cs="Times New Roman"/>
          <w:sz w:val="22"/>
        </w:rPr>
      </w:pPr>
      <w:r>
        <w:rPr>
          <w:rFonts w:hint="eastAsia" w:ascii="Times New Roman" w:hAnsi="Times New Roman" w:eastAsia="宋体" w:cs="Times New Roman"/>
          <w:sz w:val="22"/>
        </w:rPr>
        <w:t>BIC: Bayesian Information Criterion；AvePP: Average Posterior Probability</w:t>
      </w:r>
    </w:p>
    <w:p w14:paraId="79D54009">
      <w:pPr>
        <w:spacing w:line="480" w:lineRule="auto"/>
        <w:rPr>
          <w:rFonts w:ascii="Times New Roman" w:hAnsi="Times New Roman" w:eastAsia="宋体" w:cs="Times New Roman"/>
          <w:sz w:val="22"/>
        </w:rPr>
      </w:pPr>
      <w:r>
        <w:rPr>
          <w:rFonts w:ascii="Times New Roman" w:hAnsi="Times New Roman" w:eastAsia="宋体" w:cs="Times New Roman"/>
          <w:sz w:val="22"/>
        </w:rPr>
        <w:br w:type="page"/>
      </w:r>
    </w:p>
    <w:p w14:paraId="0D825318">
      <w:pPr>
        <w:spacing w:line="480" w:lineRule="auto"/>
        <w:rPr>
          <w:rFonts w:ascii="Times New Roman" w:hAnsi="Times New Roman" w:eastAsia="宋体" w:cs="Times New Roman"/>
          <w:b/>
          <w:bCs/>
          <w:color w:val="auto"/>
          <w:sz w:val="24"/>
          <w:szCs w:val="24"/>
          <w:highlight w:val="yellow"/>
        </w:rPr>
      </w:pPr>
      <w:r>
        <w:rPr>
          <w:rFonts w:ascii="Times New Roman" w:hAnsi="Times New Roman" w:eastAsia="宋体" w:cs="Times New Roman"/>
          <w:b/>
          <w:bCs/>
          <w:sz w:val="24"/>
          <w:szCs w:val="24"/>
        </w:rPr>
        <w:t xml:space="preserve">Table </w:t>
      </w:r>
      <w:r>
        <w:rPr>
          <w:rFonts w:hint="eastAsia" w:ascii="Times New Roman" w:hAnsi="Times New Roman" w:eastAsia="宋体" w:cs="Times New Roman"/>
          <w:b/>
          <w:bCs/>
          <w:sz w:val="24"/>
          <w:szCs w:val="24"/>
        </w:rPr>
        <w:t>S2</w:t>
      </w:r>
      <w:r>
        <w:rPr>
          <w:rFonts w:ascii="Times New Roman" w:hAnsi="Times New Roman" w:eastAsia="宋体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eastAsia="宋体" w:cs="Times New Roman"/>
          <w:b/>
          <w:bCs/>
          <w:color w:val="auto"/>
          <w:sz w:val="24"/>
          <w:szCs w:val="24"/>
          <w:highlight w:val="yellow"/>
        </w:rPr>
        <w:t>Baseline characteristics of participants with incident MASLD and non-MASLD</w:t>
      </w:r>
    </w:p>
    <w:tbl>
      <w:tblPr>
        <w:tblStyle w:val="8"/>
        <w:tblW w:w="4998" w:type="pct"/>
        <w:jc w:val="center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39"/>
        <w:gridCol w:w="2312"/>
        <w:gridCol w:w="1729"/>
        <w:gridCol w:w="956"/>
        <w:gridCol w:w="883"/>
      </w:tblGrid>
      <w:tr w14:paraId="2C865CD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1549" w:type="pct"/>
            <w:vMerge w:val="restart"/>
            <w:tcBorders>
              <w:top w:val="single" w:color="000000" w:sz="12" w:space="0"/>
              <w:bottom w:val="single" w:color="auto" w:sz="4" w:space="0"/>
              <w:tl2br w:val="nil"/>
            </w:tcBorders>
            <w:shd w:val="clear" w:color="auto" w:fill="FFFFFF"/>
            <w:vAlign w:val="center"/>
          </w:tcPr>
          <w:p w14:paraId="71F70D19">
            <w:pPr>
              <w:jc w:val="left"/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0"/>
              </w:rPr>
            </w:pPr>
            <w:bookmarkStart w:id="0" w:name="_GoBack" w:colFirst="1" w:colLast="2"/>
            <w:r>
              <w:rPr>
                <w:rFonts w:hint="eastAsia" w:ascii="Times New Roman" w:hAnsi="Times New Roman" w:eastAsia="Times New Roman" w:cs="Times New Roman"/>
                <w:color w:val="000000"/>
                <w:kern w:val="0"/>
                <w:sz w:val="22"/>
                <w:szCs w:val="20"/>
              </w:rPr>
              <w:t>Variables</w:t>
            </w:r>
          </w:p>
        </w:tc>
        <w:tc>
          <w:tcPr>
            <w:tcW w:w="1357" w:type="pct"/>
            <w:tcBorders>
              <w:top w:val="single" w:color="000000" w:sz="12" w:space="0"/>
              <w:bottom w:val="single" w:color="auto" w:sz="4" w:space="0"/>
            </w:tcBorders>
            <w:shd w:val="clear" w:color="auto" w:fill="FFFFFF"/>
            <w:vAlign w:val="center"/>
          </w:tcPr>
          <w:p w14:paraId="3A4463EE">
            <w:pPr>
              <w:jc w:val="center"/>
              <w:rPr>
                <w:rFonts w:hint="eastAsia" w:ascii="Times New Roman" w:hAnsi="Times New Roman" w:eastAsia="宋体" w:cs="Times New Roman"/>
                <w:color w:val="C00000"/>
                <w:kern w:val="0"/>
                <w:sz w:val="22"/>
                <w:szCs w:val="20"/>
                <w:highlight w:val="yellow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2"/>
                <w:szCs w:val="20"/>
                <w:highlight w:val="yellow"/>
              </w:rPr>
              <w:t xml:space="preserve">With incident 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2"/>
                <w:szCs w:val="20"/>
                <w:highlight w:val="yellow"/>
                <w:lang w:val="en-US" w:eastAsia="zh-CN"/>
              </w:rPr>
              <w:t>MASLD</w:t>
            </w:r>
          </w:p>
        </w:tc>
        <w:tc>
          <w:tcPr>
            <w:tcW w:w="1015" w:type="pct"/>
            <w:tcBorders>
              <w:top w:val="single" w:color="000000" w:sz="12" w:space="0"/>
              <w:bottom w:val="single" w:color="auto" w:sz="4" w:space="0"/>
            </w:tcBorders>
            <w:shd w:val="clear" w:color="auto" w:fill="FFFFFF"/>
            <w:vAlign w:val="center"/>
          </w:tcPr>
          <w:p w14:paraId="58BF9421">
            <w:pPr>
              <w:jc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0"/>
                <w:highlight w:val="yellow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0"/>
                <w:highlight w:val="yellow"/>
              </w:rPr>
              <w:t xml:space="preserve">Without 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0"/>
                <w:highlight w:val="yellow"/>
                <w:lang w:val="en-US" w:eastAsia="zh-CN"/>
              </w:rPr>
              <w:t>MASLD</w:t>
            </w:r>
          </w:p>
        </w:tc>
        <w:tc>
          <w:tcPr>
            <w:tcW w:w="561" w:type="pct"/>
            <w:vMerge w:val="restart"/>
            <w:tcBorders>
              <w:top w:val="single" w:color="000000" w:sz="12" w:space="0"/>
              <w:bottom w:val="single" w:color="auto" w:sz="4" w:space="0"/>
            </w:tcBorders>
            <w:shd w:val="clear" w:color="auto" w:fill="FFFFFF"/>
            <w:vAlign w:val="center"/>
          </w:tcPr>
          <w:p w14:paraId="24640C83">
            <w:pPr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36"/>
                <w:sz w:val="22"/>
                <w:szCs w:val="20"/>
              </w:rPr>
              <w:t>t</w:t>
            </w:r>
            <w:r>
              <w:rPr>
                <w:rFonts w:ascii="Times New Roman" w:hAnsi="Times New Roman" w:eastAsia="Times New Roman" w:cs="Times New Roman"/>
                <w:color w:val="000000"/>
                <w:kern w:val="36"/>
                <w:sz w:val="22"/>
                <w:szCs w:val="20"/>
              </w:rPr>
              <w:t>/χ²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36"/>
                <w:sz w:val="22"/>
                <w:szCs w:val="20"/>
              </w:rPr>
              <w:t>/Z</w:t>
            </w:r>
          </w:p>
        </w:tc>
        <w:tc>
          <w:tcPr>
            <w:tcW w:w="518" w:type="pct"/>
            <w:vMerge w:val="restart"/>
            <w:tcBorders>
              <w:top w:val="single" w:color="000000" w:sz="12" w:space="0"/>
              <w:bottom w:val="single" w:color="auto" w:sz="4" w:space="0"/>
            </w:tcBorders>
            <w:shd w:val="clear" w:color="auto" w:fill="FFFFFF"/>
            <w:vAlign w:val="center"/>
          </w:tcPr>
          <w:p w14:paraId="48FE577C">
            <w:pPr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0"/>
              </w:rPr>
            </w:pPr>
            <w:r>
              <w:rPr>
                <w:rFonts w:hint="eastAsia" w:ascii="Times New Roman" w:hAnsi="Times New Roman" w:eastAsia="Times New Roman" w:cs="Times New Roman"/>
                <w:i/>
                <w:iCs/>
                <w:color w:val="000000"/>
                <w:kern w:val="0"/>
                <w:sz w:val="22"/>
                <w:szCs w:val="20"/>
              </w:rPr>
              <w:t xml:space="preserve">P </w:t>
            </w:r>
            <w:r>
              <w:rPr>
                <w:rFonts w:hint="eastAsia" w:ascii="Times New Roman" w:hAnsi="Times New Roman" w:eastAsia="Times New Roman" w:cs="Times New Roman"/>
                <w:color w:val="000000"/>
                <w:kern w:val="0"/>
                <w:sz w:val="22"/>
                <w:szCs w:val="20"/>
              </w:rPr>
              <w:t>value</w:t>
            </w:r>
          </w:p>
        </w:tc>
      </w:tr>
      <w:bookmarkEnd w:id="0"/>
      <w:tr w14:paraId="2EC68D1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1549" w:type="pct"/>
            <w:vMerge w:val="continue"/>
            <w:tcBorders>
              <w:top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598B1DB2">
            <w:pPr>
              <w:jc w:val="left"/>
              <w:rPr>
                <w:rFonts w:ascii="Calibri" w:hAnsi="Calibri" w:eastAsia="宋体" w:cs="Times New Roman"/>
                <w:color w:val="000000"/>
                <w:kern w:val="0"/>
                <w:sz w:val="22"/>
                <w:szCs w:val="20"/>
              </w:rPr>
            </w:pPr>
          </w:p>
        </w:tc>
        <w:tc>
          <w:tcPr>
            <w:tcW w:w="1357" w:type="pct"/>
            <w:tcBorders>
              <w:top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205D3258">
            <w:pPr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0"/>
              </w:rPr>
              <w:t>(n=3710)</w:t>
            </w:r>
          </w:p>
        </w:tc>
        <w:tc>
          <w:tcPr>
            <w:tcW w:w="1015" w:type="pct"/>
            <w:tcBorders>
              <w:top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622F53BA">
            <w:pPr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0"/>
              </w:rPr>
              <w:t>(n=24825)</w:t>
            </w:r>
          </w:p>
        </w:tc>
        <w:tc>
          <w:tcPr>
            <w:tcW w:w="561" w:type="pct"/>
            <w:vMerge w:val="continue"/>
            <w:tcBorders>
              <w:top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7B861DCE">
            <w:pPr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0"/>
              </w:rPr>
            </w:pPr>
          </w:p>
        </w:tc>
        <w:tc>
          <w:tcPr>
            <w:tcW w:w="518" w:type="pct"/>
            <w:vMerge w:val="continue"/>
            <w:tcBorders>
              <w:top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 w14:paraId="6FBBCFE5">
            <w:pPr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0"/>
              </w:rPr>
            </w:pPr>
          </w:p>
        </w:tc>
      </w:tr>
      <w:tr w14:paraId="67AF3D5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1549" w:type="pct"/>
            <w:tcBorders>
              <w:top w:val="single" w:color="auto" w:sz="4" w:space="0"/>
            </w:tcBorders>
            <w:shd w:val="clear" w:color="auto" w:fill="FFFFFF"/>
            <w:vAlign w:val="center"/>
          </w:tcPr>
          <w:p w14:paraId="4E8B3FC0">
            <w:pPr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0"/>
              </w:rPr>
            </w:pPr>
            <w:r>
              <w:rPr>
                <w:rFonts w:hint="eastAsia" w:ascii="Times New Roman" w:hAnsi="Times New Roman" w:eastAsia="Times New Roman" w:cs="Times New Roman"/>
                <w:color w:val="000000"/>
                <w:kern w:val="0"/>
                <w:sz w:val="22"/>
                <w:szCs w:val="20"/>
              </w:rPr>
              <w:t>Male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0"/>
              </w:rPr>
              <w:t>, n(%)</w:t>
            </w:r>
          </w:p>
        </w:tc>
        <w:tc>
          <w:tcPr>
            <w:tcW w:w="1357" w:type="pct"/>
            <w:tcBorders>
              <w:top w:val="single" w:color="auto" w:sz="4" w:space="0"/>
            </w:tcBorders>
            <w:shd w:val="clear" w:color="auto" w:fill="FFFFFF"/>
            <w:vAlign w:val="center"/>
          </w:tcPr>
          <w:p w14:paraId="4303DFDE">
            <w:pPr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0"/>
              </w:rPr>
              <w:t>1054(28.4)</w:t>
            </w:r>
          </w:p>
        </w:tc>
        <w:tc>
          <w:tcPr>
            <w:tcW w:w="1015" w:type="pct"/>
            <w:tcBorders>
              <w:top w:val="single" w:color="auto" w:sz="4" w:space="0"/>
            </w:tcBorders>
            <w:shd w:val="clear" w:color="auto" w:fill="FFFFFF"/>
            <w:vAlign w:val="center"/>
          </w:tcPr>
          <w:p w14:paraId="1B09722E">
            <w:pPr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0"/>
              </w:rPr>
              <w:t>12402(50.0)</w:t>
            </w:r>
          </w:p>
        </w:tc>
        <w:tc>
          <w:tcPr>
            <w:tcW w:w="561" w:type="pct"/>
            <w:tcBorders>
              <w:top w:val="single" w:color="auto" w:sz="4" w:space="0"/>
            </w:tcBorders>
            <w:shd w:val="clear" w:color="auto" w:fill="FFFFFF"/>
            <w:vAlign w:val="center"/>
          </w:tcPr>
          <w:p w14:paraId="58783A3D">
            <w:pPr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0"/>
              </w:rPr>
              <w:t>600.540</w:t>
            </w:r>
          </w:p>
        </w:tc>
        <w:tc>
          <w:tcPr>
            <w:tcW w:w="518" w:type="pct"/>
            <w:tcBorders>
              <w:top w:val="single" w:color="auto" w:sz="4" w:space="0"/>
            </w:tcBorders>
            <w:shd w:val="clear" w:color="auto" w:fill="FFFFFF"/>
            <w:vAlign w:val="center"/>
          </w:tcPr>
          <w:p w14:paraId="1BCBF1F7">
            <w:pPr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0"/>
              </w:rPr>
            </w:pPr>
            <w:r>
              <w:rPr>
                <w:rFonts w:hint="eastAsia" w:ascii="Times New Roman" w:hAnsi="Times New Roman" w:eastAsia="Times New Roman" w:cs="Times New Roman"/>
                <w:color w:val="000000"/>
                <w:kern w:val="0"/>
                <w:sz w:val="22"/>
                <w:szCs w:val="20"/>
              </w:rPr>
              <w:t>&lt;0.001</w:t>
            </w:r>
          </w:p>
        </w:tc>
      </w:tr>
      <w:tr w14:paraId="7E6B818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1549" w:type="pct"/>
            <w:shd w:val="clear" w:color="auto" w:fill="FFFFFF"/>
            <w:vAlign w:val="center"/>
          </w:tcPr>
          <w:p w14:paraId="179AE514">
            <w:pPr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0"/>
              </w:rPr>
            </w:pPr>
            <w:r>
              <w:rPr>
                <w:rFonts w:hint="eastAsia" w:ascii="Times New Roman" w:hAnsi="Times New Roman" w:eastAsia="Times New Roman" w:cs="Times New Roman"/>
                <w:color w:val="000000"/>
                <w:kern w:val="0"/>
                <w:sz w:val="22"/>
                <w:szCs w:val="20"/>
              </w:rPr>
              <w:t>Age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0"/>
              </w:rPr>
              <w:t>, years</w:t>
            </w:r>
          </w:p>
        </w:tc>
        <w:tc>
          <w:tcPr>
            <w:tcW w:w="1357" w:type="pct"/>
            <w:shd w:val="clear" w:color="auto" w:fill="FFFFFF"/>
            <w:vAlign w:val="center"/>
          </w:tcPr>
          <w:p w14:paraId="46E2F52F">
            <w:pPr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0"/>
              </w:rPr>
              <w:t>67.33</w:t>
            </w:r>
            <w:r>
              <w:rPr>
                <w:rFonts w:hint="eastAsia" w:ascii="Times New Roman" w:hAnsi="Times New Roman" w:eastAsia="Times New Roman" w:cs="Times New Roman"/>
                <w:color w:val="000000"/>
                <w:kern w:val="0"/>
                <w:sz w:val="22"/>
                <w:szCs w:val="20"/>
              </w:rPr>
              <w:t>±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0"/>
              </w:rPr>
              <w:t>4.907</w:t>
            </w:r>
          </w:p>
        </w:tc>
        <w:tc>
          <w:tcPr>
            <w:tcW w:w="1015" w:type="pct"/>
            <w:shd w:val="clear" w:color="auto" w:fill="FFFFFF"/>
            <w:vAlign w:val="center"/>
          </w:tcPr>
          <w:p w14:paraId="0920E043">
            <w:pPr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0"/>
              </w:rPr>
              <w:t>67.80</w:t>
            </w:r>
            <w:r>
              <w:rPr>
                <w:rFonts w:hint="eastAsia" w:ascii="Times New Roman" w:hAnsi="Times New Roman" w:eastAsia="Times New Roman" w:cs="Times New Roman"/>
                <w:color w:val="000000"/>
                <w:kern w:val="0"/>
                <w:sz w:val="22"/>
                <w:szCs w:val="20"/>
              </w:rPr>
              <w:t>±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0"/>
              </w:rPr>
              <w:t>5.140</w:t>
            </w:r>
          </w:p>
        </w:tc>
        <w:tc>
          <w:tcPr>
            <w:tcW w:w="561" w:type="pct"/>
            <w:shd w:val="clear" w:color="auto" w:fill="FFFFFF"/>
            <w:vAlign w:val="center"/>
          </w:tcPr>
          <w:p w14:paraId="7761DFF0">
            <w:pPr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0"/>
              </w:rPr>
              <w:t>-5.255</w:t>
            </w:r>
          </w:p>
        </w:tc>
        <w:tc>
          <w:tcPr>
            <w:tcW w:w="518" w:type="pct"/>
            <w:shd w:val="clear" w:color="auto" w:fill="FFFFFF"/>
            <w:vAlign w:val="center"/>
          </w:tcPr>
          <w:p w14:paraId="1700D3D6">
            <w:pPr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0"/>
              </w:rPr>
            </w:pPr>
            <w:r>
              <w:rPr>
                <w:rFonts w:hint="eastAsia" w:ascii="Times New Roman" w:hAnsi="Times New Roman" w:eastAsia="Times New Roman" w:cs="Times New Roman"/>
                <w:color w:val="000000"/>
                <w:kern w:val="0"/>
                <w:sz w:val="22"/>
                <w:szCs w:val="20"/>
              </w:rPr>
              <w:t>&lt;0.001</w:t>
            </w:r>
          </w:p>
        </w:tc>
      </w:tr>
      <w:tr w14:paraId="5EA9EEE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1549" w:type="pct"/>
            <w:shd w:val="clear" w:color="auto" w:fill="FFFFFF"/>
            <w:vAlign w:val="center"/>
          </w:tcPr>
          <w:p w14:paraId="70CBA1CE">
            <w:pPr>
              <w:jc w:val="left"/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0"/>
              </w:rPr>
            </w:pPr>
            <w:r>
              <w:rPr>
                <w:rFonts w:hint="eastAsia" w:ascii="Times New Roman" w:hAnsi="Times New Roman" w:eastAsia="Times New Roman" w:cs="Times New Roman"/>
                <w:color w:val="000000"/>
                <w:kern w:val="0"/>
                <w:sz w:val="22"/>
                <w:szCs w:val="20"/>
              </w:rPr>
              <w:t>WC</w:t>
            </w:r>
            <w:r>
              <w:rPr>
                <w:rFonts w:hint="eastAsia" w:ascii="Times New Roman" w:hAnsi="Times New Roman" w:cs="Times New Roman" w:eastAsiaTheme="minorEastAsia"/>
                <w:color w:val="000000"/>
                <w:kern w:val="0"/>
                <w:sz w:val="22"/>
                <w:szCs w:val="20"/>
              </w:rPr>
              <w:t>,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0"/>
              </w:rPr>
              <w:t xml:space="preserve"> </w:t>
            </w:r>
            <w:r>
              <w:rPr>
                <w:rFonts w:hint="eastAsia" w:ascii="Times New Roman" w:hAnsi="Times New Roman" w:eastAsia="Times New Roman" w:cs="Times New Roman"/>
                <w:color w:val="000000"/>
                <w:kern w:val="0"/>
                <w:sz w:val="22"/>
                <w:szCs w:val="20"/>
              </w:rPr>
              <w:t>cm</w:t>
            </w:r>
          </w:p>
        </w:tc>
        <w:tc>
          <w:tcPr>
            <w:tcW w:w="1357" w:type="pct"/>
            <w:shd w:val="clear" w:color="auto" w:fill="FFFFFF"/>
            <w:vAlign w:val="center"/>
          </w:tcPr>
          <w:p w14:paraId="2C003E71">
            <w:pPr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0"/>
              </w:rPr>
              <w:t>86.32</w:t>
            </w:r>
            <w:r>
              <w:rPr>
                <w:rFonts w:hint="eastAsia" w:ascii="Times New Roman" w:hAnsi="Times New Roman" w:eastAsia="Times New Roman" w:cs="Times New Roman"/>
                <w:color w:val="000000"/>
                <w:kern w:val="0"/>
                <w:sz w:val="22"/>
                <w:szCs w:val="20"/>
              </w:rPr>
              <w:t>±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0"/>
              </w:rPr>
              <w:t>7.985</w:t>
            </w:r>
          </w:p>
        </w:tc>
        <w:tc>
          <w:tcPr>
            <w:tcW w:w="1015" w:type="pct"/>
            <w:shd w:val="clear" w:color="auto" w:fill="FFFFFF"/>
            <w:vAlign w:val="center"/>
          </w:tcPr>
          <w:p w14:paraId="3F91F869">
            <w:pPr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0"/>
              </w:rPr>
              <w:t>83.29</w:t>
            </w:r>
            <w:r>
              <w:rPr>
                <w:rFonts w:hint="eastAsia" w:ascii="Times New Roman" w:hAnsi="Times New Roman" w:eastAsia="Times New Roman" w:cs="Times New Roman"/>
                <w:color w:val="000000"/>
                <w:kern w:val="0"/>
                <w:sz w:val="22"/>
                <w:szCs w:val="20"/>
              </w:rPr>
              <w:t>±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0"/>
              </w:rPr>
              <w:t>7.850</w:t>
            </w:r>
          </w:p>
        </w:tc>
        <w:tc>
          <w:tcPr>
            <w:tcW w:w="561" w:type="pct"/>
            <w:shd w:val="clear" w:color="auto" w:fill="FFFFFF"/>
            <w:vAlign w:val="center"/>
          </w:tcPr>
          <w:p w14:paraId="2BA01566">
            <w:pPr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0"/>
              </w:rPr>
              <w:t>21.478</w:t>
            </w:r>
          </w:p>
        </w:tc>
        <w:tc>
          <w:tcPr>
            <w:tcW w:w="518" w:type="pct"/>
            <w:shd w:val="clear" w:color="auto" w:fill="FFFFFF"/>
            <w:vAlign w:val="center"/>
          </w:tcPr>
          <w:p w14:paraId="3E49FC64">
            <w:pPr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0"/>
              </w:rPr>
            </w:pPr>
            <w:r>
              <w:rPr>
                <w:rFonts w:hint="eastAsia" w:ascii="Times New Roman" w:hAnsi="Times New Roman" w:eastAsia="Times New Roman" w:cs="Times New Roman"/>
                <w:color w:val="000000"/>
                <w:kern w:val="0"/>
                <w:sz w:val="22"/>
                <w:szCs w:val="20"/>
              </w:rPr>
              <w:t>&lt;0.001</w:t>
            </w:r>
          </w:p>
        </w:tc>
      </w:tr>
      <w:tr w14:paraId="1474B7D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1549" w:type="pct"/>
            <w:shd w:val="clear" w:color="auto" w:fill="FFFFFF"/>
            <w:vAlign w:val="center"/>
          </w:tcPr>
          <w:p w14:paraId="23009491">
            <w:pPr>
              <w:jc w:val="left"/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0"/>
                <w:vertAlign w:val="superscript"/>
              </w:rPr>
            </w:pPr>
            <w:r>
              <w:rPr>
                <w:rFonts w:hint="eastAsia" w:ascii="Times New Roman" w:hAnsi="Times New Roman" w:eastAsia="Times New Roman" w:cs="Times New Roman"/>
                <w:color w:val="000000"/>
                <w:kern w:val="0"/>
                <w:sz w:val="22"/>
                <w:szCs w:val="20"/>
              </w:rPr>
              <w:t>BMI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0"/>
              </w:rPr>
              <w:t xml:space="preserve">, </w:t>
            </w:r>
            <w:r>
              <w:rPr>
                <w:rFonts w:hint="eastAsia" w:ascii="Times New Roman" w:hAnsi="Times New Roman" w:eastAsia="Times New Roman" w:cs="Times New Roman"/>
                <w:color w:val="000000"/>
                <w:kern w:val="0"/>
                <w:sz w:val="22"/>
                <w:szCs w:val="20"/>
              </w:rPr>
              <w:t>kg/m</w:t>
            </w:r>
            <w:r>
              <w:rPr>
                <w:rFonts w:hint="eastAsia" w:ascii="Times New Roman" w:hAnsi="Times New Roman" w:eastAsia="Times New Roman" w:cs="Times New Roman"/>
                <w:color w:val="000000"/>
                <w:kern w:val="0"/>
                <w:sz w:val="22"/>
                <w:szCs w:val="20"/>
                <w:vertAlign w:val="superscript"/>
              </w:rPr>
              <w:t>2</w:t>
            </w:r>
          </w:p>
        </w:tc>
        <w:tc>
          <w:tcPr>
            <w:tcW w:w="1357" w:type="pct"/>
            <w:shd w:val="clear" w:color="auto" w:fill="FFFFFF"/>
            <w:vAlign w:val="center"/>
          </w:tcPr>
          <w:p w14:paraId="1EA77464">
            <w:pPr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0"/>
              </w:rPr>
              <w:t>25.64</w:t>
            </w:r>
            <w:r>
              <w:rPr>
                <w:rFonts w:hint="eastAsia" w:ascii="Times New Roman" w:hAnsi="Times New Roman" w:eastAsia="Times New Roman" w:cs="Times New Roman"/>
                <w:color w:val="000000"/>
                <w:kern w:val="0"/>
                <w:sz w:val="22"/>
                <w:szCs w:val="20"/>
              </w:rPr>
              <w:t>±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0"/>
              </w:rPr>
              <w:t>2.824</w:t>
            </w:r>
          </w:p>
        </w:tc>
        <w:tc>
          <w:tcPr>
            <w:tcW w:w="1015" w:type="pct"/>
            <w:shd w:val="clear" w:color="auto" w:fill="FFFFFF"/>
            <w:vAlign w:val="center"/>
          </w:tcPr>
          <w:p w14:paraId="236C59DE">
            <w:pPr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0"/>
              </w:rPr>
              <w:t>24.00</w:t>
            </w:r>
            <w:r>
              <w:rPr>
                <w:rFonts w:hint="eastAsia" w:ascii="Times New Roman" w:hAnsi="Times New Roman" w:eastAsia="Times New Roman" w:cs="Times New Roman"/>
                <w:color w:val="000000"/>
                <w:kern w:val="0"/>
                <w:sz w:val="22"/>
                <w:szCs w:val="20"/>
              </w:rPr>
              <w:t>±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0"/>
              </w:rPr>
              <w:t>2.942</w:t>
            </w:r>
          </w:p>
        </w:tc>
        <w:tc>
          <w:tcPr>
            <w:tcW w:w="561" w:type="pct"/>
            <w:shd w:val="clear" w:color="auto" w:fill="FFFFFF"/>
            <w:vAlign w:val="center"/>
          </w:tcPr>
          <w:p w14:paraId="1A3DC434">
            <w:pPr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0"/>
              </w:rPr>
              <w:t>31.816</w:t>
            </w:r>
          </w:p>
        </w:tc>
        <w:tc>
          <w:tcPr>
            <w:tcW w:w="518" w:type="pct"/>
            <w:shd w:val="clear" w:color="auto" w:fill="FFFFFF"/>
            <w:vAlign w:val="center"/>
          </w:tcPr>
          <w:p w14:paraId="73DB5735">
            <w:pPr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0"/>
              </w:rPr>
            </w:pPr>
            <w:r>
              <w:rPr>
                <w:rFonts w:hint="eastAsia" w:ascii="Times New Roman" w:hAnsi="Times New Roman" w:eastAsia="Times New Roman" w:cs="Times New Roman"/>
                <w:color w:val="000000"/>
                <w:kern w:val="0"/>
                <w:sz w:val="22"/>
                <w:szCs w:val="20"/>
              </w:rPr>
              <w:t>&lt;0.001</w:t>
            </w:r>
          </w:p>
        </w:tc>
      </w:tr>
      <w:tr w14:paraId="40AB552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1549" w:type="pct"/>
            <w:shd w:val="clear" w:color="auto" w:fill="FFFFFF"/>
            <w:vAlign w:val="center"/>
          </w:tcPr>
          <w:p w14:paraId="5A868BE7">
            <w:pPr>
              <w:jc w:val="left"/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0"/>
              </w:rPr>
            </w:pPr>
            <w:r>
              <w:rPr>
                <w:rFonts w:hint="eastAsia" w:ascii="Times New Roman" w:hAnsi="Times New Roman" w:eastAsia="Times New Roman" w:cs="Times New Roman"/>
                <w:color w:val="000000"/>
                <w:kern w:val="0"/>
                <w:sz w:val="22"/>
                <w:szCs w:val="20"/>
              </w:rPr>
              <w:t>SBP, mmHg</w:t>
            </w:r>
          </w:p>
        </w:tc>
        <w:tc>
          <w:tcPr>
            <w:tcW w:w="1357" w:type="pct"/>
            <w:shd w:val="clear" w:color="auto" w:fill="FFFFFF"/>
            <w:vAlign w:val="center"/>
          </w:tcPr>
          <w:p w14:paraId="109B7642">
            <w:pPr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0"/>
              </w:rPr>
              <w:t>141.75</w:t>
            </w:r>
            <w:r>
              <w:rPr>
                <w:rFonts w:hint="eastAsia" w:ascii="Times New Roman" w:hAnsi="Times New Roman" w:eastAsia="Times New Roman" w:cs="Times New Roman"/>
                <w:color w:val="000000"/>
                <w:kern w:val="0"/>
                <w:sz w:val="22"/>
                <w:szCs w:val="20"/>
              </w:rPr>
              <w:t>±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0"/>
              </w:rPr>
              <w:t>18.132</w:t>
            </w:r>
          </w:p>
        </w:tc>
        <w:tc>
          <w:tcPr>
            <w:tcW w:w="1015" w:type="pct"/>
            <w:shd w:val="clear" w:color="auto" w:fill="FFFFFF"/>
            <w:vAlign w:val="center"/>
          </w:tcPr>
          <w:p w14:paraId="7EC0A094">
            <w:pPr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0"/>
              </w:rPr>
              <w:t>139.99</w:t>
            </w:r>
            <w:r>
              <w:rPr>
                <w:rFonts w:hint="eastAsia" w:ascii="Times New Roman" w:hAnsi="Times New Roman" w:eastAsia="Times New Roman" w:cs="Times New Roman"/>
                <w:color w:val="000000"/>
                <w:kern w:val="0"/>
                <w:sz w:val="22"/>
                <w:szCs w:val="20"/>
              </w:rPr>
              <w:t>±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0"/>
              </w:rPr>
              <w:t>18.086</w:t>
            </w:r>
          </w:p>
        </w:tc>
        <w:tc>
          <w:tcPr>
            <w:tcW w:w="561" w:type="pct"/>
            <w:shd w:val="clear" w:color="auto" w:fill="FFFFFF"/>
            <w:vAlign w:val="center"/>
          </w:tcPr>
          <w:p w14:paraId="094C818B">
            <w:pPr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0"/>
              </w:rPr>
              <w:t>5.520</w:t>
            </w:r>
          </w:p>
        </w:tc>
        <w:tc>
          <w:tcPr>
            <w:tcW w:w="518" w:type="pct"/>
            <w:shd w:val="clear" w:color="auto" w:fill="FFFFFF"/>
            <w:vAlign w:val="center"/>
          </w:tcPr>
          <w:p w14:paraId="5299CF70">
            <w:pPr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0"/>
              </w:rPr>
            </w:pPr>
            <w:r>
              <w:rPr>
                <w:rFonts w:hint="eastAsia" w:ascii="Times New Roman" w:hAnsi="Times New Roman" w:eastAsia="Times New Roman" w:cs="Times New Roman"/>
                <w:color w:val="000000"/>
                <w:kern w:val="0"/>
                <w:sz w:val="22"/>
                <w:szCs w:val="20"/>
              </w:rPr>
              <w:t>&lt;0.001</w:t>
            </w:r>
          </w:p>
        </w:tc>
      </w:tr>
      <w:tr w14:paraId="34378E5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1549" w:type="pct"/>
            <w:shd w:val="clear" w:color="auto" w:fill="FFFFFF"/>
            <w:vAlign w:val="center"/>
          </w:tcPr>
          <w:p w14:paraId="0CBFE320">
            <w:pPr>
              <w:jc w:val="left"/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0"/>
              </w:rPr>
            </w:pPr>
            <w:r>
              <w:rPr>
                <w:rFonts w:hint="eastAsia" w:ascii="Times New Roman" w:hAnsi="Times New Roman" w:eastAsia="Times New Roman" w:cs="Times New Roman"/>
                <w:color w:val="000000"/>
                <w:kern w:val="0"/>
                <w:sz w:val="22"/>
                <w:szCs w:val="20"/>
              </w:rPr>
              <w:t>DBP, mmHg</w:t>
            </w:r>
          </w:p>
        </w:tc>
        <w:tc>
          <w:tcPr>
            <w:tcW w:w="1357" w:type="pct"/>
            <w:shd w:val="clear" w:color="auto" w:fill="FFFFFF"/>
            <w:vAlign w:val="center"/>
          </w:tcPr>
          <w:p w14:paraId="5FED2500">
            <w:pPr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0"/>
              </w:rPr>
              <w:t>81.75</w:t>
            </w:r>
            <w:r>
              <w:rPr>
                <w:rFonts w:hint="eastAsia" w:ascii="Times New Roman" w:hAnsi="Times New Roman" w:eastAsia="Times New Roman" w:cs="Times New Roman"/>
                <w:color w:val="000000"/>
                <w:kern w:val="0"/>
                <w:sz w:val="22"/>
                <w:szCs w:val="20"/>
              </w:rPr>
              <w:t>±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0"/>
              </w:rPr>
              <w:t>9.906</w:t>
            </w:r>
          </w:p>
        </w:tc>
        <w:tc>
          <w:tcPr>
            <w:tcW w:w="1015" w:type="pct"/>
            <w:shd w:val="clear" w:color="auto" w:fill="FFFFFF"/>
            <w:vAlign w:val="center"/>
          </w:tcPr>
          <w:p w14:paraId="1AE4E78D">
            <w:pPr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0"/>
              </w:rPr>
              <w:t>82.38</w:t>
            </w:r>
            <w:r>
              <w:rPr>
                <w:rFonts w:hint="eastAsia" w:ascii="Times New Roman" w:hAnsi="Times New Roman" w:eastAsia="Times New Roman" w:cs="Times New Roman"/>
                <w:color w:val="000000"/>
                <w:kern w:val="0"/>
                <w:sz w:val="22"/>
                <w:szCs w:val="20"/>
              </w:rPr>
              <w:t>±10.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0"/>
              </w:rPr>
              <w:t>340</w:t>
            </w:r>
          </w:p>
        </w:tc>
        <w:tc>
          <w:tcPr>
            <w:tcW w:w="561" w:type="pct"/>
            <w:shd w:val="clear" w:color="auto" w:fill="FFFFFF"/>
            <w:vAlign w:val="center"/>
          </w:tcPr>
          <w:p w14:paraId="3511F43F">
            <w:pPr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0"/>
              </w:rPr>
              <w:t>-3.448</w:t>
            </w:r>
          </w:p>
        </w:tc>
        <w:tc>
          <w:tcPr>
            <w:tcW w:w="518" w:type="pct"/>
            <w:shd w:val="clear" w:color="auto" w:fill="FFFFFF"/>
            <w:vAlign w:val="center"/>
          </w:tcPr>
          <w:p w14:paraId="4D89B0E7">
            <w:pPr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0"/>
              </w:rPr>
            </w:pPr>
            <w:r>
              <w:rPr>
                <w:rFonts w:hint="eastAsia" w:ascii="Times New Roman" w:hAnsi="Times New Roman" w:eastAsia="Times New Roman" w:cs="Times New Roman"/>
                <w:color w:val="000000"/>
                <w:kern w:val="0"/>
                <w:sz w:val="22"/>
                <w:szCs w:val="20"/>
              </w:rPr>
              <w:t>&lt;0.001</w:t>
            </w:r>
          </w:p>
        </w:tc>
      </w:tr>
      <w:tr w14:paraId="6713A5E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1549" w:type="pct"/>
            <w:shd w:val="clear" w:color="auto" w:fill="FFFFFF"/>
            <w:vAlign w:val="center"/>
          </w:tcPr>
          <w:p w14:paraId="426362DA">
            <w:pPr>
              <w:jc w:val="left"/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0"/>
              </w:rPr>
            </w:pPr>
            <w:r>
              <w:rPr>
                <w:rFonts w:hint="eastAsia" w:ascii="Times New Roman" w:hAnsi="Times New Roman" w:eastAsia="Times New Roman" w:cs="Times New Roman"/>
                <w:color w:val="000000"/>
                <w:kern w:val="0"/>
                <w:sz w:val="22"/>
                <w:szCs w:val="20"/>
              </w:rPr>
              <w:t>TC, mmol/L</w:t>
            </w:r>
          </w:p>
        </w:tc>
        <w:tc>
          <w:tcPr>
            <w:tcW w:w="1357" w:type="pct"/>
            <w:shd w:val="clear" w:color="auto" w:fill="FFFFFF"/>
            <w:vAlign w:val="center"/>
          </w:tcPr>
          <w:p w14:paraId="03BF15EF">
            <w:pPr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0"/>
              </w:rPr>
              <w:t>5.01</w:t>
            </w:r>
            <w:r>
              <w:rPr>
                <w:rFonts w:hint="eastAsia" w:ascii="Times New Roman" w:hAnsi="Times New Roman" w:eastAsia="Times New Roman" w:cs="Times New Roman"/>
                <w:color w:val="000000"/>
                <w:kern w:val="0"/>
                <w:sz w:val="22"/>
                <w:szCs w:val="20"/>
              </w:rPr>
              <w:t>±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0"/>
              </w:rPr>
              <w:t>1.048</w:t>
            </w:r>
          </w:p>
        </w:tc>
        <w:tc>
          <w:tcPr>
            <w:tcW w:w="1015" w:type="pct"/>
            <w:shd w:val="clear" w:color="auto" w:fill="FFFFFF"/>
            <w:vAlign w:val="center"/>
          </w:tcPr>
          <w:p w14:paraId="1EE38F22">
            <w:pPr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0"/>
              </w:rPr>
              <w:t>4.92</w:t>
            </w:r>
            <w:r>
              <w:rPr>
                <w:rFonts w:hint="eastAsia" w:ascii="Times New Roman" w:hAnsi="Times New Roman" w:eastAsia="Times New Roman" w:cs="Times New Roman"/>
                <w:color w:val="000000"/>
                <w:kern w:val="0"/>
                <w:sz w:val="22"/>
                <w:szCs w:val="20"/>
              </w:rPr>
              <w:t>±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0"/>
              </w:rPr>
              <w:t>0.984</w:t>
            </w:r>
          </w:p>
        </w:tc>
        <w:tc>
          <w:tcPr>
            <w:tcW w:w="561" w:type="pct"/>
            <w:shd w:val="clear" w:color="auto" w:fill="FFFFFF"/>
            <w:vAlign w:val="center"/>
          </w:tcPr>
          <w:p w14:paraId="22FB3169">
            <w:pPr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0"/>
              </w:rPr>
              <w:t>5.410</w:t>
            </w:r>
          </w:p>
        </w:tc>
        <w:tc>
          <w:tcPr>
            <w:tcW w:w="518" w:type="pct"/>
            <w:shd w:val="clear" w:color="auto" w:fill="FFFFFF"/>
            <w:vAlign w:val="center"/>
          </w:tcPr>
          <w:p w14:paraId="3B599FBD">
            <w:pPr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0"/>
              </w:rPr>
            </w:pPr>
            <w:r>
              <w:rPr>
                <w:rFonts w:hint="eastAsia" w:ascii="Times New Roman" w:hAnsi="Times New Roman" w:eastAsia="Times New Roman" w:cs="Times New Roman"/>
                <w:color w:val="000000"/>
                <w:kern w:val="0"/>
                <w:sz w:val="22"/>
                <w:szCs w:val="20"/>
              </w:rPr>
              <w:t>&lt;0.001</w:t>
            </w:r>
          </w:p>
        </w:tc>
      </w:tr>
      <w:tr w14:paraId="341E5BCB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1549" w:type="pct"/>
            <w:shd w:val="clear" w:color="auto" w:fill="FFFFFF"/>
            <w:vAlign w:val="center"/>
          </w:tcPr>
          <w:p w14:paraId="35F973D6">
            <w:pPr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0"/>
              </w:rPr>
            </w:pPr>
            <w:r>
              <w:rPr>
                <w:rFonts w:hint="eastAsia" w:ascii="Times New Roman" w:hAnsi="Times New Roman" w:eastAsia="Times New Roman" w:cs="Times New Roman"/>
                <w:color w:val="000000"/>
                <w:kern w:val="0"/>
                <w:sz w:val="22"/>
                <w:szCs w:val="20"/>
              </w:rPr>
              <w:t>TG, mmol/L</w:t>
            </w:r>
          </w:p>
        </w:tc>
        <w:tc>
          <w:tcPr>
            <w:tcW w:w="1357" w:type="pct"/>
            <w:shd w:val="clear" w:color="auto" w:fill="FFFFFF"/>
            <w:vAlign w:val="center"/>
          </w:tcPr>
          <w:p w14:paraId="6C0633CA">
            <w:pPr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0"/>
              </w:rPr>
              <w:t>1.35</w:t>
            </w:r>
            <w:r>
              <w:rPr>
                <w:rFonts w:hint="eastAsia" w:ascii="Times New Roman" w:hAnsi="Times New Roman" w:eastAsia="Times New Roman" w:cs="Times New Roman"/>
                <w:color w:val="000000"/>
                <w:kern w:val="0"/>
                <w:sz w:val="22"/>
                <w:szCs w:val="20"/>
              </w:rPr>
              <w:t>(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0"/>
              </w:rPr>
              <w:t>1.00</w:t>
            </w:r>
            <w:r>
              <w:rPr>
                <w:rFonts w:hint="eastAsia" w:ascii="Times New Roman" w:hAnsi="Times New Roman" w:eastAsia="Times New Roman" w:cs="Times New Roman"/>
                <w:color w:val="000000"/>
                <w:kern w:val="0"/>
                <w:sz w:val="22"/>
                <w:szCs w:val="20"/>
              </w:rPr>
              <w:t>,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0"/>
              </w:rPr>
              <w:t>1.90</w:t>
            </w:r>
            <w:r>
              <w:rPr>
                <w:rFonts w:hint="eastAsia" w:ascii="Times New Roman" w:hAnsi="Times New Roman" w:eastAsia="Times New Roman" w:cs="Times New Roman"/>
                <w:color w:val="000000"/>
                <w:kern w:val="0"/>
                <w:sz w:val="22"/>
                <w:szCs w:val="20"/>
              </w:rPr>
              <w:t>)</w:t>
            </w:r>
          </w:p>
        </w:tc>
        <w:tc>
          <w:tcPr>
            <w:tcW w:w="1015" w:type="pct"/>
            <w:shd w:val="clear" w:color="auto" w:fill="FFFFFF"/>
            <w:vAlign w:val="center"/>
          </w:tcPr>
          <w:p w14:paraId="446B86B5">
            <w:pPr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0"/>
              </w:rPr>
              <w:t>1.10</w:t>
            </w:r>
            <w:r>
              <w:rPr>
                <w:rFonts w:hint="eastAsia" w:ascii="Times New Roman" w:hAnsi="Times New Roman" w:eastAsia="Times New Roman" w:cs="Times New Roman"/>
                <w:color w:val="000000"/>
                <w:kern w:val="0"/>
                <w:sz w:val="22"/>
                <w:szCs w:val="20"/>
              </w:rPr>
              <w:t xml:space="preserve"> (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0"/>
              </w:rPr>
              <w:t>0.80</w:t>
            </w:r>
            <w:r>
              <w:rPr>
                <w:rFonts w:hint="eastAsia" w:ascii="Times New Roman" w:hAnsi="Times New Roman" w:eastAsia="Times New Roman" w:cs="Times New Roman"/>
                <w:color w:val="000000"/>
                <w:kern w:val="0"/>
                <w:sz w:val="22"/>
                <w:szCs w:val="20"/>
              </w:rPr>
              <w:t>,1.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0"/>
              </w:rPr>
              <w:t>50</w:t>
            </w:r>
            <w:r>
              <w:rPr>
                <w:rFonts w:hint="eastAsia" w:ascii="Times New Roman" w:hAnsi="Times New Roman" w:eastAsia="Times New Roman" w:cs="Times New Roman"/>
                <w:color w:val="000000"/>
                <w:kern w:val="0"/>
                <w:sz w:val="22"/>
                <w:szCs w:val="20"/>
              </w:rPr>
              <w:t>)</w:t>
            </w:r>
          </w:p>
        </w:tc>
        <w:tc>
          <w:tcPr>
            <w:tcW w:w="561" w:type="pct"/>
            <w:shd w:val="clear" w:color="auto" w:fill="FFFFFF"/>
            <w:vAlign w:val="center"/>
          </w:tcPr>
          <w:p w14:paraId="741D7C97">
            <w:pPr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0"/>
              </w:rPr>
              <w:t>567.505</w:t>
            </w:r>
          </w:p>
        </w:tc>
        <w:tc>
          <w:tcPr>
            <w:tcW w:w="518" w:type="pct"/>
            <w:shd w:val="clear" w:color="auto" w:fill="FFFFFF"/>
            <w:vAlign w:val="center"/>
          </w:tcPr>
          <w:p w14:paraId="79FC4E26">
            <w:pPr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0"/>
              </w:rPr>
            </w:pPr>
            <w:r>
              <w:rPr>
                <w:rFonts w:hint="eastAsia" w:ascii="Times New Roman" w:hAnsi="Times New Roman" w:eastAsia="Times New Roman" w:cs="Times New Roman"/>
                <w:color w:val="000000"/>
                <w:kern w:val="0"/>
                <w:sz w:val="22"/>
                <w:szCs w:val="20"/>
              </w:rPr>
              <w:t>&lt;0.001</w:t>
            </w:r>
          </w:p>
        </w:tc>
      </w:tr>
      <w:tr w14:paraId="1980FB2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1549" w:type="pct"/>
            <w:shd w:val="clear" w:color="auto" w:fill="FFFFFF"/>
            <w:vAlign w:val="center"/>
          </w:tcPr>
          <w:p w14:paraId="3ED49C14">
            <w:pPr>
              <w:jc w:val="left"/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0"/>
              </w:rPr>
            </w:pPr>
            <w:r>
              <w:rPr>
                <w:rFonts w:hint="eastAsia" w:ascii="Times New Roman" w:hAnsi="Times New Roman" w:eastAsia="Times New Roman" w:cs="Times New Roman"/>
                <w:color w:val="000000"/>
                <w:kern w:val="0"/>
                <w:sz w:val="22"/>
                <w:szCs w:val="20"/>
              </w:rPr>
              <w:t>HDL-C, mmol/L</w:t>
            </w:r>
          </w:p>
        </w:tc>
        <w:tc>
          <w:tcPr>
            <w:tcW w:w="1357" w:type="pct"/>
            <w:shd w:val="clear" w:color="auto" w:fill="FFFFFF"/>
            <w:vAlign w:val="center"/>
          </w:tcPr>
          <w:p w14:paraId="18298670">
            <w:pPr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0"/>
              </w:rPr>
              <w:t>1.49</w:t>
            </w:r>
            <w:r>
              <w:rPr>
                <w:rFonts w:hint="eastAsia" w:ascii="Times New Roman" w:hAnsi="Times New Roman" w:eastAsia="Times New Roman" w:cs="Times New Roman"/>
                <w:color w:val="000000"/>
                <w:kern w:val="0"/>
                <w:sz w:val="22"/>
                <w:szCs w:val="20"/>
              </w:rPr>
              <w:t>±0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0"/>
              </w:rPr>
              <w:t>.442</w:t>
            </w:r>
          </w:p>
        </w:tc>
        <w:tc>
          <w:tcPr>
            <w:tcW w:w="1015" w:type="pct"/>
            <w:shd w:val="clear" w:color="auto" w:fill="FFFFFF"/>
            <w:vAlign w:val="center"/>
          </w:tcPr>
          <w:p w14:paraId="45DFAAE6">
            <w:pPr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0"/>
              </w:rPr>
            </w:pPr>
            <w:r>
              <w:rPr>
                <w:rFonts w:hint="eastAsia" w:ascii="Times New Roman" w:hAnsi="Times New Roman" w:eastAsia="Times New Roman" w:cs="Times New Roman"/>
                <w:color w:val="000000"/>
                <w:kern w:val="0"/>
                <w:sz w:val="22"/>
                <w:szCs w:val="20"/>
              </w:rPr>
              <w:t>1.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0"/>
              </w:rPr>
              <w:t>61</w:t>
            </w:r>
            <w:r>
              <w:rPr>
                <w:rFonts w:hint="eastAsia" w:ascii="Times New Roman" w:hAnsi="Times New Roman" w:eastAsia="Times New Roman" w:cs="Times New Roman"/>
                <w:color w:val="000000"/>
                <w:kern w:val="0"/>
                <w:sz w:val="22"/>
                <w:szCs w:val="20"/>
              </w:rPr>
              <w:t>±0.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0"/>
              </w:rPr>
              <w:t>461</w:t>
            </w:r>
          </w:p>
        </w:tc>
        <w:tc>
          <w:tcPr>
            <w:tcW w:w="561" w:type="pct"/>
            <w:shd w:val="clear" w:color="auto" w:fill="FFFFFF"/>
            <w:vAlign w:val="center"/>
          </w:tcPr>
          <w:p w14:paraId="3B47CEAE">
            <w:pPr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0"/>
              </w:rPr>
              <w:t>-14.571</w:t>
            </w:r>
          </w:p>
        </w:tc>
        <w:tc>
          <w:tcPr>
            <w:tcW w:w="518" w:type="pct"/>
            <w:shd w:val="clear" w:color="auto" w:fill="FFFFFF"/>
            <w:vAlign w:val="center"/>
          </w:tcPr>
          <w:p w14:paraId="53D9A42C">
            <w:pPr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0"/>
              </w:rPr>
            </w:pPr>
            <w:r>
              <w:rPr>
                <w:rFonts w:hint="eastAsia" w:ascii="Times New Roman" w:hAnsi="Times New Roman" w:eastAsia="Times New Roman" w:cs="Times New Roman"/>
                <w:color w:val="000000"/>
                <w:kern w:val="0"/>
                <w:sz w:val="22"/>
                <w:szCs w:val="20"/>
              </w:rPr>
              <w:t>&lt;0.001</w:t>
            </w:r>
          </w:p>
        </w:tc>
      </w:tr>
      <w:tr w14:paraId="2AD5250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1549" w:type="pct"/>
            <w:shd w:val="clear" w:color="auto" w:fill="FFFFFF"/>
            <w:vAlign w:val="center"/>
          </w:tcPr>
          <w:p w14:paraId="3F31BAB9">
            <w:pPr>
              <w:jc w:val="left"/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0"/>
              </w:rPr>
            </w:pPr>
            <w:r>
              <w:rPr>
                <w:rFonts w:hint="eastAsia" w:ascii="Times New Roman" w:hAnsi="Times New Roman" w:eastAsia="Times New Roman" w:cs="Times New Roman"/>
                <w:color w:val="000000"/>
                <w:kern w:val="0"/>
                <w:sz w:val="22"/>
                <w:szCs w:val="20"/>
              </w:rPr>
              <w:t>LDL-C, mmol/L</w:t>
            </w:r>
          </w:p>
        </w:tc>
        <w:tc>
          <w:tcPr>
            <w:tcW w:w="1357" w:type="pct"/>
            <w:shd w:val="clear" w:color="auto" w:fill="FFFFFF"/>
            <w:vAlign w:val="center"/>
          </w:tcPr>
          <w:p w14:paraId="240B93A6">
            <w:pPr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0"/>
              </w:rPr>
              <w:t>2.67</w:t>
            </w:r>
            <w:r>
              <w:rPr>
                <w:rFonts w:hint="eastAsia" w:ascii="Times New Roman" w:hAnsi="Times New Roman" w:eastAsia="Times New Roman" w:cs="Times New Roman"/>
                <w:color w:val="000000"/>
                <w:kern w:val="0"/>
                <w:sz w:val="22"/>
                <w:szCs w:val="20"/>
              </w:rPr>
              <w:t>±0.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0"/>
              </w:rPr>
              <w:t>784</w:t>
            </w:r>
          </w:p>
        </w:tc>
        <w:tc>
          <w:tcPr>
            <w:tcW w:w="1015" w:type="pct"/>
            <w:shd w:val="clear" w:color="auto" w:fill="FFFFFF"/>
            <w:vAlign w:val="center"/>
          </w:tcPr>
          <w:p w14:paraId="597DF50D">
            <w:pPr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0"/>
              </w:rPr>
              <w:t>2.57</w:t>
            </w:r>
            <w:r>
              <w:rPr>
                <w:rFonts w:hint="eastAsia" w:ascii="Times New Roman" w:hAnsi="Times New Roman" w:eastAsia="Times New Roman" w:cs="Times New Roman"/>
                <w:color w:val="000000"/>
                <w:kern w:val="0"/>
                <w:sz w:val="22"/>
                <w:szCs w:val="20"/>
              </w:rPr>
              <w:t>±0.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0"/>
              </w:rPr>
              <w:t>739</w:t>
            </w:r>
          </w:p>
        </w:tc>
        <w:tc>
          <w:tcPr>
            <w:tcW w:w="561" w:type="pct"/>
            <w:shd w:val="clear" w:color="auto" w:fill="FFFFFF"/>
            <w:vAlign w:val="center"/>
          </w:tcPr>
          <w:p w14:paraId="6568360F">
            <w:pPr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0"/>
              </w:rPr>
              <w:t>7.027</w:t>
            </w:r>
          </w:p>
        </w:tc>
        <w:tc>
          <w:tcPr>
            <w:tcW w:w="518" w:type="pct"/>
            <w:shd w:val="clear" w:color="auto" w:fill="FFFFFF"/>
            <w:vAlign w:val="center"/>
          </w:tcPr>
          <w:p w14:paraId="574ECAD8">
            <w:pPr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0"/>
              </w:rPr>
            </w:pPr>
            <w:r>
              <w:rPr>
                <w:rFonts w:hint="eastAsia" w:ascii="Times New Roman" w:hAnsi="Times New Roman" w:eastAsia="Times New Roman" w:cs="Times New Roman"/>
                <w:color w:val="000000"/>
                <w:kern w:val="0"/>
                <w:sz w:val="22"/>
                <w:szCs w:val="20"/>
              </w:rPr>
              <w:t>&lt;0.001</w:t>
            </w:r>
          </w:p>
        </w:tc>
      </w:tr>
      <w:tr w14:paraId="749986D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1549" w:type="pct"/>
            <w:shd w:val="clear" w:color="auto" w:fill="FFFFFF"/>
            <w:vAlign w:val="center"/>
          </w:tcPr>
          <w:p w14:paraId="5CD61532">
            <w:pPr>
              <w:jc w:val="left"/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0"/>
              </w:rPr>
            </w:pPr>
            <w:r>
              <w:rPr>
                <w:rFonts w:hint="eastAsia" w:ascii="Times New Roman" w:hAnsi="Times New Roman" w:eastAsia="Times New Roman" w:cs="Times New Roman"/>
                <w:color w:val="000000"/>
                <w:kern w:val="0"/>
                <w:sz w:val="22"/>
                <w:szCs w:val="20"/>
              </w:rPr>
              <w:t>FPG, mmol/L</w:t>
            </w:r>
          </w:p>
        </w:tc>
        <w:tc>
          <w:tcPr>
            <w:tcW w:w="1357" w:type="pct"/>
            <w:shd w:val="clear" w:color="auto" w:fill="FFFFFF"/>
            <w:vAlign w:val="center"/>
          </w:tcPr>
          <w:p w14:paraId="50A157DE">
            <w:pPr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0"/>
              </w:rPr>
              <w:t>5.60(5.10,6.20)</w:t>
            </w:r>
          </w:p>
        </w:tc>
        <w:tc>
          <w:tcPr>
            <w:tcW w:w="1015" w:type="pct"/>
            <w:shd w:val="clear" w:color="auto" w:fill="FFFFFF"/>
            <w:vAlign w:val="center"/>
          </w:tcPr>
          <w:p w14:paraId="42BF3347">
            <w:pPr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0"/>
              </w:rPr>
              <w:t>5.50(5.10,6.10)</w:t>
            </w:r>
          </w:p>
        </w:tc>
        <w:tc>
          <w:tcPr>
            <w:tcW w:w="561" w:type="pct"/>
            <w:shd w:val="clear" w:color="auto" w:fill="FFFFFF"/>
            <w:vAlign w:val="center"/>
          </w:tcPr>
          <w:p w14:paraId="75E509C7">
            <w:pPr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0"/>
              </w:rPr>
              <w:t>7.396</w:t>
            </w:r>
          </w:p>
        </w:tc>
        <w:tc>
          <w:tcPr>
            <w:tcW w:w="518" w:type="pct"/>
            <w:shd w:val="clear" w:color="auto" w:fill="FFFFFF"/>
            <w:vAlign w:val="center"/>
          </w:tcPr>
          <w:p w14:paraId="7A5A08D1">
            <w:pPr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0"/>
              </w:rPr>
              <w:t>0.007</w:t>
            </w:r>
          </w:p>
        </w:tc>
      </w:tr>
      <w:tr w14:paraId="291B9D6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1549" w:type="pct"/>
            <w:shd w:val="clear" w:color="auto" w:fill="FFFFFF"/>
            <w:vAlign w:val="center"/>
          </w:tcPr>
          <w:p w14:paraId="4A66E1F2">
            <w:pPr>
              <w:jc w:val="left"/>
              <w:rPr>
                <w:rFonts w:hint="eastAsia" w:ascii="Times New Roman" w:hAnsi="Times New Roman" w:eastAsia="Times New Roman" w:cs="Times New Roman"/>
                <w:color w:val="auto"/>
                <w:kern w:val="0"/>
                <w:sz w:val="22"/>
                <w:szCs w:val="20"/>
                <w:highlight w:val="yellow"/>
              </w:rPr>
            </w:pPr>
            <w:r>
              <w:rPr>
                <w:rFonts w:hint="eastAsia" w:ascii="Times New Roman" w:hAnsi="Times New Roman" w:cs="Times New Roman" w:eastAsiaTheme="minorEastAsia"/>
                <w:color w:val="auto"/>
                <w:kern w:val="0"/>
                <w:sz w:val="22"/>
                <w:szCs w:val="20"/>
                <w:highlight w:val="yellow"/>
              </w:rPr>
              <w:t>ALT, U/L</w:t>
            </w:r>
          </w:p>
        </w:tc>
        <w:tc>
          <w:tcPr>
            <w:tcW w:w="1357" w:type="pct"/>
            <w:shd w:val="clear" w:color="auto" w:fill="FFFFFF"/>
            <w:vAlign w:val="center"/>
          </w:tcPr>
          <w:p w14:paraId="3F22992B">
            <w:pPr>
              <w:jc w:val="center"/>
              <w:rPr>
                <w:rFonts w:hint="eastAsia" w:ascii="Times New Roman" w:hAnsi="Times New Roman" w:cs="Times New Roman" w:eastAsiaTheme="minorEastAsia"/>
                <w:color w:val="auto"/>
                <w:kern w:val="0"/>
                <w:sz w:val="22"/>
                <w:szCs w:val="20"/>
                <w:highlight w:val="yellow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2"/>
                <w:szCs w:val="20"/>
                <w:highlight w:val="yellow"/>
              </w:rPr>
              <w:t>21.59</w:t>
            </w:r>
            <w:r>
              <w:rPr>
                <w:rFonts w:hint="eastAsia" w:ascii="Times New Roman" w:hAnsi="Times New Roman" w:eastAsia="Times New Roman" w:cs="Times New Roman"/>
                <w:color w:val="auto"/>
                <w:kern w:val="0"/>
                <w:sz w:val="22"/>
                <w:szCs w:val="20"/>
                <w:highlight w:val="yellow"/>
              </w:rPr>
              <w:t>±</w:t>
            </w:r>
            <w:r>
              <w:rPr>
                <w:rFonts w:hint="eastAsia" w:ascii="Times New Roman" w:hAnsi="Times New Roman" w:cs="Times New Roman" w:eastAsiaTheme="minorEastAsia"/>
                <w:color w:val="auto"/>
                <w:kern w:val="0"/>
                <w:sz w:val="22"/>
                <w:szCs w:val="20"/>
                <w:highlight w:val="yellow"/>
              </w:rPr>
              <w:t>13.222</w:t>
            </w:r>
          </w:p>
        </w:tc>
        <w:tc>
          <w:tcPr>
            <w:tcW w:w="1015" w:type="pct"/>
            <w:shd w:val="clear" w:color="auto" w:fill="FFFFFF"/>
            <w:vAlign w:val="center"/>
          </w:tcPr>
          <w:p w14:paraId="7DFDFA28">
            <w:pPr>
              <w:jc w:val="center"/>
              <w:rPr>
                <w:rFonts w:hint="eastAsia" w:ascii="Times New Roman" w:hAnsi="Times New Roman" w:cs="Times New Roman" w:eastAsiaTheme="minorEastAsia"/>
                <w:color w:val="auto"/>
                <w:kern w:val="0"/>
                <w:sz w:val="22"/>
                <w:szCs w:val="20"/>
                <w:highlight w:val="yellow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2"/>
                <w:szCs w:val="20"/>
                <w:highlight w:val="yellow"/>
              </w:rPr>
              <w:t>19.82</w:t>
            </w:r>
            <w:r>
              <w:rPr>
                <w:rFonts w:hint="eastAsia" w:ascii="Times New Roman" w:hAnsi="Times New Roman" w:eastAsia="Times New Roman" w:cs="Times New Roman"/>
                <w:color w:val="auto"/>
                <w:kern w:val="0"/>
                <w:sz w:val="22"/>
                <w:szCs w:val="20"/>
                <w:highlight w:val="yellow"/>
              </w:rPr>
              <w:t>±</w:t>
            </w:r>
            <w:r>
              <w:rPr>
                <w:rFonts w:hint="eastAsia" w:ascii="Times New Roman" w:hAnsi="Times New Roman" w:cs="Times New Roman" w:eastAsiaTheme="minorEastAsia"/>
                <w:color w:val="auto"/>
                <w:kern w:val="0"/>
                <w:sz w:val="22"/>
                <w:szCs w:val="20"/>
                <w:highlight w:val="yellow"/>
              </w:rPr>
              <w:t>13.703</w:t>
            </w:r>
          </w:p>
        </w:tc>
        <w:tc>
          <w:tcPr>
            <w:tcW w:w="561" w:type="pct"/>
            <w:shd w:val="clear" w:color="auto" w:fill="FFFFFF"/>
            <w:vAlign w:val="center"/>
          </w:tcPr>
          <w:p w14:paraId="202BBACA">
            <w:pPr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2"/>
                <w:szCs w:val="20"/>
                <w:highlight w:val="yellow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2"/>
                <w:szCs w:val="20"/>
                <w:highlight w:val="yellow"/>
              </w:rPr>
              <w:t>18.086</w:t>
            </w:r>
          </w:p>
        </w:tc>
        <w:tc>
          <w:tcPr>
            <w:tcW w:w="518" w:type="pct"/>
            <w:shd w:val="clear" w:color="auto" w:fill="FFFFFF"/>
            <w:vAlign w:val="center"/>
          </w:tcPr>
          <w:p w14:paraId="4AC2118B">
            <w:pPr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2"/>
                <w:szCs w:val="20"/>
                <w:highlight w:val="yellow"/>
              </w:rPr>
            </w:pPr>
            <w:r>
              <w:rPr>
                <w:rFonts w:hint="eastAsia" w:ascii="Times New Roman" w:hAnsi="Times New Roman" w:eastAsia="Times New Roman" w:cs="Times New Roman"/>
                <w:color w:val="auto"/>
                <w:kern w:val="0"/>
                <w:sz w:val="22"/>
                <w:szCs w:val="20"/>
                <w:highlight w:val="yellow"/>
              </w:rPr>
              <w:t>&lt;0.001</w:t>
            </w:r>
          </w:p>
        </w:tc>
      </w:tr>
      <w:tr w14:paraId="35DF6C4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1549" w:type="pct"/>
            <w:shd w:val="clear" w:color="auto" w:fill="FFFFFF"/>
            <w:vAlign w:val="center"/>
          </w:tcPr>
          <w:p w14:paraId="24965F86">
            <w:pPr>
              <w:jc w:val="left"/>
              <w:rPr>
                <w:rFonts w:hint="eastAsia" w:ascii="Times New Roman" w:hAnsi="Times New Roman" w:eastAsia="Times New Roman" w:cs="Times New Roman"/>
                <w:color w:val="auto"/>
                <w:kern w:val="0"/>
                <w:sz w:val="22"/>
                <w:szCs w:val="20"/>
                <w:highlight w:val="yellow"/>
              </w:rPr>
            </w:pPr>
            <w:r>
              <w:rPr>
                <w:rFonts w:hint="eastAsia" w:ascii="Times New Roman" w:hAnsi="Times New Roman" w:cs="Times New Roman" w:eastAsiaTheme="minorEastAsia"/>
                <w:color w:val="auto"/>
                <w:kern w:val="0"/>
                <w:sz w:val="22"/>
                <w:szCs w:val="20"/>
                <w:highlight w:val="yellow"/>
              </w:rPr>
              <w:t>AST, U/L</w:t>
            </w:r>
          </w:p>
        </w:tc>
        <w:tc>
          <w:tcPr>
            <w:tcW w:w="1357" w:type="pct"/>
            <w:shd w:val="clear" w:color="auto" w:fill="FFFFFF"/>
            <w:vAlign w:val="center"/>
          </w:tcPr>
          <w:p w14:paraId="48551A35">
            <w:pPr>
              <w:jc w:val="center"/>
              <w:rPr>
                <w:rFonts w:hint="eastAsia" w:ascii="Times New Roman" w:hAnsi="Times New Roman" w:cs="Times New Roman" w:eastAsiaTheme="minorEastAsia"/>
                <w:color w:val="auto"/>
                <w:kern w:val="0"/>
                <w:sz w:val="22"/>
                <w:szCs w:val="20"/>
                <w:highlight w:val="yellow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2"/>
                <w:szCs w:val="20"/>
                <w:highlight w:val="yellow"/>
              </w:rPr>
              <w:t>24.19</w:t>
            </w:r>
            <w:r>
              <w:rPr>
                <w:rFonts w:hint="eastAsia" w:ascii="Times New Roman" w:hAnsi="Times New Roman" w:eastAsia="Times New Roman" w:cs="Times New Roman"/>
                <w:color w:val="auto"/>
                <w:kern w:val="0"/>
                <w:sz w:val="22"/>
                <w:szCs w:val="20"/>
                <w:highlight w:val="yellow"/>
              </w:rPr>
              <w:t>±</w:t>
            </w:r>
            <w:r>
              <w:rPr>
                <w:rFonts w:hint="eastAsia" w:ascii="Times New Roman" w:hAnsi="Times New Roman" w:cs="Times New Roman" w:eastAsiaTheme="minorEastAsia"/>
                <w:color w:val="auto"/>
                <w:kern w:val="0"/>
                <w:sz w:val="22"/>
                <w:szCs w:val="20"/>
                <w:highlight w:val="yellow"/>
              </w:rPr>
              <w:t>10.668</w:t>
            </w:r>
          </w:p>
        </w:tc>
        <w:tc>
          <w:tcPr>
            <w:tcW w:w="1015" w:type="pct"/>
            <w:shd w:val="clear" w:color="auto" w:fill="FFFFFF"/>
            <w:vAlign w:val="center"/>
          </w:tcPr>
          <w:p w14:paraId="23C99178">
            <w:pPr>
              <w:jc w:val="center"/>
              <w:rPr>
                <w:rFonts w:hint="eastAsia" w:ascii="Times New Roman" w:hAnsi="Times New Roman" w:cs="Times New Roman" w:eastAsiaTheme="minorEastAsia"/>
                <w:color w:val="auto"/>
                <w:kern w:val="0"/>
                <w:sz w:val="22"/>
                <w:szCs w:val="20"/>
                <w:highlight w:val="yellow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2"/>
                <w:szCs w:val="20"/>
                <w:highlight w:val="yellow"/>
              </w:rPr>
              <w:t>24.65</w:t>
            </w:r>
            <w:r>
              <w:rPr>
                <w:rFonts w:hint="eastAsia" w:ascii="Times New Roman" w:hAnsi="Times New Roman" w:eastAsia="Times New Roman" w:cs="Times New Roman"/>
                <w:color w:val="auto"/>
                <w:kern w:val="0"/>
                <w:sz w:val="22"/>
                <w:szCs w:val="20"/>
                <w:highlight w:val="yellow"/>
              </w:rPr>
              <w:t>±</w:t>
            </w:r>
            <w:r>
              <w:rPr>
                <w:rFonts w:hint="eastAsia" w:ascii="Times New Roman" w:hAnsi="Times New Roman" w:cs="Times New Roman" w:eastAsiaTheme="minorEastAsia"/>
                <w:color w:val="auto"/>
                <w:kern w:val="0"/>
                <w:sz w:val="22"/>
                <w:szCs w:val="20"/>
                <w:highlight w:val="yellow"/>
              </w:rPr>
              <w:t>11.461</w:t>
            </w:r>
          </w:p>
        </w:tc>
        <w:tc>
          <w:tcPr>
            <w:tcW w:w="561" w:type="pct"/>
            <w:shd w:val="clear" w:color="auto" w:fill="FFFFFF"/>
            <w:vAlign w:val="center"/>
          </w:tcPr>
          <w:p w14:paraId="4D3B3CD7">
            <w:pPr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2"/>
                <w:szCs w:val="20"/>
                <w:highlight w:val="yellow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2"/>
                <w:szCs w:val="20"/>
                <w:highlight w:val="yellow"/>
              </w:rPr>
              <w:t>2.334</w:t>
            </w:r>
          </w:p>
        </w:tc>
        <w:tc>
          <w:tcPr>
            <w:tcW w:w="518" w:type="pct"/>
            <w:shd w:val="clear" w:color="auto" w:fill="FFFFFF"/>
            <w:vAlign w:val="center"/>
          </w:tcPr>
          <w:p w14:paraId="725E1428">
            <w:pPr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2"/>
                <w:szCs w:val="20"/>
                <w:highlight w:val="yellow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2"/>
                <w:szCs w:val="20"/>
                <w:highlight w:val="yellow"/>
              </w:rPr>
              <w:t>0.021</w:t>
            </w:r>
          </w:p>
        </w:tc>
      </w:tr>
      <w:tr w14:paraId="4AED589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1549" w:type="pct"/>
            <w:shd w:val="clear" w:color="auto" w:fill="FFFFFF"/>
            <w:vAlign w:val="center"/>
          </w:tcPr>
          <w:p w14:paraId="3DEBD2A1">
            <w:pPr>
              <w:jc w:val="left"/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0"/>
              </w:rPr>
            </w:pPr>
            <w:r>
              <w:rPr>
                <w:rFonts w:hint="eastAsia" w:ascii="Times New Roman" w:hAnsi="Times New Roman" w:eastAsia="Times New Roman" w:cs="Times New Roman"/>
                <w:color w:val="000000"/>
                <w:kern w:val="0"/>
                <w:sz w:val="22"/>
                <w:szCs w:val="20"/>
              </w:rPr>
              <w:t>TyG</w:t>
            </w:r>
          </w:p>
        </w:tc>
        <w:tc>
          <w:tcPr>
            <w:tcW w:w="1357" w:type="pct"/>
            <w:shd w:val="clear" w:color="auto" w:fill="FFFFFF"/>
            <w:vAlign w:val="center"/>
          </w:tcPr>
          <w:p w14:paraId="74299870">
            <w:pPr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0"/>
              </w:rPr>
              <w:t>8.77</w:t>
            </w:r>
            <w:r>
              <w:rPr>
                <w:rFonts w:hint="eastAsia" w:ascii="Times New Roman" w:hAnsi="Times New Roman" w:eastAsia="Times New Roman" w:cs="Times New Roman"/>
                <w:color w:val="000000"/>
                <w:kern w:val="0"/>
                <w:sz w:val="22"/>
                <w:szCs w:val="20"/>
              </w:rPr>
              <w:t>±0.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0"/>
              </w:rPr>
              <w:t>546</w:t>
            </w:r>
          </w:p>
        </w:tc>
        <w:tc>
          <w:tcPr>
            <w:tcW w:w="1015" w:type="pct"/>
            <w:shd w:val="clear" w:color="auto" w:fill="FFFFFF"/>
            <w:vAlign w:val="center"/>
          </w:tcPr>
          <w:p w14:paraId="36499089">
            <w:pPr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0"/>
              </w:rPr>
              <w:t>8.57</w:t>
            </w:r>
            <w:r>
              <w:rPr>
                <w:rFonts w:hint="eastAsia" w:ascii="Times New Roman" w:hAnsi="Times New Roman" w:eastAsia="Times New Roman" w:cs="Times New Roman"/>
                <w:color w:val="000000"/>
                <w:kern w:val="0"/>
                <w:sz w:val="22"/>
                <w:szCs w:val="20"/>
              </w:rPr>
              <w:t>±0.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0"/>
              </w:rPr>
              <w:t>542</w:t>
            </w:r>
          </w:p>
        </w:tc>
        <w:tc>
          <w:tcPr>
            <w:tcW w:w="561" w:type="pct"/>
            <w:shd w:val="clear" w:color="auto" w:fill="FFFFFF"/>
            <w:vAlign w:val="center"/>
          </w:tcPr>
          <w:p w14:paraId="62792E40">
            <w:pPr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0"/>
              </w:rPr>
              <w:t>21.851</w:t>
            </w:r>
          </w:p>
        </w:tc>
        <w:tc>
          <w:tcPr>
            <w:tcW w:w="518" w:type="pct"/>
            <w:shd w:val="clear" w:color="auto" w:fill="FFFFFF"/>
            <w:vAlign w:val="center"/>
          </w:tcPr>
          <w:p w14:paraId="1980EC8B">
            <w:pPr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0"/>
              </w:rPr>
            </w:pPr>
            <w:r>
              <w:rPr>
                <w:rFonts w:hint="eastAsia" w:ascii="Times New Roman" w:hAnsi="Times New Roman" w:eastAsia="Times New Roman" w:cs="Times New Roman"/>
                <w:color w:val="000000"/>
                <w:kern w:val="0"/>
                <w:sz w:val="22"/>
                <w:szCs w:val="20"/>
              </w:rPr>
              <w:t>&lt;0.001</w:t>
            </w:r>
          </w:p>
        </w:tc>
      </w:tr>
      <w:tr w14:paraId="43894CB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1549" w:type="pct"/>
            <w:shd w:val="clear" w:color="auto" w:fill="FFFFFF"/>
            <w:vAlign w:val="center"/>
          </w:tcPr>
          <w:p w14:paraId="000808E4">
            <w:pPr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0"/>
              </w:rPr>
              <w:t>Hypertension, n(%)</w:t>
            </w:r>
          </w:p>
        </w:tc>
        <w:tc>
          <w:tcPr>
            <w:tcW w:w="1357" w:type="pct"/>
            <w:shd w:val="clear" w:color="auto" w:fill="FFFFFF"/>
            <w:vAlign w:val="center"/>
          </w:tcPr>
          <w:p w14:paraId="12D15FF0">
            <w:pPr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0"/>
              </w:rPr>
              <w:t>2791(75.2)</w:t>
            </w:r>
          </w:p>
        </w:tc>
        <w:tc>
          <w:tcPr>
            <w:tcW w:w="1015" w:type="pct"/>
            <w:shd w:val="clear" w:color="auto" w:fill="FFFFFF"/>
            <w:vAlign w:val="center"/>
          </w:tcPr>
          <w:p w14:paraId="7190A0A4">
            <w:pPr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0"/>
              </w:rPr>
              <w:t>17463(70.3)</w:t>
            </w:r>
          </w:p>
        </w:tc>
        <w:tc>
          <w:tcPr>
            <w:tcW w:w="561" w:type="pct"/>
            <w:shd w:val="clear" w:color="auto" w:fill="FFFFFF"/>
            <w:vAlign w:val="center"/>
          </w:tcPr>
          <w:p w14:paraId="67FFC725">
            <w:pPr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0"/>
              </w:rPr>
              <w:t>37.150</w:t>
            </w:r>
          </w:p>
        </w:tc>
        <w:tc>
          <w:tcPr>
            <w:tcW w:w="518" w:type="pct"/>
            <w:shd w:val="clear" w:color="auto" w:fill="FFFFFF"/>
            <w:vAlign w:val="center"/>
          </w:tcPr>
          <w:p w14:paraId="7E1F6755">
            <w:pPr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0"/>
              </w:rPr>
            </w:pPr>
            <w:r>
              <w:rPr>
                <w:rFonts w:hint="eastAsia" w:ascii="Times New Roman" w:hAnsi="Times New Roman" w:eastAsia="Times New Roman" w:cs="Times New Roman"/>
                <w:color w:val="000000"/>
                <w:kern w:val="0"/>
                <w:sz w:val="22"/>
                <w:szCs w:val="20"/>
              </w:rPr>
              <w:t>&lt;0.001</w:t>
            </w:r>
          </w:p>
        </w:tc>
      </w:tr>
      <w:tr w14:paraId="6735B86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1549" w:type="pct"/>
            <w:shd w:val="clear" w:color="auto" w:fill="FFFFFF"/>
            <w:vAlign w:val="center"/>
          </w:tcPr>
          <w:p w14:paraId="6BC9D517">
            <w:pPr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0"/>
              </w:rPr>
              <w:t>Diabetes, n(%)</w:t>
            </w:r>
          </w:p>
        </w:tc>
        <w:tc>
          <w:tcPr>
            <w:tcW w:w="1357" w:type="pct"/>
            <w:shd w:val="clear" w:color="auto" w:fill="FFFFFF"/>
            <w:vAlign w:val="center"/>
          </w:tcPr>
          <w:p w14:paraId="6A531717">
            <w:pPr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0"/>
              </w:rPr>
              <w:t>871(23.5)</w:t>
            </w:r>
          </w:p>
        </w:tc>
        <w:tc>
          <w:tcPr>
            <w:tcW w:w="1015" w:type="pct"/>
            <w:shd w:val="clear" w:color="auto" w:fill="FFFFFF"/>
            <w:vAlign w:val="center"/>
          </w:tcPr>
          <w:p w14:paraId="3421E7D0">
            <w:pPr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0"/>
              </w:rPr>
              <w:t>4747(19.1)</w:t>
            </w:r>
          </w:p>
        </w:tc>
        <w:tc>
          <w:tcPr>
            <w:tcW w:w="561" w:type="pct"/>
            <w:shd w:val="clear" w:color="auto" w:fill="FFFFFF"/>
            <w:vAlign w:val="center"/>
          </w:tcPr>
          <w:p w14:paraId="65BA6F3F">
            <w:pPr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0"/>
              </w:rPr>
              <w:t>38.444</w:t>
            </w:r>
          </w:p>
        </w:tc>
        <w:tc>
          <w:tcPr>
            <w:tcW w:w="518" w:type="pct"/>
            <w:shd w:val="clear" w:color="auto" w:fill="FFFFFF"/>
            <w:vAlign w:val="center"/>
          </w:tcPr>
          <w:p w14:paraId="37040658">
            <w:pPr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0"/>
              </w:rPr>
            </w:pPr>
            <w:r>
              <w:rPr>
                <w:rFonts w:hint="eastAsia" w:ascii="Times New Roman" w:hAnsi="Times New Roman" w:eastAsia="Times New Roman" w:cs="Times New Roman"/>
                <w:color w:val="000000"/>
                <w:kern w:val="0"/>
                <w:sz w:val="22"/>
                <w:szCs w:val="20"/>
              </w:rPr>
              <w:t>&lt;0.001</w:t>
            </w:r>
          </w:p>
        </w:tc>
      </w:tr>
      <w:tr w14:paraId="4C3F7B3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1549" w:type="pct"/>
            <w:shd w:val="clear" w:color="auto" w:fill="FFFFFF"/>
            <w:vAlign w:val="center"/>
          </w:tcPr>
          <w:p w14:paraId="705EEA9F">
            <w:pPr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0"/>
              </w:rPr>
              <w:t>Dyslipidemia, n(%)</w:t>
            </w:r>
          </w:p>
        </w:tc>
        <w:tc>
          <w:tcPr>
            <w:tcW w:w="1357" w:type="pct"/>
            <w:shd w:val="clear" w:color="auto" w:fill="FFFFFF"/>
            <w:vAlign w:val="center"/>
          </w:tcPr>
          <w:p w14:paraId="5AF2321D">
            <w:pPr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0"/>
              </w:rPr>
              <w:t>1086(29.3)</w:t>
            </w:r>
          </w:p>
        </w:tc>
        <w:tc>
          <w:tcPr>
            <w:tcW w:w="1015" w:type="pct"/>
            <w:shd w:val="clear" w:color="auto" w:fill="FFFFFF"/>
            <w:vAlign w:val="center"/>
          </w:tcPr>
          <w:p w14:paraId="57F2970B">
            <w:pPr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0"/>
              </w:rPr>
              <w:t>5830(23.5)</w:t>
            </w:r>
          </w:p>
        </w:tc>
        <w:tc>
          <w:tcPr>
            <w:tcW w:w="561" w:type="pct"/>
            <w:shd w:val="clear" w:color="auto" w:fill="FFFFFF"/>
            <w:vAlign w:val="center"/>
          </w:tcPr>
          <w:p w14:paraId="49CC7151">
            <w:pPr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0"/>
              </w:rPr>
              <w:t>58.567</w:t>
            </w:r>
          </w:p>
        </w:tc>
        <w:tc>
          <w:tcPr>
            <w:tcW w:w="518" w:type="pct"/>
            <w:shd w:val="clear" w:color="auto" w:fill="FFFFFF"/>
            <w:vAlign w:val="center"/>
          </w:tcPr>
          <w:p w14:paraId="592E34F6">
            <w:pPr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0"/>
              </w:rPr>
            </w:pPr>
            <w:r>
              <w:rPr>
                <w:rFonts w:hint="eastAsia" w:ascii="Times New Roman" w:hAnsi="Times New Roman" w:eastAsia="Times New Roman" w:cs="Times New Roman"/>
                <w:color w:val="000000"/>
                <w:kern w:val="0"/>
                <w:sz w:val="22"/>
                <w:szCs w:val="20"/>
              </w:rPr>
              <w:t>&lt;0.001</w:t>
            </w:r>
          </w:p>
        </w:tc>
      </w:tr>
      <w:tr w14:paraId="11573B9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1549" w:type="pct"/>
            <w:tcBorders>
              <w:bottom w:val="single" w:color="000000" w:sz="12" w:space="0"/>
            </w:tcBorders>
            <w:shd w:val="clear" w:color="auto" w:fill="FFFFFF"/>
            <w:vAlign w:val="center"/>
          </w:tcPr>
          <w:p w14:paraId="629EC654">
            <w:pPr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0"/>
              </w:rPr>
              <w:t>Medication history</w:t>
            </w:r>
          </w:p>
        </w:tc>
        <w:tc>
          <w:tcPr>
            <w:tcW w:w="1357" w:type="pct"/>
            <w:tcBorders>
              <w:bottom w:val="single" w:color="000000" w:sz="12" w:space="0"/>
            </w:tcBorders>
            <w:shd w:val="clear" w:color="auto" w:fill="FFFFFF"/>
            <w:vAlign w:val="center"/>
          </w:tcPr>
          <w:p w14:paraId="00BCC104">
            <w:pPr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0"/>
              </w:rPr>
              <w:t>1966(53.0)</w:t>
            </w:r>
          </w:p>
        </w:tc>
        <w:tc>
          <w:tcPr>
            <w:tcW w:w="1015" w:type="pct"/>
            <w:tcBorders>
              <w:bottom w:val="single" w:color="000000" w:sz="12" w:space="0"/>
            </w:tcBorders>
            <w:shd w:val="clear" w:color="auto" w:fill="FFFFFF"/>
            <w:vAlign w:val="center"/>
          </w:tcPr>
          <w:p w14:paraId="6612506C">
            <w:pPr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0"/>
              </w:rPr>
              <w:t>10840(43.7)</w:t>
            </w:r>
          </w:p>
        </w:tc>
        <w:tc>
          <w:tcPr>
            <w:tcW w:w="561" w:type="pct"/>
            <w:tcBorders>
              <w:bottom w:val="single" w:color="000000" w:sz="12" w:space="0"/>
            </w:tcBorders>
            <w:shd w:val="clear" w:color="auto" w:fill="FFFFFF"/>
            <w:vAlign w:val="center"/>
          </w:tcPr>
          <w:p w14:paraId="69D55D2D">
            <w:pPr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0"/>
              </w:rPr>
              <w:t>113.109</w:t>
            </w:r>
          </w:p>
        </w:tc>
        <w:tc>
          <w:tcPr>
            <w:tcW w:w="518" w:type="pct"/>
            <w:tcBorders>
              <w:bottom w:val="single" w:color="000000" w:sz="12" w:space="0"/>
            </w:tcBorders>
            <w:shd w:val="clear" w:color="auto" w:fill="FFFFFF"/>
            <w:vAlign w:val="center"/>
          </w:tcPr>
          <w:p w14:paraId="648AFF52">
            <w:pPr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0"/>
              </w:rPr>
            </w:pPr>
            <w:r>
              <w:rPr>
                <w:rFonts w:hint="eastAsia" w:ascii="Times New Roman" w:hAnsi="Times New Roman" w:eastAsia="Times New Roman" w:cs="Times New Roman"/>
                <w:color w:val="000000"/>
                <w:kern w:val="0"/>
                <w:sz w:val="22"/>
                <w:szCs w:val="20"/>
              </w:rPr>
              <w:t>&lt;0.001</w:t>
            </w:r>
          </w:p>
        </w:tc>
      </w:tr>
    </w:tbl>
    <w:p w14:paraId="33B2765F">
      <w:pPr>
        <w:rPr>
          <w:rFonts w:ascii="Times New Roman" w:hAnsi="Times New Roman" w:eastAsia="宋体" w:cs="Times New Roman"/>
          <w:sz w:val="22"/>
        </w:rPr>
      </w:pPr>
      <w:r>
        <w:rPr>
          <w:rFonts w:ascii="Times New Roman" w:hAnsi="Times New Roman" w:eastAsia="宋体" w:cs="Times New Roman"/>
          <w:sz w:val="22"/>
        </w:rPr>
        <w:t xml:space="preserve">WC, waist circumference; BMI, body mass index; SBP, systolic blood pressure; DBP, diastolic blood pressure; TC, total cholesterol; TG, triglycerides; HDL-C, low-density lipoprotein cholesterol; LDL-C, low-density lipoprotein cholesterol; FPG, fasting plasma glucose; </w:t>
      </w:r>
      <w:r>
        <w:rPr>
          <w:rFonts w:ascii="Times New Roman" w:hAnsi="Times New Roman" w:eastAsia="宋体" w:cs="Times New Roman"/>
          <w:color w:val="auto"/>
          <w:sz w:val="22"/>
          <w:highlight w:val="yellow"/>
        </w:rPr>
        <w:t>ALT, alanine aminotransferase; AST, aspartate transaminase;</w:t>
      </w:r>
      <w:r>
        <w:rPr>
          <w:rFonts w:ascii="Times New Roman" w:hAnsi="Times New Roman" w:eastAsia="宋体" w:cs="Times New Roman"/>
          <w:sz w:val="22"/>
        </w:rPr>
        <w:t xml:space="preserve"> TyG, triglyceride-glucose.</w:t>
      </w:r>
    </w:p>
    <w:p w14:paraId="0CA30DCE">
      <w:pPr>
        <w:rPr>
          <w:rFonts w:ascii="Times New Roman" w:hAnsi="Times New Roman" w:eastAsia="宋体" w:cs="Times New Roman"/>
          <w:sz w:val="22"/>
        </w:rPr>
      </w:pPr>
      <w:r>
        <w:rPr>
          <w:rFonts w:ascii="Times New Roman" w:hAnsi="Times New Roman" w:eastAsia="宋体" w:cs="Times New Roman"/>
          <w:sz w:val="22"/>
        </w:rPr>
        <w:t>Data are presented as mean</w:t>
      </w:r>
      <w:r>
        <w:rPr>
          <w:rFonts w:hint="eastAsia" w:ascii="Times New Roman" w:hAnsi="Times New Roman" w:eastAsia="宋体" w:cs="Times New Roman"/>
          <w:sz w:val="22"/>
        </w:rPr>
        <w:t xml:space="preserve"> </w:t>
      </w:r>
      <w:r>
        <w:rPr>
          <w:rFonts w:ascii="Times New Roman" w:hAnsi="Times New Roman" w:eastAsia="宋体" w:cs="Times New Roman"/>
          <w:sz w:val="22"/>
        </w:rPr>
        <w:t>±</w:t>
      </w:r>
      <w:r>
        <w:rPr>
          <w:rFonts w:hint="eastAsia" w:ascii="Times New Roman" w:hAnsi="Times New Roman" w:eastAsia="宋体" w:cs="Times New Roman"/>
          <w:sz w:val="22"/>
        </w:rPr>
        <w:t xml:space="preserve"> </w:t>
      </w:r>
      <w:r>
        <w:rPr>
          <w:rFonts w:ascii="Times New Roman" w:hAnsi="Times New Roman" w:eastAsia="宋体" w:cs="Times New Roman"/>
          <w:sz w:val="22"/>
        </w:rPr>
        <w:t>SD, median (IQR), and numbers (%).</w:t>
      </w:r>
    </w:p>
    <w:p w14:paraId="28431A95">
      <w:pPr>
        <w:spacing w:line="480" w:lineRule="auto"/>
        <w:rPr>
          <w:rFonts w:ascii="Times New Roman" w:hAnsi="Times New Roman" w:eastAsia="宋体" w:cs="Times New Roman"/>
          <w:sz w:val="2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altName w:val="Arial Unicode M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Arial Unicode M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erminal">
    <w:altName w:val="宋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CB417E8"/>
    <w:multiLevelType w:val="multilevel"/>
    <w:tmpl w:val="9CB417E8"/>
    <w:lvl w:ilvl="0" w:tentative="0">
      <w:start w:val="1"/>
      <w:numFmt w:val="decimal"/>
      <w:suff w:val="space"/>
      <w:lvlText w:val="%1"/>
      <w:lvlJc w:val="left"/>
      <w:pPr>
        <w:ind w:left="0" w:firstLine="0"/>
      </w:pPr>
      <w:rPr>
        <w:rFonts w:hint="default"/>
      </w:rPr>
    </w:lvl>
    <w:lvl w:ilvl="1" w:tentative="0">
      <w:start w:val="1"/>
      <w:numFmt w:val="decimal"/>
      <w:suff w:val="space"/>
      <w:lvlText w:val="%1.%2"/>
      <w:lvlJc w:val="left"/>
      <w:pPr>
        <w:ind w:left="0" w:firstLine="0"/>
      </w:pPr>
      <w:rPr>
        <w:rFonts w:hint="default"/>
      </w:rPr>
    </w:lvl>
    <w:lvl w:ilvl="2" w:tentative="0">
      <w:start w:val="1"/>
      <w:numFmt w:val="decimal"/>
      <w:suff w:val="space"/>
      <w:lvlText w:val="%1.%2.%3"/>
      <w:lvlJc w:val="left"/>
      <w:pPr>
        <w:ind w:left="0" w:firstLine="0"/>
      </w:pPr>
      <w:rPr>
        <w:rFonts w:hint="default"/>
      </w:rPr>
    </w:lvl>
    <w:lvl w:ilvl="3" w:tentative="0">
      <w:start w:val="1"/>
      <w:numFmt w:val="decimal"/>
      <w:suff w:val="space"/>
      <w:lvlText w:val="%1.%2.%3.%4"/>
      <w:lvlJc w:val="left"/>
      <w:pPr>
        <w:ind w:left="0" w:firstLine="0"/>
      </w:pPr>
      <w:rPr>
        <w:rFonts w:hint="default"/>
      </w:rPr>
    </w:lvl>
    <w:lvl w:ilvl="4" w:tentative="0">
      <w:start w:val="1"/>
      <w:numFmt w:val="decimal"/>
      <w:suff w:val="space"/>
      <w:lvlText w:val="%1.%2.%3.%4.%5"/>
      <w:lvlJc w:val="left"/>
      <w:pPr>
        <w:ind w:left="0" w:firstLine="0"/>
      </w:pPr>
      <w:rPr>
        <w:rFonts w:hint="default"/>
      </w:rPr>
    </w:lvl>
    <w:lvl w:ilvl="5" w:tentative="0">
      <w:start w:val="1"/>
      <w:numFmt w:val="decimal"/>
      <w:suff w:val="space"/>
      <w:lvlText w:val="%1.%2.%3.%4.%5.%6"/>
      <w:lvlJc w:val="left"/>
      <w:pPr>
        <w:ind w:left="0" w:firstLine="0"/>
      </w:pPr>
      <w:rPr>
        <w:rFonts w:hint="default"/>
      </w:rPr>
    </w:lvl>
    <w:lvl w:ilvl="6" w:tentative="0">
      <w:start w:val="1"/>
      <w:numFmt w:val="decimal"/>
      <w:suff w:val="space"/>
      <w:lvlText w:val="%1.%2.%3.%4.%5.%6.%7"/>
      <w:lvlJc w:val="left"/>
      <w:pPr>
        <w:ind w:left="0" w:firstLine="0"/>
      </w:pPr>
      <w:rPr>
        <w:rFonts w:hint="default"/>
      </w:rPr>
    </w:lvl>
    <w:lvl w:ilvl="7" w:tentative="0">
      <w:start w:val="1"/>
      <w:numFmt w:val="decimal"/>
      <w:suff w:val="space"/>
      <w:lvlText w:val="%1.%2.%3.%4.%5.%6.%7.%8"/>
      <w:lvlJc w:val="left"/>
      <w:pPr>
        <w:ind w:left="0" w:firstLine="0"/>
      </w:pPr>
      <w:rPr>
        <w:rFonts w:hint="default"/>
      </w:rPr>
    </w:lvl>
    <w:lvl w:ilvl="8" w:tentative="0">
      <w:start w:val="1"/>
      <w:numFmt w:val="decimal"/>
      <w:suff w:val="space"/>
      <w:lvlText w:val="%1.%2.%3.%4.%5.%6.%7.%8.%9"/>
      <w:lvlJc w:val="left"/>
      <w:pPr>
        <w:ind w:left="0" w:firstLine="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4A99"/>
    <w:rsid w:val="000E4B33"/>
    <w:rsid w:val="00117FA0"/>
    <w:rsid w:val="00130B34"/>
    <w:rsid w:val="001D4E8E"/>
    <w:rsid w:val="006B1AE7"/>
    <w:rsid w:val="00777221"/>
    <w:rsid w:val="007C4A99"/>
    <w:rsid w:val="0094538B"/>
    <w:rsid w:val="00AF76C2"/>
    <w:rsid w:val="00C60735"/>
    <w:rsid w:val="00CF2006"/>
    <w:rsid w:val="00DD26F8"/>
    <w:rsid w:val="00F46E3E"/>
    <w:rsid w:val="58F345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qFormat="1" w:unhideWhenUsed="0" w:uiPriority="0" w:semiHidden="0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99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link w:val="13"/>
    <w:semiHidden/>
    <w:unhideWhenUsed/>
    <w:qFormat/>
    <w:uiPriority w:val="0"/>
    <w:pPr>
      <w:spacing w:beforeAutospacing="1" w:afterAutospacing="1"/>
      <w:jc w:val="left"/>
      <w:outlineLvl w:val="1"/>
    </w:pPr>
    <w:rPr>
      <w:rFonts w:hint="eastAsia" w:ascii="宋体" w:hAnsi="宋体" w:eastAsia="宋体" w:cs="Times New Roman"/>
      <w:b/>
      <w:bCs/>
      <w:kern w:val="0"/>
      <w:sz w:val="36"/>
      <w:szCs w:val="36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25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26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Subtitle"/>
    <w:basedOn w:val="1"/>
    <w:next w:val="1"/>
    <w:link w:val="19"/>
    <w:qFormat/>
    <w:uiPriority w:val="99"/>
    <w:pPr>
      <w:spacing w:before="240" w:after="60" w:line="312" w:lineRule="auto"/>
      <w:jc w:val="center"/>
      <w:outlineLvl w:val="1"/>
    </w:pPr>
    <w:rPr>
      <w:rFonts w:ascii="Calibri" w:hAnsi="Calibri" w:eastAsia="宋体"/>
      <w:b/>
      <w:szCs w:val="24"/>
    </w:rPr>
  </w:style>
  <w:style w:type="paragraph" w:styleId="6">
    <w:name w:val="Normal (Web)"/>
    <w:basedOn w:val="1"/>
    <w:semiHidden/>
    <w:unhideWhenUsed/>
    <w:qFormat/>
    <w:uiPriority w:val="99"/>
    <w:rPr>
      <w:rFonts w:ascii="Times New Roman" w:hAnsi="Times New Roman" w:cs="Times New Roman"/>
      <w:sz w:val="24"/>
      <w:szCs w:val="24"/>
    </w:rPr>
  </w:style>
  <w:style w:type="table" w:styleId="8">
    <w:name w:val="Table Grid"/>
    <w:basedOn w:val="7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FollowedHyperlink"/>
    <w:basedOn w:val="9"/>
    <w:semiHidden/>
    <w:unhideWhenUsed/>
    <w:qFormat/>
    <w:uiPriority w:val="99"/>
    <w:rPr>
      <w:color w:val="954F72" w:themeColor="followedHyperlink"/>
      <w:u w:val="single"/>
      <w14:textFill>
        <w14:solidFill>
          <w14:schemeClr w14:val="folHlink"/>
        </w14:solidFill>
      </w14:textFill>
    </w:rPr>
  </w:style>
  <w:style w:type="character" w:styleId="11">
    <w:name w:val="line number"/>
    <w:basedOn w:val="9"/>
    <w:qFormat/>
    <w:uiPriority w:val="0"/>
  </w:style>
  <w:style w:type="character" w:styleId="12">
    <w:name w:val="Hyperlink"/>
    <w:basedOn w:val="9"/>
    <w:qFormat/>
    <w:uiPriority w:val="0"/>
    <w:rPr>
      <w:color w:val="0000FF"/>
      <w:u w:val="single"/>
    </w:rPr>
  </w:style>
  <w:style w:type="character" w:customStyle="1" w:styleId="13">
    <w:name w:val="标题 2 字符"/>
    <w:basedOn w:val="9"/>
    <w:link w:val="2"/>
    <w:semiHidden/>
    <w:qFormat/>
    <w:uiPriority w:val="0"/>
    <w:rPr>
      <w:rFonts w:ascii="宋体" w:hAnsi="宋体" w:eastAsia="宋体" w:cs="Times New Roman"/>
      <w:b/>
      <w:bCs/>
      <w:kern w:val="0"/>
      <w:sz w:val="36"/>
      <w:szCs w:val="36"/>
    </w:rPr>
  </w:style>
  <w:style w:type="paragraph" w:customStyle="1" w:styleId="14">
    <w:name w:val="页脚1"/>
    <w:basedOn w:val="1"/>
    <w:next w:val="3"/>
    <w:link w:val="15"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="Calibri" w:hAnsi="Calibri" w:eastAsia="宋体" w:cs="Times New Roman"/>
      <w:sz w:val="18"/>
      <w:szCs w:val="24"/>
    </w:rPr>
  </w:style>
  <w:style w:type="character" w:customStyle="1" w:styleId="15">
    <w:name w:val="页脚 字符"/>
    <w:basedOn w:val="9"/>
    <w:link w:val="14"/>
    <w:qFormat/>
    <w:uiPriority w:val="99"/>
    <w:rPr>
      <w:rFonts w:ascii="Calibri" w:hAnsi="Calibri" w:eastAsia="宋体" w:cs="Times New Roman"/>
      <w:kern w:val="2"/>
      <w:sz w:val="18"/>
      <w:szCs w:val="24"/>
    </w:rPr>
  </w:style>
  <w:style w:type="paragraph" w:customStyle="1" w:styleId="16">
    <w:name w:val="页眉1"/>
    <w:basedOn w:val="1"/>
    <w:next w:val="4"/>
    <w:link w:val="17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rFonts w:ascii="Calibri" w:hAnsi="Calibri" w:eastAsia="宋体" w:cs="Times New Roman"/>
      <w:sz w:val="18"/>
      <w:szCs w:val="24"/>
    </w:rPr>
  </w:style>
  <w:style w:type="character" w:customStyle="1" w:styleId="17">
    <w:name w:val="页眉 字符"/>
    <w:basedOn w:val="9"/>
    <w:link w:val="16"/>
    <w:qFormat/>
    <w:uiPriority w:val="0"/>
    <w:rPr>
      <w:rFonts w:ascii="Calibri" w:hAnsi="Calibri" w:eastAsia="宋体" w:cs="Times New Roman"/>
      <w:kern w:val="2"/>
      <w:sz w:val="18"/>
      <w:szCs w:val="24"/>
    </w:rPr>
  </w:style>
  <w:style w:type="paragraph" w:customStyle="1" w:styleId="18">
    <w:name w:val="副标题1"/>
    <w:basedOn w:val="1"/>
    <w:next w:val="1"/>
    <w:unhideWhenUsed/>
    <w:qFormat/>
    <w:uiPriority w:val="99"/>
    <w:pPr>
      <w:spacing w:before="240"/>
    </w:pPr>
    <w:rPr>
      <w:rFonts w:cs="Times New Roman"/>
      <w:b/>
      <w:szCs w:val="24"/>
    </w:rPr>
  </w:style>
  <w:style w:type="character" w:customStyle="1" w:styleId="19">
    <w:name w:val="副标题 字符"/>
    <w:basedOn w:val="9"/>
    <w:link w:val="5"/>
    <w:qFormat/>
    <w:uiPriority w:val="99"/>
    <w:rPr>
      <w:rFonts w:ascii="Calibri" w:hAnsi="Calibri" w:eastAsia="宋体"/>
      <w:b/>
      <w:kern w:val="2"/>
      <w:sz w:val="21"/>
      <w:szCs w:val="24"/>
    </w:rPr>
  </w:style>
  <w:style w:type="paragraph" w:customStyle="1" w:styleId="20">
    <w:name w:val="普通(网站)1"/>
    <w:basedOn w:val="1"/>
    <w:next w:val="6"/>
    <w:qFormat/>
    <w:uiPriority w:val="99"/>
    <w:pPr>
      <w:spacing w:beforeAutospacing="1" w:afterAutospacing="1"/>
      <w:jc w:val="left"/>
    </w:pPr>
    <w:rPr>
      <w:rFonts w:cs="Times New Roman"/>
      <w:kern w:val="0"/>
      <w:sz w:val="24"/>
      <w:szCs w:val="24"/>
    </w:rPr>
  </w:style>
  <w:style w:type="paragraph" w:customStyle="1" w:styleId="21">
    <w:name w:val="Author List"/>
    <w:basedOn w:val="5"/>
    <w:next w:val="1"/>
    <w:qFormat/>
    <w:uiPriority w:val="1"/>
    <w:pPr>
      <w:spacing w:after="0" w:line="240" w:lineRule="auto"/>
      <w:jc w:val="both"/>
      <w:outlineLvl w:val="9"/>
    </w:pPr>
    <w:rPr>
      <w:rFonts w:cs="Times New Roman"/>
    </w:rPr>
  </w:style>
  <w:style w:type="paragraph" w:customStyle="1" w:styleId="22">
    <w:name w:val="EndNote Bibliography Title"/>
    <w:qFormat/>
    <w:uiPriority w:val="0"/>
    <w:pPr>
      <w:jc w:val="center"/>
    </w:pPr>
    <w:rPr>
      <w:rFonts w:ascii="Calibri" w:hAnsi="Calibri" w:cs="Calibri" w:eastAsiaTheme="minorEastAsia"/>
      <w:kern w:val="2"/>
      <w:sz w:val="20"/>
      <w:szCs w:val="24"/>
      <w:lang w:val="en-US" w:eastAsia="zh-CN" w:bidi="ar-SA"/>
    </w:rPr>
  </w:style>
  <w:style w:type="paragraph" w:customStyle="1" w:styleId="23">
    <w:name w:val="EndNote Bibliography"/>
    <w:qFormat/>
    <w:uiPriority w:val="0"/>
    <w:rPr>
      <w:rFonts w:ascii="Calibri" w:hAnsi="Calibri" w:eastAsia="Times New Roman" w:cs="Calibri"/>
      <w:kern w:val="0"/>
      <w:sz w:val="20"/>
      <w:szCs w:val="20"/>
      <w:lang w:val="en-US" w:eastAsia="zh-CN" w:bidi="ar-SA"/>
    </w:rPr>
  </w:style>
  <w:style w:type="character" w:customStyle="1" w:styleId="24">
    <w:name w:val="访问过的超链接1"/>
    <w:basedOn w:val="9"/>
    <w:semiHidden/>
    <w:unhideWhenUsed/>
    <w:qFormat/>
    <w:uiPriority w:val="99"/>
    <w:rPr>
      <w:color w:val="7E1FAD"/>
      <w:u w:val="single"/>
    </w:rPr>
  </w:style>
  <w:style w:type="character" w:customStyle="1" w:styleId="25">
    <w:name w:val="页脚 字符1"/>
    <w:basedOn w:val="9"/>
    <w:link w:val="3"/>
    <w:qFormat/>
    <w:uiPriority w:val="99"/>
    <w:rPr>
      <w:sz w:val="18"/>
      <w:szCs w:val="18"/>
    </w:rPr>
  </w:style>
  <w:style w:type="character" w:customStyle="1" w:styleId="26">
    <w:name w:val="页眉 字符1"/>
    <w:basedOn w:val="9"/>
    <w:link w:val="4"/>
    <w:qFormat/>
    <w:uiPriority w:val="99"/>
    <w:rPr>
      <w:sz w:val="18"/>
      <w:szCs w:val="18"/>
    </w:rPr>
  </w:style>
  <w:style w:type="character" w:customStyle="1" w:styleId="27">
    <w:name w:val="副标题 字符1"/>
    <w:basedOn w:val="9"/>
    <w:qFormat/>
    <w:uiPriority w:val="11"/>
    <w:rPr>
      <w:b/>
      <w:bCs/>
      <w:kern w:val="28"/>
      <w:sz w:val="32"/>
      <w:szCs w:val="32"/>
    </w:rPr>
  </w:style>
  <w:style w:type="paragraph" w:customStyle="1" w:styleId="28">
    <w:name w:val="Revision"/>
    <w:hidden/>
    <w:semiHidden/>
    <w:qFormat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D53DE3-5944-44C0-B56C-65598A2421BD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239</Words>
  <Characters>1293</Characters>
  <Lines>17</Lines>
  <Paragraphs>4</Paragraphs>
  <TotalTime>1</TotalTime>
  <ScaleCrop>false</ScaleCrop>
  <LinksUpToDate>false</LinksUpToDate>
  <CharactersWithSpaces>1366</CharactersWithSpaces>
  <Application>WPS Office_12.1.0.22215_F1E327BC-269C-435d-A152-05C5408002CA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2025-08-07T16:56:00Z</dcterms:created>
  <dc:creator>sheila</dc:creator>
  <cp:lastModifiedBy>wuuu</cp:lastModifiedBy>
  <dcterms:modified xsi:type="dcterms:W3CDTF">2025-08-11T09:03:10Z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eyJoZGlkIjoiNTgyMjY2OGZiYzk0ZGEyY2UxMWU2NWY3MjBiZGVhNTciLCJ1c2VySWQiOiIzMTYxODIwNTkifQ==</vt:lpwstr>
  </property>
  <property fmtid="{D5CDD505-2E9C-101B-9397-08002B2CF9AE}" pid="3" name="KSOProductBuildVer">
    <vt:lpwstr>2052-12.1.0.22215</vt:lpwstr>
  </property>
  <property fmtid="{D5CDD505-2E9C-101B-9397-08002B2CF9AE}" pid="4" name="ICV">
    <vt:lpwstr>D5121F1388414A1AB07EBC8492E9B804_13</vt:lpwstr>
  </property>
</Properties>
</file>