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52455">
      <w:pPr>
        <w:spacing w:line="480" w:lineRule="auto"/>
        <w:jc w:val="center"/>
        <w:rPr>
          <w:rFonts w:ascii="Times New Roman" w:hAnsi="Times New Roman" w:cs="Times New Roman"/>
          <w:b/>
          <w:bCs/>
          <w:lang w:eastAsia="zh-TW"/>
        </w:rPr>
      </w:pPr>
      <w:r>
        <w:rPr>
          <w:rFonts w:hint="eastAsia" w:ascii="Times New Roman" w:hAnsi="Times New Roman" w:cs="Times New Roman"/>
          <w:b/>
          <w:bCs/>
          <w:lang w:eastAsia="zh-TW"/>
        </w:rPr>
        <w:t>Supplementary</w:t>
      </w:r>
    </w:p>
    <w:sdt>
      <w:sdtPr>
        <w:rPr>
          <w:rFonts w:ascii="Times New Roman" w:hAnsi="Times New Roman" w:eastAsia="宋体" w:cs="Times New Roman"/>
          <w:b w:val="0"/>
          <w:bCs w:val="0"/>
          <w:color w:val="000000" w:themeColor="text1"/>
          <w:sz w:val="20"/>
          <w:szCs w:val="20"/>
          <w:lang w:val="zh-CN"/>
          <w14:textFill>
            <w14:solidFill>
              <w14:schemeClr w14:val="tx1"/>
            </w14:solidFill>
          </w14:textFill>
        </w:rPr>
        <w:id w:val="-320282566"/>
        <w:docPartObj>
          <w:docPartGallery w:val="Table of Contents"/>
          <w:docPartUnique/>
        </w:docPartObj>
      </w:sdtPr>
      <w:sdtEndPr>
        <w:rPr>
          <w:rFonts w:ascii="Times New Roman" w:hAnsi="Times New Roman" w:eastAsia="宋体" w:cs="Times New Roman"/>
          <w:b w:val="0"/>
          <w:bCs w:val="0"/>
          <w:color w:val="auto"/>
          <w:sz w:val="20"/>
          <w:szCs w:val="20"/>
          <w:lang w:val="en-US"/>
        </w:rPr>
      </w:sdtEndPr>
      <w:sdtContent>
        <w:p w14:paraId="04C50F96">
          <w:pPr>
            <w:pStyle w:val="61"/>
            <w:spacing w:line="240" w:lineRule="auto"/>
            <w:rPr>
              <w:rFonts w:ascii="Times New Roman" w:hAnsi="Times New Roman" w:eastAsia="Times New Roman" w:cs="Times New Roman"/>
              <w:color w:val="000000" w:themeColor="text1"/>
              <w:sz w:val="20"/>
              <w:szCs w:val="20"/>
              <w:lang w:eastAsia="zh-TW"/>
              <w14:textFill>
                <w14:solidFill>
                  <w14:schemeClr w14:val="tx1"/>
                </w14:solidFill>
              </w14:textFill>
            </w:rPr>
          </w:pPr>
          <w:bookmarkStart w:id="0" w:name="OLE_LINK282"/>
          <w:bookmarkStart w:id="1" w:name="OLE_LINK281"/>
          <w:r>
            <w:rPr>
              <w:rFonts w:ascii="Times New Roman" w:hAnsi="Times New Roman" w:eastAsia="Times New Roman" w:cs="Times New Roman"/>
              <w:color w:val="000000" w:themeColor="text1"/>
              <w:sz w:val="20"/>
              <w:szCs w:val="20"/>
              <w14:textFill>
                <w14:solidFill>
                  <w14:schemeClr w14:val="tx1"/>
                </w14:solidFill>
              </w14:textFill>
            </w:rPr>
            <w:t>Table of Contents:</w:t>
          </w:r>
        </w:p>
        <w:p w14:paraId="0918ECC1">
          <w:pPr>
            <w:pStyle w:val="14"/>
            <w:tabs>
              <w:tab w:val="right" w:leader="dot" w:pos="8296"/>
            </w:tabs>
            <w:rPr>
              <w:rFonts w:ascii="Times New Roman" w:hAnsi="Times New Roman" w:eastAsia="Times New Roman" w:cstheme="minorBidi"/>
              <w:b w:val="0"/>
              <w:bCs w:val="0"/>
              <w:kern w:val="2"/>
              <w:sz w:val="21"/>
              <w:szCs w:val="24"/>
              <w:highlight w:val="none"/>
            </w:rPr>
          </w:pPr>
          <w:r>
            <w:rPr>
              <w:rFonts w:ascii="Times New Roman" w:hAnsi="Times New Roman" w:eastAsia="Times New Roman" w:cs="Times New Roman"/>
              <w:b w:val="0"/>
              <w:bCs w:val="0"/>
            </w:rPr>
            <w:fldChar w:fldCharType="begin"/>
          </w:r>
          <w:r>
            <w:rPr>
              <w:rFonts w:ascii="Times New Roman" w:hAnsi="Times New Roman" w:eastAsia="Times New Roman" w:cs="Times New Roman"/>
              <w:b w:val="0"/>
              <w:bCs w:val="0"/>
            </w:rPr>
            <w:instrText xml:space="preserve">TOC \o "1-3" \h \z \u</w:instrText>
          </w:r>
          <w:r>
            <w:rPr>
              <w:rFonts w:ascii="Times New Roman" w:hAnsi="Times New Roman" w:eastAsia="Times New Roman" w:cs="Times New Roman"/>
              <w:b w:val="0"/>
              <w:bCs w:val="0"/>
            </w:rPr>
            <w:fldChar w:fldCharType="separate"/>
          </w:r>
          <w:r>
            <w:rPr>
              <w:rFonts w:ascii="Times New Roman" w:hAnsi="Times New Roman" w:eastAsia="Times New Roman"/>
              <w:highlight w:val="none"/>
            </w:rPr>
            <w:fldChar w:fldCharType="begin"/>
          </w:r>
          <w:r>
            <w:rPr>
              <w:rFonts w:ascii="Times New Roman" w:hAnsi="Times New Roman" w:eastAsia="Times New Roman"/>
              <w:highlight w:val="none"/>
            </w:rPr>
            <w:instrText xml:space="preserve"> HYPERLINK \l "_Toc159076731" </w:instrText>
          </w:r>
          <w:r>
            <w:rPr>
              <w:rFonts w:ascii="Times New Roman" w:hAnsi="Times New Roman" w:eastAsia="Times New Roman"/>
              <w:highlight w:val="none"/>
            </w:rPr>
            <w:fldChar w:fldCharType="separate"/>
          </w:r>
          <w:r>
            <w:rPr>
              <w:rStyle w:val="27"/>
              <w:rFonts w:ascii="Times New Roman" w:hAnsi="Times New Roman" w:eastAsia="Times New Roman" w:cs="Times New Roman"/>
              <w:highlight w:val="none"/>
            </w:rPr>
            <w:t>Supplementary 1: Search Strategy</w:t>
          </w:r>
          <w:r>
            <w:rPr>
              <w:rFonts w:ascii="Times New Roman" w:hAnsi="Times New Roman" w:eastAsia="Times New Roman"/>
              <w:highlight w:val="none"/>
            </w:rPr>
            <w:tab/>
          </w:r>
          <w:r>
            <w:rPr>
              <w:rFonts w:ascii="Times New Roman" w:hAnsi="Times New Roman" w:eastAsia="Times New Roman"/>
              <w:highlight w:val="none"/>
            </w:rPr>
            <w:fldChar w:fldCharType="begin"/>
          </w:r>
          <w:r>
            <w:rPr>
              <w:rFonts w:ascii="Times New Roman" w:hAnsi="Times New Roman" w:eastAsia="Times New Roman"/>
              <w:highlight w:val="none"/>
            </w:rPr>
            <w:instrText xml:space="preserve"> PAGEREF _Toc159076731 \h </w:instrText>
          </w:r>
          <w:r>
            <w:rPr>
              <w:rFonts w:ascii="Times New Roman" w:hAnsi="Times New Roman" w:eastAsia="Times New Roman"/>
              <w:highlight w:val="none"/>
            </w:rPr>
            <w:fldChar w:fldCharType="separate"/>
          </w:r>
          <w:r>
            <w:rPr>
              <w:rFonts w:ascii="Times New Roman" w:hAnsi="Times New Roman" w:eastAsia="Times New Roman"/>
              <w:highlight w:val="none"/>
            </w:rPr>
            <w:t>2</w:t>
          </w:r>
          <w:r>
            <w:rPr>
              <w:rFonts w:ascii="Times New Roman" w:hAnsi="Times New Roman" w:eastAsia="Times New Roman"/>
              <w:highlight w:val="none"/>
            </w:rPr>
            <w:fldChar w:fldCharType="end"/>
          </w:r>
          <w:r>
            <w:rPr>
              <w:rFonts w:ascii="Times New Roman" w:hAnsi="Times New Roman" w:eastAsia="Times New Roman"/>
              <w:highlight w:val="none"/>
            </w:rPr>
            <w:fldChar w:fldCharType="end"/>
          </w:r>
        </w:p>
        <w:p w14:paraId="5EEEAB0F">
          <w:pPr>
            <w:pStyle w:val="14"/>
            <w:tabs>
              <w:tab w:val="right" w:leader="dot" w:pos="8296"/>
            </w:tabs>
            <w:rPr>
              <w:rFonts w:ascii="Times New Roman" w:hAnsi="Times New Roman" w:eastAsia="Times New Roman" w:cstheme="minorBidi"/>
              <w:b w:val="0"/>
              <w:bCs w:val="0"/>
              <w:kern w:val="2"/>
              <w:sz w:val="21"/>
              <w:szCs w:val="24"/>
            </w:rPr>
          </w:pPr>
          <w:r>
            <w:rPr>
              <w:rFonts w:ascii="Times New Roman" w:hAnsi="Times New Roman" w:eastAsia="Times New Roman"/>
            </w:rPr>
            <w:fldChar w:fldCharType="begin"/>
          </w:r>
          <w:r>
            <w:rPr>
              <w:rFonts w:ascii="Times New Roman" w:hAnsi="Times New Roman" w:eastAsia="Times New Roman"/>
            </w:rPr>
            <w:instrText xml:space="preserve"> HYPERLINK \l "_Toc159076743" </w:instrText>
          </w:r>
          <w:r>
            <w:rPr>
              <w:rFonts w:ascii="Times New Roman" w:hAnsi="Times New Roman" w:eastAsia="Times New Roman"/>
            </w:rPr>
            <w:fldChar w:fldCharType="separate"/>
          </w:r>
          <w:r>
            <w:rPr>
              <w:rStyle w:val="27"/>
              <w:rFonts w:ascii="Times New Roman" w:hAnsi="Times New Roman" w:eastAsia="Times New Roman" w:cs="Times New Roman"/>
            </w:rPr>
            <w:t xml:space="preserve">Supplementary </w:t>
          </w:r>
          <w:r>
            <w:rPr>
              <w:rStyle w:val="27"/>
              <w:rFonts w:hint="eastAsia" w:ascii="Times New Roman" w:hAnsi="Times New Roman" w:eastAsia="Times New Roman" w:cs="Times New Roman"/>
              <w:lang w:val="en-US" w:eastAsia="zh-CN"/>
            </w:rPr>
            <w:t>2</w:t>
          </w:r>
          <w:r>
            <w:rPr>
              <w:rStyle w:val="27"/>
              <w:rFonts w:ascii="Times New Roman" w:hAnsi="Times New Roman" w:eastAsia="Times New Roman" w:cs="Times New Roman"/>
            </w:rPr>
            <w:t>: Characteristics of studies and subjects included in the review</w:t>
          </w:r>
          <w:r>
            <w:rPr>
              <w:rFonts w:ascii="Times New Roman" w:hAnsi="Times New Roman" w:eastAsia="Times New Roman"/>
            </w:rPr>
            <w:tab/>
          </w:r>
          <w:r>
            <w:rPr>
              <w:rFonts w:hint="eastAsia" w:ascii="Times New Roman" w:hAnsi="Times New Roman" w:eastAsia="宋体"/>
              <w:lang w:val="en-US" w:eastAsia="zh-CN"/>
            </w:rPr>
            <w:t>4</w:t>
          </w:r>
          <w:r>
            <w:rPr>
              <w:rFonts w:ascii="Times New Roman" w:hAnsi="Times New Roman" w:eastAsia="Times New Roman"/>
            </w:rPr>
            <w:fldChar w:fldCharType="end"/>
          </w:r>
        </w:p>
        <w:p w14:paraId="5C06D989">
          <w:pPr>
            <w:pStyle w:val="14"/>
            <w:tabs>
              <w:tab w:val="right" w:leader="dot" w:pos="8296"/>
            </w:tabs>
            <w:rPr>
              <w:rFonts w:hint="eastAsia" w:ascii="Times New Roman" w:hAnsi="Times New Roman" w:eastAsia="宋体" w:cstheme="minorBidi"/>
              <w:b w:val="0"/>
              <w:bCs w:val="0"/>
              <w:kern w:val="2"/>
              <w:sz w:val="21"/>
              <w:szCs w:val="24"/>
              <w:lang w:val="en-US" w:eastAsia="zh-CN"/>
            </w:rPr>
          </w:pPr>
          <w:r>
            <w:rPr>
              <w:rFonts w:ascii="Times New Roman" w:hAnsi="Times New Roman" w:eastAsia="Times New Roman"/>
            </w:rPr>
            <w:fldChar w:fldCharType="begin"/>
          </w:r>
          <w:r>
            <w:rPr>
              <w:rFonts w:ascii="Times New Roman" w:hAnsi="Times New Roman" w:eastAsia="Times New Roman"/>
            </w:rPr>
            <w:instrText xml:space="preserve"> HYPERLINK \l "_Toc159076752" </w:instrText>
          </w:r>
          <w:r>
            <w:rPr>
              <w:rFonts w:ascii="Times New Roman" w:hAnsi="Times New Roman" w:eastAsia="Times New Roman"/>
            </w:rPr>
            <w:fldChar w:fldCharType="separate"/>
          </w:r>
          <w:r>
            <w:rPr>
              <w:rStyle w:val="27"/>
              <w:rFonts w:ascii="Times New Roman" w:hAnsi="Times New Roman" w:eastAsia="Times New Roman" w:cs="Times New Roman"/>
              <w:lang w:eastAsia="zh-TW"/>
            </w:rPr>
            <w:t xml:space="preserve">Supplementary </w:t>
          </w:r>
          <w:r>
            <w:rPr>
              <w:rStyle w:val="27"/>
              <w:rFonts w:hint="eastAsia" w:ascii="Times New Roman" w:hAnsi="Times New Roman" w:eastAsia="Times New Roman" w:cs="Times New Roman"/>
              <w:lang w:val="en-US" w:eastAsia="zh-CN"/>
            </w:rPr>
            <w:t>3</w:t>
          </w:r>
          <w:r>
            <w:rPr>
              <w:rStyle w:val="27"/>
              <w:rFonts w:ascii="Times New Roman" w:hAnsi="Times New Roman" w:eastAsia="Times New Roman" w:cs="Times New Roman"/>
              <w:lang w:eastAsia="zh-TW"/>
            </w:rPr>
            <w:t>: Publication bias</w:t>
          </w:r>
          <w:r>
            <w:rPr>
              <w:rFonts w:ascii="Times New Roman" w:hAnsi="Times New Roman" w:eastAsia="Times New Roman"/>
            </w:rPr>
            <w:tab/>
          </w:r>
          <w:r>
            <w:rPr>
              <w:rFonts w:hint="eastAsia" w:ascii="Times New Roman" w:hAnsi="Times New Roman" w:eastAsia="宋体"/>
              <w:lang w:val="en-US" w:eastAsia="zh-CN"/>
            </w:rPr>
            <w:t>4</w:t>
          </w:r>
          <w:r>
            <w:rPr>
              <w:rFonts w:ascii="Times New Roman" w:hAnsi="Times New Roman" w:eastAsia="Times New Roman"/>
            </w:rPr>
            <w:fldChar w:fldCharType="end"/>
          </w:r>
          <w:r>
            <w:rPr>
              <w:rFonts w:hint="eastAsia" w:ascii="Times New Roman" w:hAnsi="Times New Roman" w:eastAsia="宋体"/>
              <w:lang w:val="en-US" w:eastAsia="zh-CN"/>
            </w:rPr>
            <w:t>2</w:t>
          </w:r>
        </w:p>
        <w:p w14:paraId="7140059B">
          <w:pPr>
            <w:rPr>
              <w:rFonts w:ascii="Times New Roman" w:hAnsi="Times New Roman" w:cs="Times New Roman"/>
              <w:sz w:val="20"/>
              <w:szCs w:val="20"/>
            </w:rPr>
          </w:pPr>
          <w:r>
            <w:rPr>
              <w:rFonts w:ascii="Times New Roman" w:hAnsi="Times New Roman" w:eastAsia="Times New Roman" w:cs="Times New Roman"/>
              <w:sz w:val="20"/>
              <w:szCs w:val="20"/>
            </w:rPr>
            <w:fldChar w:fldCharType="end"/>
          </w:r>
        </w:p>
      </w:sdtContent>
    </w:sdt>
    <w:bookmarkEnd w:id="0"/>
    <w:bookmarkEnd w:id="1"/>
    <w:p w14:paraId="07156951">
      <w:pPr>
        <w:rPr>
          <w:rFonts w:ascii="Times New Roman" w:hAnsi="Times New Roman" w:cs="Times New Roman"/>
          <w:sz w:val="20"/>
          <w:szCs w:val="20"/>
        </w:rPr>
        <w:sectPr>
          <w:footerReference r:id="rId3" w:type="default"/>
          <w:footerReference r:id="rId4" w:type="even"/>
          <w:type w:val="continuous"/>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07EEA8B">
      <w:pPr>
        <w:pStyle w:val="2"/>
        <w:spacing w:line="360" w:lineRule="auto"/>
        <w:rPr>
          <w:rFonts w:ascii="Times New Roman" w:hAnsi="Times New Roman" w:cs="Times New Roman"/>
          <w:szCs w:val="20"/>
          <w:highlight w:val="none"/>
        </w:rPr>
      </w:pPr>
      <w:bookmarkStart w:id="2" w:name="_Toc159076731"/>
      <w:bookmarkStart w:id="3" w:name="OLE_LINK57"/>
      <w:bookmarkStart w:id="4" w:name="OLE_LINK56"/>
      <w:bookmarkStart w:id="5" w:name="OLE_LINK391"/>
      <w:bookmarkStart w:id="6" w:name="OLE_LINK392"/>
      <w:r>
        <w:rPr>
          <w:rFonts w:ascii="Times New Roman" w:hAnsi="Times New Roman" w:cs="Times New Roman"/>
          <w:szCs w:val="20"/>
          <w:highlight w:val="none"/>
        </w:rPr>
        <w:t>Supplementary 1: Search Strategy</w:t>
      </w:r>
      <w:bookmarkEnd w:id="2"/>
      <w:r>
        <w:rPr>
          <w:rFonts w:ascii="Times New Roman" w:hAnsi="Times New Roman" w:cs="Times New Roman"/>
          <w:szCs w:val="20"/>
          <w:highlight w:val="none"/>
        </w:rPr>
        <w:t xml:space="preserve"> </w:t>
      </w:r>
    </w:p>
    <w:bookmarkEnd w:id="3"/>
    <w:bookmarkEnd w:id="4"/>
    <w:p w14:paraId="661A1470">
      <w:pPr>
        <w:rPr>
          <w:rFonts w:ascii="Times New Roman" w:hAnsi="Times New Roman" w:cs="Times New Roman"/>
          <w:b/>
          <w:bCs/>
          <w:i/>
          <w:iCs/>
          <w:sz w:val="20"/>
          <w:szCs w:val="20"/>
        </w:rPr>
      </w:pPr>
      <w:r>
        <w:rPr>
          <w:rFonts w:ascii="Times New Roman" w:hAnsi="Times New Roman" w:cs="Times New Roman"/>
          <w:b/>
          <w:bCs/>
          <w:i/>
          <w:iCs/>
          <w:sz w:val="20"/>
          <w:szCs w:val="20"/>
        </w:rPr>
        <w:t xml:space="preserve">Search Strategy: </w:t>
      </w:r>
    </w:p>
    <w:tbl>
      <w:tblPr>
        <w:tblStyle w:val="22"/>
        <w:tblW w:w="5000" w:type="pct"/>
        <w:jc w:val="center"/>
        <w:tblCellSpacing w:w="15" w:type="dxa"/>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shd w:val="clear" w:color="auto" w:fill="F1F1F1"/>
        <w:tblLayout w:type="autofit"/>
        <w:tblCellMar>
          <w:top w:w="15" w:type="dxa"/>
          <w:left w:w="15" w:type="dxa"/>
          <w:bottom w:w="15" w:type="dxa"/>
          <w:right w:w="15" w:type="dxa"/>
        </w:tblCellMar>
      </w:tblPr>
      <w:tblGrid>
        <w:gridCol w:w="892"/>
        <w:gridCol w:w="7804"/>
      </w:tblGrid>
      <w:tr w14:paraId="1DDD84F5">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shd w:val="clear" w:color="auto" w:fill="F1F1F1"/>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2026FA48">
            <w:pPr>
              <w:jc w:val="center"/>
              <w:rPr>
                <w:rFonts w:hint="default" w:ascii="Times New Roman" w:hAnsi="Times New Roman" w:cs="Times New Roman"/>
                <w:sz w:val="20"/>
                <w:szCs w:val="20"/>
                <w:lang w:val="en-US"/>
              </w:rPr>
            </w:pPr>
            <w:bookmarkStart w:id="7" w:name="_Hlk70075667"/>
            <w:r>
              <w:rPr>
                <w:rFonts w:ascii="Times New Roman" w:hAnsi="Times New Roman" w:cs="Times New Roman"/>
                <w:sz w:val="20"/>
                <w:szCs w:val="20"/>
              </w:rPr>
              <w:t>#</w:t>
            </w:r>
            <w:r>
              <w:rPr>
                <w:rFonts w:hint="eastAsia" w:ascii="Times New Roman" w:hAnsi="Times New Roman" w:cs="Times New Roman"/>
                <w:sz w:val="20"/>
                <w:szCs w:val="20"/>
                <w:lang w:val="en-US" w:eastAsia="zh-CN"/>
              </w:rPr>
              <w:t>10</w:t>
            </w:r>
          </w:p>
        </w:tc>
        <w:tc>
          <w:tcPr>
            <w:tcW w:w="4461" w:type="pct"/>
            <w:shd w:val="clear" w:color="auto" w:fill="FFFFFF"/>
            <w:tcMar>
              <w:top w:w="120" w:type="dxa"/>
              <w:left w:w="150" w:type="dxa"/>
              <w:bottom w:w="120" w:type="dxa"/>
              <w:right w:w="150" w:type="dxa"/>
            </w:tcMar>
          </w:tcPr>
          <w:p w14:paraId="16ACF0AA">
            <w:pPr>
              <w:rPr>
                <w:rFonts w:hint="eastAsia" w:ascii="Times New Roman" w:hAnsi="Times New Roman" w:cs="Times New Roman"/>
                <w:sz w:val="20"/>
                <w:szCs w:val="20"/>
              </w:rPr>
            </w:pPr>
            <w:r>
              <w:rPr>
                <w:rFonts w:ascii="Times New Roman" w:hAnsi="Times New Roman" w:cs="Times New Roman"/>
                <w:sz w:val="20"/>
                <w:szCs w:val="20"/>
              </w:rPr>
              <w:t>Search:</w:t>
            </w:r>
            <w:r>
              <w:rPr>
                <w:rFonts w:hint="eastAsia" w:ascii="Times New Roman" w:hAnsi="Times New Roman" w:cs="Times New Roman"/>
                <w:sz w:val="20"/>
                <w:szCs w:val="20"/>
                <w:lang w:val="en-US" w:eastAsia="zh-CN"/>
              </w:rPr>
              <w:t xml:space="preserve"> </w:t>
            </w:r>
            <w:r>
              <w:rPr>
                <w:rFonts w:hint="eastAsia" w:ascii="Times New Roman" w:hAnsi="Times New Roman" w:cs="Times New Roman"/>
                <w:sz w:val="20"/>
                <w:szCs w:val="20"/>
              </w:rPr>
              <w:t>((((((((((((Incidence[MeSH Terms]) OR (Prevalence[MeSH Terms])) OR (Geographic Locations[MeSH Terms])) OR ("Epidemiological Monitoring"[Title/Abstract])) OR (Epidemiology[Title/Abstract])) OR (Geography[Title/Abstract])) OR ("Epidemiologic Studies"[Title/Abstract])) OR ("Cross-Sectional Studies"[Title/Abstract])) OR (population-based*[Title/Abstract])) OR (epidemiolog*[Title/Abstract])) OR ("epidemiological data"[Title/Abstract])) AND (((((((((child[MeSH Terms]) OR (adolescent[MeSH Terms])) OR (children[Title/Abstract])) OR (adolescen*[Title/Abstract])) OR (pupils[Title/Abstract])) OR (preadolescent[Title/Abstract])) OR (youth[Title/Abstract])) OR (juvenile[Title/Abstract])) OR (teenager*[Title/Abstract]))) AND ((((((((Fatty Liver[MeSH Terms]) OR (Non-alcoholic Fatty Liver Disease[MeSH Terms])) OR (hepatosteato*[Title/Abstract])) OR (steatohepatitis[Title/Abstract])) OR (AFLD[Title/Abstract])) OR (NAFLD[Title/Abstract])) OR (FLD[Title/Abstract])) OR ("metabolic liver disease"[Title/Abstract]))</w:t>
            </w:r>
          </w:p>
        </w:tc>
      </w:tr>
      <w:tr w14:paraId="3D496E64">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shd w:val="clear" w:color="auto" w:fill="F1F1F1"/>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412286FD">
            <w:pPr>
              <w:jc w:val="center"/>
              <w:rPr>
                <w:rFonts w:hint="default" w:ascii="Times New Roman" w:hAnsi="Times New Roman" w:eastAsia="宋体" w:cs="Times New Roman"/>
                <w:sz w:val="20"/>
                <w:szCs w:val="20"/>
                <w:lang w:val="en-US" w:eastAsia="zh-CN"/>
              </w:rPr>
            </w:pPr>
            <w:r>
              <w:rPr>
                <w:rFonts w:ascii="Times New Roman" w:hAnsi="Times New Roman" w:cs="Times New Roman"/>
                <w:sz w:val="20"/>
                <w:szCs w:val="20"/>
              </w:rPr>
              <w:t>#</w:t>
            </w:r>
            <w:r>
              <w:rPr>
                <w:rFonts w:hint="eastAsia" w:ascii="Times New Roman" w:hAnsi="Times New Roman" w:cs="Times New Roman"/>
                <w:sz w:val="20"/>
                <w:szCs w:val="20"/>
                <w:lang w:val="en-US" w:eastAsia="zh-CN"/>
              </w:rPr>
              <w:t>9</w:t>
            </w:r>
          </w:p>
        </w:tc>
        <w:tc>
          <w:tcPr>
            <w:tcW w:w="4461" w:type="pct"/>
            <w:shd w:val="clear" w:color="auto" w:fill="FFFFFF"/>
            <w:tcMar>
              <w:top w:w="120" w:type="dxa"/>
              <w:left w:w="150" w:type="dxa"/>
              <w:bottom w:w="120" w:type="dxa"/>
              <w:right w:w="150" w:type="dxa"/>
            </w:tcMar>
          </w:tcPr>
          <w:p w14:paraId="7C10DB95">
            <w:pPr>
              <w:rPr>
                <w:rFonts w:ascii="Times New Roman" w:hAnsi="Times New Roman" w:cs="Times New Roman"/>
                <w:sz w:val="20"/>
                <w:szCs w:val="20"/>
              </w:rPr>
            </w:pPr>
            <w:r>
              <w:rPr>
                <w:rFonts w:ascii="Times New Roman" w:hAnsi="Times New Roman" w:cs="Times New Roman"/>
                <w:sz w:val="20"/>
                <w:szCs w:val="20"/>
              </w:rPr>
              <w:t>Search: </w:t>
            </w:r>
            <w:r>
              <w:rPr>
                <w:rFonts w:hint="eastAsia" w:ascii="Times New Roman" w:hAnsi="Times New Roman" w:cs="Times New Roman"/>
                <w:sz w:val="20"/>
                <w:szCs w:val="20"/>
              </w:rPr>
              <w:t>((((((((((Incidence[MeSH Terms]) OR (Prevalence[MeSH Terms])) OR (Geographic Locations[MeSH Terms])) OR ("Epidemiological Monitoring"[Title/Abstract])) OR (Epidemiology[Title/Abstract])) OR (Geography[Title/Abstract])) OR ("Epidemiologic Studies"[Title/Abstract])) OR ("Cross-Sectional Studies"[Title/Abstract])) OR (population-based*[Title/Abstract])) OR (epidemiolog*[Title/Abstract])) OR ("epidemiological data"[Title/Abstract])</w:t>
            </w:r>
          </w:p>
        </w:tc>
      </w:tr>
      <w:tr w14:paraId="087DB82B">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shd w:val="clear" w:color="auto" w:fill="F1F1F1"/>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6247A68D">
            <w:pPr>
              <w:jc w:val="center"/>
              <w:rPr>
                <w:rFonts w:ascii="Times New Roman" w:hAnsi="Times New Roman" w:cs="Times New Roman"/>
                <w:sz w:val="20"/>
                <w:szCs w:val="20"/>
              </w:rPr>
            </w:pPr>
            <w:r>
              <w:rPr>
                <w:rFonts w:ascii="Times New Roman" w:hAnsi="Times New Roman" w:cs="Times New Roman"/>
                <w:sz w:val="20"/>
                <w:szCs w:val="20"/>
              </w:rPr>
              <w:t>#</w:t>
            </w:r>
            <w:r>
              <w:rPr>
                <w:rFonts w:hint="eastAsia" w:ascii="Times New Roman" w:hAnsi="Times New Roman" w:cs="Times New Roman"/>
                <w:sz w:val="20"/>
                <w:szCs w:val="20"/>
              </w:rPr>
              <w:t>8</w:t>
            </w:r>
          </w:p>
        </w:tc>
        <w:tc>
          <w:tcPr>
            <w:tcW w:w="4461" w:type="pct"/>
            <w:shd w:val="clear" w:color="auto" w:fill="FFFFFF"/>
            <w:tcMar>
              <w:top w:w="120" w:type="dxa"/>
              <w:left w:w="150" w:type="dxa"/>
              <w:bottom w:w="120" w:type="dxa"/>
              <w:right w:w="150" w:type="dxa"/>
            </w:tcMar>
          </w:tcPr>
          <w:p w14:paraId="0F35DAB2">
            <w:pPr>
              <w:rPr>
                <w:rFonts w:ascii="Times New Roman" w:hAnsi="Times New Roman" w:cs="Times New Roman"/>
                <w:sz w:val="20"/>
                <w:szCs w:val="20"/>
              </w:rPr>
            </w:pPr>
            <w:r>
              <w:rPr>
                <w:rFonts w:ascii="Times New Roman" w:hAnsi="Times New Roman" w:cs="Times New Roman"/>
                <w:sz w:val="20"/>
                <w:szCs w:val="20"/>
              </w:rPr>
              <w:t>Search: </w:t>
            </w:r>
            <w:r>
              <w:rPr>
                <w:rFonts w:hint="eastAsia" w:ascii="Times New Roman" w:hAnsi="Times New Roman" w:cs="Times New Roman"/>
                <w:sz w:val="20"/>
                <w:szCs w:val="20"/>
              </w:rPr>
              <w:t>(((((((("Epidemiological Monitoring"[Title/Abstract])) OR (Epidemiology[Title/Abstract])) OR (Geography[Title/Abstract])) OR ("Epidemiologic Studies"[Title/Abstract])) OR ("Cross-Sectional Studies"[Title/Abstract])) OR (population-based*[Title/Abstract])) OR (epidemiolog*[Title/Abstract])) OR ("epidemiological data"[Title/Abstract])</w:t>
            </w:r>
          </w:p>
        </w:tc>
      </w:tr>
      <w:tr w14:paraId="7E399E13">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shd w:val="clear" w:color="auto" w:fill="F1F1F1"/>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3C8D1FF1">
            <w:pPr>
              <w:jc w:val="center"/>
              <w:rPr>
                <w:rFonts w:ascii="Times New Roman" w:hAnsi="Times New Roman" w:cs="Times New Roman"/>
                <w:sz w:val="20"/>
                <w:szCs w:val="20"/>
              </w:rPr>
            </w:pPr>
            <w:r>
              <w:rPr>
                <w:rFonts w:ascii="Times New Roman" w:hAnsi="Times New Roman" w:cs="Times New Roman"/>
                <w:sz w:val="20"/>
                <w:szCs w:val="20"/>
              </w:rPr>
              <w:t>#</w:t>
            </w:r>
            <w:r>
              <w:rPr>
                <w:rFonts w:hint="eastAsia" w:ascii="Times New Roman" w:hAnsi="Times New Roman" w:cs="Times New Roman"/>
                <w:sz w:val="20"/>
                <w:szCs w:val="20"/>
              </w:rPr>
              <w:t>7</w:t>
            </w:r>
          </w:p>
        </w:tc>
        <w:tc>
          <w:tcPr>
            <w:tcW w:w="4461" w:type="pct"/>
            <w:shd w:val="clear" w:color="auto" w:fill="FFFFFF"/>
            <w:tcMar>
              <w:top w:w="120" w:type="dxa"/>
              <w:left w:w="150" w:type="dxa"/>
              <w:bottom w:w="120" w:type="dxa"/>
              <w:right w:w="150" w:type="dxa"/>
            </w:tcMar>
          </w:tcPr>
          <w:p w14:paraId="3454E99B">
            <w:pPr>
              <w:rPr>
                <w:rFonts w:ascii="Times New Roman" w:hAnsi="Times New Roman" w:cs="Times New Roman"/>
                <w:sz w:val="20"/>
                <w:szCs w:val="20"/>
              </w:rPr>
            </w:pPr>
            <w:r>
              <w:rPr>
                <w:rFonts w:ascii="Times New Roman" w:hAnsi="Times New Roman" w:cs="Times New Roman"/>
                <w:sz w:val="20"/>
                <w:szCs w:val="20"/>
              </w:rPr>
              <w:t>Search: </w:t>
            </w:r>
            <w:r>
              <w:rPr>
                <w:rFonts w:hint="eastAsia" w:ascii="Times New Roman" w:hAnsi="Times New Roman" w:cs="Times New Roman"/>
                <w:sz w:val="20"/>
                <w:szCs w:val="20"/>
              </w:rPr>
              <w:t>(((Incidence[MeSH Terms]) OR (Prevalence[MeSH Terms])) OR (Geographic Locations[MeSH Terms]))</w:t>
            </w:r>
          </w:p>
        </w:tc>
      </w:tr>
      <w:tr w14:paraId="1AF587D7">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shd w:val="clear" w:color="auto" w:fill="F1F1F1"/>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299A61E3">
            <w:pPr>
              <w:jc w:val="center"/>
              <w:rPr>
                <w:rFonts w:ascii="Times New Roman" w:hAnsi="Times New Roman" w:cs="Times New Roman"/>
                <w:sz w:val="20"/>
                <w:szCs w:val="20"/>
              </w:rPr>
            </w:pPr>
            <w:r>
              <w:rPr>
                <w:rFonts w:ascii="Times New Roman" w:hAnsi="Times New Roman" w:cs="Times New Roman"/>
                <w:sz w:val="20"/>
                <w:szCs w:val="20"/>
              </w:rPr>
              <w:t>#</w:t>
            </w:r>
            <w:r>
              <w:rPr>
                <w:rFonts w:hint="eastAsia" w:ascii="Times New Roman" w:hAnsi="Times New Roman" w:cs="Times New Roman"/>
                <w:sz w:val="20"/>
                <w:szCs w:val="20"/>
              </w:rPr>
              <w:t>6</w:t>
            </w:r>
          </w:p>
        </w:tc>
        <w:tc>
          <w:tcPr>
            <w:tcW w:w="4461" w:type="pct"/>
            <w:shd w:val="clear" w:color="auto" w:fill="FFFFFF"/>
            <w:tcMar>
              <w:top w:w="120" w:type="dxa"/>
              <w:left w:w="150" w:type="dxa"/>
              <w:bottom w:w="120" w:type="dxa"/>
              <w:right w:w="150" w:type="dxa"/>
            </w:tcMar>
          </w:tcPr>
          <w:p w14:paraId="49C0C9CD">
            <w:pPr>
              <w:rPr>
                <w:rFonts w:ascii="Times New Roman" w:hAnsi="Times New Roman" w:cs="Times New Roman"/>
                <w:sz w:val="20"/>
                <w:szCs w:val="20"/>
              </w:rPr>
            </w:pPr>
            <w:r>
              <w:rPr>
                <w:rFonts w:ascii="Times New Roman" w:hAnsi="Times New Roman" w:cs="Times New Roman"/>
                <w:sz w:val="20"/>
                <w:szCs w:val="20"/>
              </w:rPr>
              <w:t>Search: </w:t>
            </w:r>
            <w:r>
              <w:rPr>
                <w:rFonts w:hint="eastAsia" w:ascii="Times New Roman" w:hAnsi="Times New Roman" w:cs="Times New Roman"/>
                <w:sz w:val="20"/>
                <w:szCs w:val="20"/>
              </w:rPr>
              <w:t>((((((((child[MeSH Terms]) OR (adolescent[MeSH Terms])) OR (children[Title/Abstract])) OR (adolescen*[Title/Abstract])) OR (pupils[Title/Abstract])) OR (preadolescent[Title/Abstract])) OR (youth[Title/Abstract])) OR (juvenile[Title/Abstract])) OR (teenager*[Title/Abstract])</w:t>
            </w:r>
          </w:p>
        </w:tc>
      </w:tr>
      <w:tr w14:paraId="04F137E0">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0C710E99">
            <w:pPr>
              <w:jc w:val="center"/>
              <w:rPr>
                <w:rFonts w:ascii="Times New Roman" w:hAnsi="Times New Roman" w:cs="Times New Roman"/>
                <w:sz w:val="20"/>
                <w:szCs w:val="20"/>
              </w:rPr>
            </w:pPr>
            <w:r>
              <w:rPr>
                <w:rFonts w:ascii="Times New Roman" w:hAnsi="Times New Roman" w:cs="Times New Roman"/>
                <w:sz w:val="20"/>
                <w:szCs w:val="20"/>
              </w:rPr>
              <w:t>#</w:t>
            </w:r>
            <w:r>
              <w:rPr>
                <w:rFonts w:hint="eastAsia" w:ascii="Times New Roman" w:hAnsi="Times New Roman" w:cs="Times New Roman"/>
                <w:sz w:val="20"/>
                <w:szCs w:val="20"/>
              </w:rPr>
              <w:t>5</w:t>
            </w:r>
          </w:p>
        </w:tc>
        <w:tc>
          <w:tcPr>
            <w:tcW w:w="4461" w:type="pct"/>
            <w:shd w:val="clear" w:color="auto" w:fill="FFFFFF"/>
            <w:tcMar>
              <w:top w:w="120" w:type="dxa"/>
              <w:left w:w="150" w:type="dxa"/>
              <w:bottom w:w="120" w:type="dxa"/>
              <w:right w:w="150" w:type="dxa"/>
            </w:tcMar>
          </w:tcPr>
          <w:p w14:paraId="2DA5170D">
            <w:pPr>
              <w:rPr>
                <w:rFonts w:ascii="Times New Roman" w:hAnsi="Times New Roman" w:cs="Times New Roman"/>
                <w:sz w:val="20"/>
                <w:szCs w:val="20"/>
              </w:rPr>
            </w:pPr>
            <w:r>
              <w:rPr>
                <w:rFonts w:ascii="Times New Roman" w:hAnsi="Times New Roman" w:cs="Times New Roman"/>
                <w:sz w:val="20"/>
                <w:szCs w:val="20"/>
              </w:rPr>
              <w:t>Search: </w:t>
            </w:r>
            <w:r>
              <w:rPr>
                <w:rFonts w:hint="eastAsia" w:ascii="Times New Roman" w:hAnsi="Times New Roman" w:cs="Times New Roman"/>
                <w:sz w:val="20"/>
                <w:szCs w:val="20"/>
              </w:rPr>
              <w:t>(((((((children[Title/Abstract])) OR (adolescen*[Title/Abstract])) OR (pupils[Title/Abstract])) OR (preadolescent[Title/Abstract])) OR (youth[Title/Abstract])) OR (juvenile[Title/Abstract])) OR (teenager*[Title/Abstract])</w:t>
            </w:r>
          </w:p>
        </w:tc>
      </w:tr>
      <w:tr w14:paraId="2D7814D1">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3AE8DE1D">
            <w:pPr>
              <w:jc w:val="center"/>
              <w:rPr>
                <w:rFonts w:ascii="Times New Roman" w:hAnsi="Times New Roman" w:cs="Times New Roman"/>
                <w:sz w:val="20"/>
                <w:szCs w:val="20"/>
              </w:rPr>
            </w:pPr>
            <w:r>
              <w:rPr>
                <w:rFonts w:ascii="Times New Roman" w:hAnsi="Times New Roman" w:cs="Times New Roman"/>
                <w:sz w:val="20"/>
                <w:szCs w:val="20"/>
              </w:rPr>
              <w:t>#</w:t>
            </w:r>
            <w:r>
              <w:rPr>
                <w:rFonts w:hint="eastAsia" w:ascii="Times New Roman" w:hAnsi="Times New Roman" w:cs="Times New Roman"/>
                <w:sz w:val="20"/>
                <w:szCs w:val="20"/>
              </w:rPr>
              <w:t>4</w:t>
            </w:r>
          </w:p>
        </w:tc>
        <w:tc>
          <w:tcPr>
            <w:tcW w:w="4461" w:type="pct"/>
            <w:shd w:val="clear" w:color="auto" w:fill="FFFFFF"/>
            <w:tcMar>
              <w:top w:w="120" w:type="dxa"/>
              <w:left w:w="150" w:type="dxa"/>
              <w:bottom w:w="120" w:type="dxa"/>
              <w:right w:w="150" w:type="dxa"/>
            </w:tcMar>
          </w:tcPr>
          <w:p w14:paraId="32D33F18">
            <w:pPr>
              <w:rPr>
                <w:rFonts w:ascii="Times New Roman" w:hAnsi="Times New Roman" w:cs="Times New Roman"/>
                <w:sz w:val="20"/>
                <w:szCs w:val="20"/>
              </w:rPr>
            </w:pPr>
            <w:r>
              <w:rPr>
                <w:rFonts w:ascii="Times New Roman" w:hAnsi="Times New Roman" w:cs="Times New Roman"/>
                <w:sz w:val="20"/>
                <w:szCs w:val="20"/>
              </w:rPr>
              <w:t>Search: </w:t>
            </w:r>
            <w:r>
              <w:rPr>
                <w:rFonts w:hint="eastAsia" w:ascii="Times New Roman" w:hAnsi="Times New Roman" w:cs="Times New Roman"/>
                <w:sz w:val="20"/>
                <w:szCs w:val="20"/>
              </w:rPr>
              <w:t>((child[MeSH Terms]) OR (adolescent[MeSH Terms]))</w:t>
            </w:r>
          </w:p>
        </w:tc>
      </w:tr>
      <w:tr w14:paraId="25773383">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0D6BA98E">
            <w:pPr>
              <w:jc w:val="center"/>
              <w:rPr>
                <w:rFonts w:ascii="Times New Roman" w:hAnsi="Times New Roman" w:cs="Times New Roman"/>
                <w:sz w:val="20"/>
                <w:szCs w:val="20"/>
              </w:rPr>
            </w:pPr>
            <w:r>
              <w:rPr>
                <w:rFonts w:ascii="Times New Roman" w:hAnsi="Times New Roman" w:cs="Times New Roman"/>
                <w:sz w:val="20"/>
                <w:szCs w:val="20"/>
              </w:rPr>
              <w:t>#</w:t>
            </w:r>
            <w:r>
              <w:rPr>
                <w:rFonts w:hint="eastAsia" w:ascii="Times New Roman" w:hAnsi="Times New Roman" w:cs="Times New Roman"/>
                <w:sz w:val="20"/>
                <w:szCs w:val="20"/>
              </w:rPr>
              <w:t>3</w:t>
            </w:r>
          </w:p>
        </w:tc>
        <w:tc>
          <w:tcPr>
            <w:tcW w:w="4461" w:type="pct"/>
            <w:shd w:val="clear" w:color="auto" w:fill="FFFFFF"/>
            <w:tcMar>
              <w:top w:w="120" w:type="dxa"/>
              <w:left w:w="150" w:type="dxa"/>
              <w:bottom w:w="120" w:type="dxa"/>
              <w:right w:w="150" w:type="dxa"/>
            </w:tcMar>
          </w:tcPr>
          <w:p w14:paraId="48F71A63">
            <w:pPr>
              <w:rPr>
                <w:rFonts w:ascii="Times New Roman" w:hAnsi="Times New Roman" w:cs="Times New Roman"/>
                <w:sz w:val="20"/>
                <w:szCs w:val="20"/>
              </w:rPr>
            </w:pPr>
            <w:r>
              <w:rPr>
                <w:rFonts w:ascii="Times New Roman" w:hAnsi="Times New Roman" w:cs="Times New Roman"/>
                <w:sz w:val="20"/>
                <w:szCs w:val="20"/>
              </w:rPr>
              <w:t>Search:</w:t>
            </w:r>
            <w:r>
              <w:rPr>
                <w:rFonts w:hint="eastAsia" w:ascii="Times New Roman" w:hAnsi="Times New Roman" w:cs="Times New Roman"/>
                <w:sz w:val="20"/>
                <w:szCs w:val="20"/>
                <w:lang w:val="en-US" w:eastAsia="zh-CN"/>
              </w:rPr>
              <w:t xml:space="preserve"> </w:t>
            </w:r>
            <w:r>
              <w:rPr>
                <w:rFonts w:hint="eastAsia" w:ascii="Times New Roman" w:hAnsi="Times New Roman" w:cs="Times New Roman"/>
                <w:sz w:val="20"/>
                <w:szCs w:val="20"/>
              </w:rPr>
              <w:t>(((((((Fatty Liver[MeSH Terms]) OR (Non-alcoholic Fatty Liver Disease[MeSH Terms])) OR (hepatosteato*[Title/Abstract])) OR (steatohepatitis[Title/Abstract])) OR (AFLD[Title/Abstract])) OR (NAFLD[Title/Abstract])) OR (FLD[Title/Abstract])) OR ("metabolic liver disease"[Title/Abstract])</w:t>
            </w:r>
          </w:p>
        </w:tc>
      </w:tr>
      <w:tr w14:paraId="10F605FB">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101B22AA">
            <w:pPr>
              <w:jc w:val="center"/>
              <w:rPr>
                <w:rFonts w:ascii="Times New Roman" w:hAnsi="Times New Roman" w:cs="Times New Roman"/>
                <w:sz w:val="20"/>
                <w:szCs w:val="20"/>
              </w:rPr>
            </w:pPr>
            <w:r>
              <w:rPr>
                <w:rFonts w:ascii="Times New Roman" w:hAnsi="Times New Roman" w:cs="Times New Roman"/>
                <w:sz w:val="20"/>
                <w:szCs w:val="20"/>
              </w:rPr>
              <w:t>#2</w:t>
            </w:r>
          </w:p>
        </w:tc>
        <w:tc>
          <w:tcPr>
            <w:tcW w:w="4461" w:type="pct"/>
            <w:shd w:val="clear" w:color="auto" w:fill="FFFFFF"/>
            <w:tcMar>
              <w:top w:w="120" w:type="dxa"/>
              <w:left w:w="150" w:type="dxa"/>
              <w:bottom w:w="120" w:type="dxa"/>
              <w:right w:w="150" w:type="dxa"/>
            </w:tcMar>
          </w:tcPr>
          <w:p w14:paraId="790C0519">
            <w:pPr>
              <w:rPr>
                <w:rFonts w:ascii="Times New Roman" w:hAnsi="Times New Roman" w:cs="Times New Roman"/>
                <w:sz w:val="20"/>
                <w:szCs w:val="20"/>
              </w:rPr>
            </w:pPr>
            <w:r>
              <w:rPr>
                <w:rFonts w:ascii="Times New Roman" w:hAnsi="Times New Roman" w:cs="Times New Roman"/>
                <w:sz w:val="20"/>
                <w:szCs w:val="20"/>
              </w:rPr>
              <w:t>Search:</w:t>
            </w:r>
            <w:r>
              <w:rPr>
                <w:rFonts w:hint="eastAsia" w:ascii="Times New Roman" w:hAnsi="Times New Roman" w:cs="Times New Roman"/>
                <w:sz w:val="20"/>
                <w:szCs w:val="20"/>
                <w:lang w:val="en-US" w:eastAsia="zh-CN"/>
              </w:rPr>
              <w:t xml:space="preserve"> </w:t>
            </w:r>
            <w:r>
              <w:rPr>
                <w:rFonts w:hint="eastAsia" w:ascii="Times New Roman" w:hAnsi="Times New Roman" w:cs="Times New Roman"/>
                <w:sz w:val="20"/>
                <w:szCs w:val="20"/>
              </w:rPr>
              <w:t>((((((hepatosteato*[Title/Abstract])) OR (steatohepatitis[Title/Abstract])) OR (AFLD[Title/Abstract])) OR (NAFLD[Title/Abstract])) OR (FLD[Title/Abstract])) OR ("metabolic liver disease"[Title/Abstract])</w:t>
            </w:r>
          </w:p>
        </w:tc>
      </w:tr>
      <w:tr w14:paraId="46BF622A">
        <w:tblPrEx>
          <w:tblBorders>
            <w:top w:val="single" w:color="AEB0B5" w:sz="6" w:space="0"/>
            <w:left w:val="single" w:color="AEB0B5" w:sz="6" w:space="0"/>
            <w:bottom w:val="single" w:color="AEB0B5" w:sz="6" w:space="0"/>
            <w:right w:val="single" w:color="AEB0B5" w:sz="6" w:space="0"/>
            <w:insideH w:val="single" w:color="DDDDDD" w:sz="6" w:space="0"/>
            <w:insideV w:val="single" w:color="AEB0B5" w:sz="2" w:space="0"/>
          </w:tblBorders>
          <w:tblCellMar>
            <w:top w:w="15" w:type="dxa"/>
            <w:left w:w="15" w:type="dxa"/>
            <w:bottom w:w="15" w:type="dxa"/>
            <w:right w:w="15" w:type="dxa"/>
          </w:tblCellMar>
        </w:tblPrEx>
        <w:trPr>
          <w:tblCellSpacing w:w="15" w:type="dxa"/>
          <w:jc w:val="center"/>
        </w:trPr>
        <w:tc>
          <w:tcPr>
            <w:tcW w:w="487" w:type="pct"/>
            <w:shd w:val="clear" w:color="auto" w:fill="FFFFFF"/>
            <w:tcMar>
              <w:top w:w="120" w:type="dxa"/>
              <w:left w:w="150" w:type="dxa"/>
              <w:bottom w:w="120" w:type="dxa"/>
              <w:right w:w="150" w:type="dxa"/>
            </w:tcMar>
          </w:tcPr>
          <w:p w14:paraId="792E8DAA">
            <w:pPr>
              <w:jc w:val="center"/>
              <w:rPr>
                <w:rFonts w:ascii="Times New Roman" w:hAnsi="Times New Roman" w:cs="Times New Roman"/>
                <w:sz w:val="20"/>
                <w:szCs w:val="20"/>
              </w:rPr>
            </w:pPr>
            <w:r>
              <w:rPr>
                <w:rFonts w:ascii="Times New Roman" w:hAnsi="Times New Roman" w:cs="Times New Roman"/>
                <w:sz w:val="20"/>
                <w:szCs w:val="20"/>
              </w:rPr>
              <w:t>#1</w:t>
            </w:r>
          </w:p>
        </w:tc>
        <w:tc>
          <w:tcPr>
            <w:tcW w:w="4461" w:type="pct"/>
            <w:shd w:val="clear" w:color="auto" w:fill="FFFFFF"/>
            <w:tcMar>
              <w:top w:w="120" w:type="dxa"/>
              <w:left w:w="150" w:type="dxa"/>
              <w:bottom w:w="120" w:type="dxa"/>
              <w:right w:w="150" w:type="dxa"/>
            </w:tcMar>
          </w:tcPr>
          <w:p w14:paraId="0A344B88">
            <w:pPr>
              <w:rPr>
                <w:rFonts w:ascii="Times New Roman" w:hAnsi="Times New Roman" w:cs="Times New Roman"/>
                <w:sz w:val="20"/>
                <w:szCs w:val="20"/>
              </w:rPr>
            </w:pPr>
            <w:r>
              <w:rPr>
                <w:rFonts w:ascii="Times New Roman" w:hAnsi="Times New Roman" w:cs="Times New Roman"/>
                <w:sz w:val="20"/>
                <w:szCs w:val="20"/>
              </w:rPr>
              <w:t>Search: </w:t>
            </w:r>
            <w:r>
              <w:rPr>
                <w:rFonts w:hint="eastAsia" w:ascii="Times New Roman" w:hAnsi="Times New Roman" w:cs="Times New Roman"/>
                <w:sz w:val="20"/>
                <w:szCs w:val="20"/>
              </w:rPr>
              <w:t>((Fatty Liver[MeSH Terms]) OR (Non-alcoholic Fatty Liver Disease[MeSH Terms]))</w:t>
            </w:r>
          </w:p>
        </w:tc>
      </w:tr>
      <w:bookmarkEnd w:id="7"/>
    </w:tbl>
    <w:p w14:paraId="78C3FDEE">
      <w:pPr>
        <w:rPr>
          <w:rFonts w:ascii="Times New Roman" w:hAnsi="Times New Roman"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bookmarkEnd w:id="5"/>
    <w:bookmarkEnd w:id="6"/>
    <w:p w14:paraId="67682E82">
      <w:pPr>
        <w:pStyle w:val="2"/>
        <w:spacing w:line="360" w:lineRule="auto"/>
      </w:pPr>
      <w:bookmarkStart w:id="8" w:name="_Toc159076743"/>
      <w:bookmarkStart w:id="9" w:name="OLE_LINK460"/>
      <w:bookmarkStart w:id="10" w:name="OLE_LINK247"/>
      <w:bookmarkStart w:id="11" w:name="OLE_LINK459"/>
      <w:bookmarkStart w:id="12" w:name="OLE_LINK248"/>
      <w:r>
        <w:rPr>
          <w:rFonts w:hint="eastAsia" w:ascii="Times New Roman" w:hAnsi="Times New Roman" w:cs="Times New Roman"/>
        </w:rPr>
        <w:t>Supp</w:t>
      </w:r>
      <w:r>
        <w:rPr>
          <w:rFonts w:ascii="Times New Roman" w:hAnsi="Times New Roman" w:cs="Times New Roman"/>
        </w:rPr>
        <w:t xml:space="preserve">lementary </w:t>
      </w:r>
      <w:r>
        <w:rPr>
          <w:rFonts w:hint="eastAsia" w:ascii="Times New Roman" w:hAnsi="Times New Roman" w:eastAsia="宋体" w:cs="Times New Roman"/>
        </w:rPr>
        <w:t>2</w:t>
      </w:r>
      <w:r>
        <w:rPr>
          <w:rFonts w:ascii="Times New Roman" w:hAnsi="Times New Roman" w:cs="Times New Roman"/>
        </w:rPr>
        <w:t>: Characteristics of studies and subjects included in the review</w:t>
      </w:r>
      <w:bookmarkEnd w:id="8"/>
    </w:p>
    <w:tbl>
      <w:tblPr>
        <w:tblStyle w:val="22"/>
        <w:tblW w:w="14173"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58"/>
        <w:gridCol w:w="1320"/>
        <w:gridCol w:w="1437"/>
        <w:gridCol w:w="998"/>
        <w:gridCol w:w="1213"/>
        <w:gridCol w:w="1089"/>
        <w:gridCol w:w="982"/>
        <w:gridCol w:w="818"/>
        <w:gridCol w:w="899"/>
        <w:gridCol w:w="2144"/>
        <w:gridCol w:w="941"/>
        <w:gridCol w:w="774"/>
      </w:tblGrid>
      <w:tr w14:paraId="6760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tcBorders>
              <w:top w:val="single" w:color="auto" w:sz="8" w:space="0"/>
              <w:bottom w:val="single" w:color="auto" w:sz="6" w:space="0"/>
            </w:tcBorders>
            <w:shd w:val="clear" w:color="auto" w:fill="auto"/>
            <w:vAlign w:val="center"/>
          </w:tcPr>
          <w:p w14:paraId="40F59C40">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Study</w:t>
            </w:r>
          </w:p>
        </w:tc>
        <w:tc>
          <w:tcPr>
            <w:tcW w:w="2939" w:type="dxa"/>
            <w:tcBorders>
              <w:top w:val="single" w:color="auto" w:sz="8" w:space="0"/>
              <w:bottom w:val="single" w:color="auto" w:sz="6" w:space="0"/>
            </w:tcBorders>
            <w:shd w:val="clear" w:color="auto" w:fill="auto"/>
            <w:vAlign w:val="center"/>
          </w:tcPr>
          <w:p w14:paraId="6C01A10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Continents</w:t>
            </w:r>
          </w:p>
        </w:tc>
        <w:tc>
          <w:tcPr>
            <w:tcW w:w="3345" w:type="dxa"/>
            <w:tcBorders>
              <w:top w:val="single" w:color="auto" w:sz="8" w:space="0"/>
              <w:bottom w:val="single" w:color="auto" w:sz="6" w:space="0"/>
            </w:tcBorders>
            <w:shd w:val="clear" w:color="auto" w:fill="auto"/>
            <w:vAlign w:val="center"/>
          </w:tcPr>
          <w:p w14:paraId="3AA0E539">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Country/ Region</w:t>
            </w:r>
          </w:p>
        </w:tc>
        <w:tc>
          <w:tcPr>
            <w:tcW w:w="1658" w:type="dxa"/>
            <w:tcBorders>
              <w:top w:val="single" w:color="auto" w:sz="8" w:space="0"/>
              <w:bottom w:val="single" w:color="auto" w:sz="6" w:space="0"/>
            </w:tcBorders>
            <w:shd w:val="clear" w:color="auto" w:fill="auto"/>
            <w:vAlign w:val="center"/>
          </w:tcPr>
          <w:p w14:paraId="6E759759">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Periodicity</w:t>
            </w:r>
          </w:p>
        </w:tc>
        <w:tc>
          <w:tcPr>
            <w:tcW w:w="1978" w:type="dxa"/>
            <w:tcBorders>
              <w:top w:val="single" w:color="auto" w:sz="8" w:space="0"/>
              <w:bottom w:val="single" w:color="auto" w:sz="6" w:space="0"/>
            </w:tcBorders>
            <w:shd w:val="clear" w:color="auto" w:fill="auto"/>
            <w:vAlign w:val="center"/>
          </w:tcPr>
          <w:p w14:paraId="756DF3A0">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Study Design</w:t>
            </w:r>
          </w:p>
        </w:tc>
        <w:tc>
          <w:tcPr>
            <w:tcW w:w="1978" w:type="dxa"/>
            <w:tcBorders>
              <w:top w:val="single" w:color="auto" w:sz="8" w:space="0"/>
              <w:bottom w:val="single" w:color="auto" w:sz="6" w:space="0"/>
            </w:tcBorders>
            <w:shd w:val="clear" w:color="auto" w:fill="auto"/>
            <w:vAlign w:val="center"/>
          </w:tcPr>
          <w:p w14:paraId="50D8435F">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Source</w:t>
            </w:r>
          </w:p>
        </w:tc>
        <w:tc>
          <w:tcPr>
            <w:tcW w:w="1653" w:type="dxa"/>
            <w:tcBorders>
              <w:top w:val="single" w:color="auto" w:sz="8" w:space="0"/>
              <w:bottom w:val="single" w:color="auto" w:sz="6" w:space="0"/>
            </w:tcBorders>
            <w:shd w:val="clear" w:color="auto" w:fill="auto"/>
            <w:vAlign w:val="center"/>
          </w:tcPr>
          <w:p w14:paraId="31E30D26">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Diagnostic Technique</w:t>
            </w:r>
          </w:p>
        </w:tc>
        <w:tc>
          <w:tcPr>
            <w:tcW w:w="1300" w:type="dxa"/>
            <w:tcBorders>
              <w:top w:val="single" w:color="auto" w:sz="8" w:space="0"/>
              <w:bottom w:val="single" w:color="auto" w:sz="6" w:space="0"/>
            </w:tcBorders>
            <w:shd w:val="clear" w:color="auto" w:fill="auto"/>
            <w:vAlign w:val="center"/>
          </w:tcPr>
          <w:p w14:paraId="65AD3ABD">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MAFLD</w:t>
            </w:r>
          </w:p>
        </w:tc>
        <w:tc>
          <w:tcPr>
            <w:tcW w:w="1639" w:type="dxa"/>
            <w:tcBorders>
              <w:top w:val="single" w:color="auto" w:sz="8" w:space="0"/>
              <w:bottom w:val="single" w:color="auto" w:sz="6" w:space="0"/>
            </w:tcBorders>
            <w:shd w:val="clear" w:color="auto" w:fill="auto"/>
            <w:vAlign w:val="center"/>
          </w:tcPr>
          <w:p w14:paraId="0804BEE7">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Total Subjects</w:t>
            </w:r>
          </w:p>
        </w:tc>
        <w:tc>
          <w:tcPr>
            <w:tcW w:w="5721" w:type="dxa"/>
            <w:tcBorders>
              <w:top w:val="single" w:color="auto" w:sz="8" w:space="0"/>
              <w:bottom w:val="single" w:color="auto" w:sz="6" w:space="0"/>
            </w:tcBorders>
            <w:shd w:val="clear" w:color="auto" w:fill="auto"/>
            <w:vAlign w:val="center"/>
          </w:tcPr>
          <w:p w14:paraId="2FE0E1F8">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Body Mass Index</w:t>
            </w:r>
          </w:p>
        </w:tc>
        <w:tc>
          <w:tcPr>
            <w:tcW w:w="1847" w:type="dxa"/>
            <w:tcBorders>
              <w:top w:val="single" w:color="auto" w:sz="8" w:space="0"/>
              <w:bottom w:val="single" w:color="auto" w:sz="6" w:space="0"/>
            </w:tcBorders>
            <w:shd w:val="clear" w:color="auto" w:fill="auto"/>
            <w:vAlign w:val="center"/>
          </w:tcPr>
          <w:p w14:paraId="0450107E">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Study source</w:t>
            </w:r>
          </w:p>
        </w:tc>
        <w:tc>
          <w:tcPr>
            <w:tcW w:w="1282" w:type="dxa"/>
            <w:tcBorders>
              <w:top w:val="single" w:color="auto" w:sz="8" w:space="0"/>
              <w:bottom w:val="single" w:color="auto" w:sz="6" w:space="0"/>
            </w:tcBorders>
            <w:shd w:val="clear" w:color="auto" w:fill="auto"/>
            <w:vAlign w:val="center"/>
          </w:tcPr>
          <w:p w14:paraId="33A14918">
            <w:pPr>
              <w:keepNext w:val="0"/>
              <w:keepLines w:val="0"/>
              <w:widowControl/>
              <w:suppressLineNumbers w:val="0"/>
              <w:jc w:val="center"/>
              <w:textAlignment w:val="center"/>
              <w:rPr>
                <w:rFonts w:hint="default" w:ascii="Times New Roman" w:hAnsi="Times New Roman" w:eastAsia="微软雅黑" w:cs="Times New Roman"/>
                <w:b/>
                <w:bCs/>
                <w:i w:val="0"/>
                <w:iCs w:val="0"/>
                <w:color w:val="000000"/>
                <w:sz w:val="12"/>
                <w:szCs w:val="12"/>
                <w:u w:val="none"/>
              </w:rPr>
            </w:pPr>
            <w:r>
              <w:rPr>
                <w:rFonts w:hint="default" w:ascii="Times New Roman" w:hAnsi="Times New Roman" w:eastAsia="微软雅黑" w:cs="Times New Roman"/>
                <w:b/>
                <w:bCs/>
                <w:i w:val="0"/>
                <w:iCs w:val="0"/>
                <w:color w:val="000000"/>
                <w:kern w:val="0"/>
                <w:sz w:val="12"/>
                <w:szCs w:val="12"/>
                <w:u w:val="none"/>
                <w:lang w:val="en-US" w:eastAsia="zh-CN" w:bidi="ar"/>
              </w:rPr>
              <w:t>Quality</w:t>
            </w:r>
          </w:p>
        </w:tc>
      </w:tr>
      <w:tr w14:paraId="3AB36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tcBorders>
              <w:top w:val="single" w:color="auto" w:sz="6" w:space="0"/>
            </w:tcBorders>
            <w:shd w:val="clear" w:color="auto" w:fill="auto"/>
            <w:vAlign w:val="center"/>
          </w:tcPr>
          <w:p w14:paraId="7056F7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Adibi et al. (2009)</w:t>
            </w:r>
          </w:p>
        </w:tc>
        <w:tc>
          <w:tcPr>
            <w:tcW w:w="2939" w:type="dxa"/>
            <w:tcBorders>
              <w:top w:val="single" w:color="auto" w:sz="6" w:space="0"/>
            </w:tcBorders>
            <w:shd w:val="clear" w:color="auto" w:fill="auto"/>
            <w:vAlign w:val="center"/>
          </w:tcPr>
          <w:p w14:paraId="6B420B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tcBorders>
              <w:top w:val="single" w:color="auto" w:sz="6" w:space="0"/>
            </w:tcBorders>
            <w:shd w:val="clear" w:color="auto" w:fill="auto"/>
            <w:vAlign w:val="center"/>
          </w:tcPr>
          <w:p w14:paraId="3C1D75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tcBorders>
              <w:top w:val="single" w:color="auto" w:sz="6" w:space="0"/>
            </w:tcBorders>
            <w:shd w:val="clear" w:color="auto" w:fill="auto"/>
            <w:vAlign w:val="center"/>
          </w:tcPr>
          <w:p w14:paraId="3B2989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2006-2007</w:t>
            </w:r>
          </w:p>
        </w:tc>
        <w:tc>
          <w:tcPr>
            <w:tcW w:w="1978" w:type="dxa"/>
            <w:tcBorders>
              <w:top w:val="single" w:color="auto" w:sz="6" w:space="0"/>
            </w:tcBorders>
            <w:shd w:val="clear" w:color="auto" w:fill="auto"/>
            <w:vAlign w:val="center"/>
          </w:tcPr>
          <w:p w14:paraId="576F2A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tcBorders>
              <w:top w:val="single" w:color="auto" w:sz="6" w:space="0"/>
            </w:tcBorders>
            <w:shd w:val="clear" w:color="auto" w:fill="auto"/>
            <w:vAlign w:val="center"/>
          </w:tcPr>
          <w:p w14:paraId="15CC3D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tcBorders>
              <w:top w:val="single" w:color="auto" w:sz="6" w:space="0"/>
            </w:tcBorders>
            <w:shd w:val="clear" w:color="auto" w:fill="auto"/>
            <w:vAlign w:val="center"/>
          </w:tcPr>
          <w:p w14:paraId="22CAE6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tcBorders>
              <w:top w:val="single" w:color="auto" w:sz="6" w:space="0"/>
            </w:tcBorders>
            <w:shd w:val="clear" w:color="auto" w:fill="auto"/>
            <w:vAlign w:val="center"/>
          </w:tcPr>
          <w:p w14:paraId="0582AD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157</w:t>
            </w:r>
          </w:p>
        </w:tc>
        <w:tc>
          <w:tcPr>
            <w:tcW w:w="1639" w:type="dxa"/>
            <w:tcBorders>
              <w:top w:val="single" w:color="auto" w:sz="6" w:space="0"/>
            </w:tcBorders>
            <w:shd w:val="clear" w:color="auto" w:fill="auto"/>
            <w:vAlign w:val="center"/>
          </w:tcPr>
          <w:p w14:paraId="5EE1F6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544</w:t>
            </w:r>
          </w:p>
        </w:tc>
        <w:tc>
          <w:tcPr>
            <w:tcW w:w="5721" w:type="dxa"/>
            <w:tcBorders>
              <w:top w:val="single" w:color="auto" w:sz="6" w:space="0"/>
            </w:tcBorders>
            <w:shd w:val="clear" w:color="auto" w:fill="auto"/>
            <w:vAlign w:val="center"/>
          </w:tcPr>
          <w:p w14:paraId="57C397B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 with age- and sex-adjustment</w:t>
            </w:r>
          </w:p>
        </w:tc>
        <w:tc>
          <w:tcPr>
            <w:tcW w:w="1847" w:type="dxa"/>
            <w:tcBorders>
              <w:top w:val="single" w:color="auto" w:sz="6" w:space="0"/>
            </w:tcBorders>
            <w:shd w:val="clear" w:color="auto" w:fill="auto"/>
            <w:vAlign w:val="center"/>
          </w:tcPr>
          <w:p w14:paraId="4435C5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tcBorders>
              <w:top w:val="single" w:color="auto" w:sz="6" w:space="0"/>
            </w:tcBorders>
            <w:shd w:val="clear" w:color="auto" w:fill="auto"/>
            <w:vAlign w:val="center"/>
          </w:tcPr>
          <w:p w14:paraId="27B362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E4ED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CE75F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Alavian et al. (2008)</w:t>
            </w:r>
          </w:p>
        </w:tc>
        <w:tc>
          <w:tcPr>
            <w:tcW w:w="2939" w:type="dxa"/>
            <w:shd w:val="clear" w:color="auto" w:fill="auto"/>
            <w:vAlign w:val="center"/>
          </w:tcPr>
          <w:p w14:paraId="6A8E85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E8D59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shd w:val="clear" w:color="auto" w:fill="auto"/>
            <w:vAlign w:val="center"/>
          </w:tcPr>
          <w:p w14:paraId="733DD7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w:t>
            </w:r>
          </w:p>
        </w:tc>
        <w:tc>
          <w:tcPr>
            <w:tcW w:w="1978" w:type="dxa"/>
            <w:shd w:val="clear" w:color="auto" w:fill="auto"/>
            <w:vAlign w:val="center"/>
          </w:tcPr>
          <w:p w14:paraId="3FD8FA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3794B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1EE78C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E4CDD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45</w:t>
            </w:r>
          </w:p>
        </w:tc>
        <w:tc>
          <w:tcPr>
            <w:tcW w:w="1639" w:type="dxa"/>
            <w:shd w:val="clear" w:color="auto" w:fill="auto"/>
            <w:vAlign w:val="center"/>
          </w:tcPr>
          <w:p w14:paraId="694E1D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267</w:t>
            </w:r>
          </w:p>
        </w:tc>
        <w:tc>
          <w:tcPr>
            <w:tcW w:w="5721" w:type="dxa"/>
            <w:shd w:val="clear" w:color="auto" w:fill="auto"/>
            <w:vAlign w:val="center"/>
          </w:tcPr>
          <w:p w14:paraId="7F24982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BMI&gt;25</w:t>
            </w:r>
          </w:p>
        </w:tc>
        <w:tc>
          <w:tcPr>
            <w:tcW w:w="1847" w:type="dxa"/>
            <w:shd w:val="clear" w:color="auto" w:fill="auto"/>
            <w:vAlign w:val="center"/>
          </w:tcPr>
          <w:p w14:paraId="1F8176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0A735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A9F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62D43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Parray et al. (2013)</w:t>
            </w:r>
          </w:p>
        </w:tc>
        <w:tc>
          <w:tcPr>
            <w:tcW w:w="2939" w:type="dxa"/>
            <w:shd w:val="clear" w:color="auto" w:fill="auto"/>
            <w:vAlign w:val="center"/>
          </w:tcPr>
          <w:p w14:paraId="0745E1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B93EB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India</w:t>
            </w:r>
          </w:p>
        </w:tc>
        <w:tc>
          <w:tcPr>
            <w:tcW w:w="1658" w:type="dxa"/>
            <w:shd w:val="clear" w:color="auto" w:fill="auto"/>
            <w:vAlign w:val="center"/>
          </w:tcPr>
          <w:p w14:paraId="50ED5B6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2008-2010</w:t>
            </w:r>
          </w:p>
        </w:tc>
        <w:tc>
          <w:tcPr>
            <w:tcW w:w="1978" w:type="dxa"/>
            <w:shd w:val="clear" w:color="auto" w:fill="auto"/>
            <w:vAlign w:val="center"/>
          </w:tcPr>
          <w:p w14:paraId="31BEDE3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3DFF9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070811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43C49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w:t>
            </w:r>
          </w:p>
        </w:tc>
        <w:tc>
          <w:tcPr>
            <w:tcW w:w="1639" w:type="dxa"/>
            <w:shd w:val="clear" w:color="auto" w:fill="auto"/>
            <w:vAlign w:val="center"/>
          </w:tcPr>
          <w:p w14:paraId="5139C1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42</w:t>
            </w:r>
          </w:p>
        </w:tc>
        <w:tc>
          <w:tcPr>
            <w:tcW w:w="5721" w:type="dxa"/>
            <w:shd w:val="clear" w:color="auto" w:fill="auto"/>
            <w:vAlign w:val="center"/>
          </w:tcPr>
          <w:p w14:paraId="06EAD90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Not specified</w:t>
            </w:r>
          </w:p>
        </w:tc>
        <w:tc>
          <w:tcPr>
            <w:tcW w:w="1847" w:type="dxa"/>
            <w:shd w:val="clear" w:color="auto" w:fill="auto"/>
            <w:vAlign w:val="center"/>
          </w:tcPr>
          <w:p w14:paraId="189846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12DF6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4D36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7A12CF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Pawar et al. (2016)</w:t>
            </w:r>
          </w:p>
        </w:tc>
        <w:tc>
          <w:tcPr>
            <w:tcW w:w="2939" w:type="dxa"/>
            <w:shd w:val="clear" w:color="auto" w:fill="auto"/>
            <w:vAlign w:val="center"/>
          </w:tcPr>
          <w:p w14:paraId="467978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C3627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India</w:t>
            </w:r>
          </w:p>
        </w:tc>
        <w:tc>
          <w:tcPr>
            <w:tcW w:w="1658" w:type="dxa"/>
            <w:shd w:val="clear" w:color="auto" w:fill="auto"/>
            <w:vAlign w:val="center"/>
          </w:tcPr>
          <w:p w14:paraId="0B078C8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w:t>
            </w:r>
          </w:p>
        </w:tc>
        <w:tc>
          <w:tcPr>
            <w:tcW w:w="1978" w:type="dxa"/>
            <w:shd w:val="clear" w:color="auto" w:fill="auto"/>
            <w:vAlign w:val="center"/>
          </w:tcPr>
          <w:p w14:paraId="5A9B34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43CE5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25B079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5386C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123</w:t>
            </w:r>
          </w:p>
        </w:tc>
        <w:tc>
          <w:tcPr>
            <w:tcW w:w="1639" w:type="dxa"/>
            <w:shd w:val="clear" w:color="auto" w:fill="auto"/>
            <w:vAlign w:val="center"/>
          </w:tcPr>
          <w:p w14:paraId="25937D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198</w:t>
            </w:r>
          </w:p>
        </w:tc>
        <w:tc>
          <w:tcPr>
            <w:tcW w:w="5721" w:type="dxa"/>
            <w:shd w:val="clear" w:color="auto" w:fill="auto"/>
            <w:vAlign w:val="center"/>
          </w:tcPr>
          <w:p w14:paraId="21596F7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Overweight and obese was done using both Khadilkar criteria and Cole criteria</w:t>
            </w:r>
          </w:p>
        </w:tc>
        <w:tc>
          <w:tcPr>
            <w:tcW w:w="1847" w:type="dxa"/>
            <w:shd w:val="clear" w:color="auto" w:fill="auto"/>
            <w:vAlign w:val="center"/>
          </w:tcPr>
          <w:p w14:paraId="4AFBEC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E7598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767BD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15FD0F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Geurtsen et al. (2019)</w:t>
            </w:r>
          </w:p>
        </w:tc>
        <w:tc>
          <w:tcPr>
            <w:tcW w:w="2939" w:type="dxa"/>
            <w:shd w:val="clear" w:color="auto" w:fill="auto"/>
            <w:vAlign w:val="center"/>
          </w:tcPr>
          <w:p w14:paraId="3ACA2E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20BDC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Netherlands</w:t>
            </w:r>
          </w:p>
        </w:tc>
        <w:tc>
          <w:tcPr>
            <w:tcW w:w="1658" w:type="dxa"/>
            <w:shd w:val="clear" w:color="auto" w:fill="auto"/>
            <w:vAlign w:val="center"/>
          </w:tcPr>
          <w:p w14:paraId="3C3F6A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2002-2006</w:t>
            </w:r>
          </w:p>
        </w:tc>
        <w:tc>
          <w:tcPr>
            <w:tcW w:w="1978" w:type="dxa"/>
            <w:shd w:val="clear" w:color="auto" w:fill="auto"/>
            <w:vAlign w:val="center"/>
          </w:tcPr>
          <w:p w14:paraId="657CC9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DE1FB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F4A0B1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31CCF3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64</w:t>
            </w:r>
          </w:p>
        </w:tc>
        <w:tc>
          <w:tcPr>
            <w:tcW w:w="1639" w:type="dxa"/>
            <w:shd w:val="clear" w:color="auto" w:fill="auto"/>
            <w:vAlign w:val="center"/>
          </w:tcPr>
          <w:p w14:paraId="5512BF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548</w:t>
            </w:r>
          </w:p>
        </w:tc>
        <w:tc>
          <w:tcPr>
            <w:tcW w:w="5721" w:type="dxa"/>
            <w:shd w:val="clear" w:color="auto" w:fill="auto"/>
            <w:vAlign w:val="center"/>
          </w:tcPr>
          <w:p w14:paraId="2A4EB25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23D35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CF9F0A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C47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431D1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Kazemi et al. (2016)</w:t>
            </w:r>
          </w:p>
        </w:tc>
        <w:tc>
          <w:tcPr>
            <w:tcW w:w="2939" w:type="dxa"/>
            <w:shd w:val="clear" w:color="auto" w:fill="auto"/>
            <w:vAlign w:val="center"/>
          </w:tcPr>
          <w:p w14:paraId="1155B3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9927B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shd w:val="clear" w:color="auto" w:fill="auto"/>
            <w:vAlign w:val="center"/>
          </w:tcPr>
          <w:p w14:paraId="5A949C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w:t>
            </w:r>
          </w:p>
        </w:tc>
        <w:tc>
          <w:tcPr>
            <w:tcW w:w="1978" w:type="dxa"/>
            <w:shd w:val="clear" w:color="auto" w:fill="auto"/>
            <w:vAlign w:val="center"/>
          </w:tcPr>
          <w:p w14:paraId="008487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A9E6B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151D63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1D7E9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104</w:t>
            </w:r>
          </w:p>
        </w:tc>
        <w:tc>
          <w:tcPr>
            <w:tcW w:w="1639" w:type="dxa"/>
            <w:shd w:val="clear" w:color="auto" w:fill="auto"/>
            <w:vAlign w:val="center"/>
          </w:tcPr>
          <w:p w14:paraId="318B2D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145</w:t>
            </w:r>
          </w:p>
        </w:tc>
        <w:tc>
          <w:tcPr>
            <w:tcW w:w="5721" w:type="dxa"/>
            <w:shd w:val="clear" w:color="auto" w:fill="auto"/>
            <w:vAlign w:val="center"/>
          </w:tcPr>
          <w:p w14:paraId="4CA553E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558265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374137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29CD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AC0B5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Fu et al. (2009)</w:t>
            </w:r>
          </w:p>
        </w:tc>
        <w:tc>
          <w:tcPr>
            <w:tcW w:w="2939" w:type="dxa"/>
            <w:shd w:val="clear" w:color="auto" w:fill="auto"/>
            <w:vAlign w:val="center"/>
          </w:tcPr>
          <w:p w14:paraId="1DCD66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8BF56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10D1CB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2002</w:t>
            </w:r>
          </w:p>
        </w:tc>
        <w:tc>
          <w:tcPr>
            <w:tcW w:w="1978" w:type="dxa"/>
            <w:shd w:val="clear" w:color="auto" w:fill="auto"/>
            <w:vAlign w:val="center"/>
          </w:tcPr>
          <w:p w14:paraId="54F832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E591C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17946A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6D047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71</w:t>
            </w:r>
          </w:p>
        </w:tc>
        <w:tc>
          <w:tcPr>
            <w:tcW w:w="1639" w:type="dxa"/>
            <w:shd w:val="clear" w:color="auto" w:fill="auto"/>
            <w:vAlign w:val="center"/>
          </w:tcPr>
          <w:p w14:paraId="773C86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122</w:t>
            </w:r>
          </w:p>
        </w:tc>
        <w:tc>
          <w:tcPr>
            <w:tcW w:w="5721" w:type="dxa"/>
            <w:shd w:val="clear" w:color="auto" w:fill="auto"/>
            <w:vAlign w:val="center"/>
          </w:tcPr>
          <w:p w14:paraId="49F612E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14774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32400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78B4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E54D0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Khalkhali et al. (2016)</w:t>
            </w:r>
          </w:p>
        </w:tc>
        <w:tc>
          <w:tcPr>
            <w:tcW w:w="2939" w:type="dxa"/>
            <w:shd w:val="clear" w:color="auto" w:fill="auto"/>
            <w:vAlign w:val="center"/>
          </w:tcPr>
          <w:p w14:paraId="63C3700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D95D0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shd w:val="clear" w:color="auto" w:fill="auto"/>
            <w:vAlign w:val="center"/>
          </w:tcPr>
          <w:p w14:paraId="5932EA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w:t>
            </w:r>
          </w:p>
        </w:tc>
        <w:tc>
          <w:tcPr>
            <w:tcW w:w="1978" w:type="dxa"/>
            <w:shd w:val="clear" w:color="auto" w:fill="auto"/>
            <w:vAlign w:val="center"/>
          </w:tcPr>
          <w:p w14:paraId="2DDA49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94D3F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786B5D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3419E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132</w:t>
            </w:r>
          </w:p>
        </w:tc>
        <w:tc>
          <w:tcPr>
            <w:tcW w:w="1639" w:type="dxa"/>
            <w:shd w:val="clear" w:color="auto" w:fill="auto"/>
            <w:vAlign w:val="center"/>
          </w:tcPr>
          <w:p w14:paraId="2DE058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150</w:t>
            </w:r>
          </w:p>
        </w:tc>
        <w:tc>
          <w:tcPr>
            <w:tcW w:w="5721" w:type="dxa"/>
            <w:shd w:val="clear" w:color="auto" w:fill="auto"/>
            <w:vAlign w:val="center"/>
          </w:tcPr>
          <w:p w14:paraId="2D51481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0B1E13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06E844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318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A4AA6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Lin et al. (2017)</w:t>
            </w:r>
          </w:p>
        </w:tc>
        <w:tc>
          <w:tcPr>
            <w:tcW w:w="2939" w:type="dxa"/>
            <w:shd w:val="clear" w:color="auto" w:fill="auto"/>
            <w:vAlign w:val="center"/>
          </w:tcPr>
          <w:p w14:paraId="4AFED5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27AFE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262E7A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2012-2013</w:t>
            </w:r>
          </w:p>
        </w:tc>
        <w:tc>
          <w:tcPr>
            <w:tcW w:w="1978" w:type="dxa"/>
            <w:shd w:val="clear" w:color="auto" w:fill="auto"/>
            <w:vAlign w:val="center"/>
          </w:tcPr>
          <w:p w14:paraId="2812E4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63BB0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096CF8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B32E97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35</w:t>
            </w:r>
          </w:p>
        </w:tc>
        <w:tc>
          <w:tcPr>
            <w:tcW w:w="1639" w:type="dxa"/>
            <w:shd w:val="clear" w:color="auto" w:fill="auto"/>
            <w:vAlign w:val="center"/>
          </w:tcPr>
          <w:p w14:paraId="0D1B7F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197</w:t>
            </w:r>
          </w:p>
        </w:tc>
        <w:tc>
          <w:tcPr>
            <w:tcW w:w="5721" w:type="dxa"/>
            <w:shd w:val="clear" w:color="auto" w:fill="auto"/>
            <w:vAlign w:val="center"/>
          </w:tcPr>
          <w:p w14:paraId="58F5B09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03849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5545C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37C8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8B437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Lin et al. (2012)</w:t>
            </w:r>
          </w:p>
        </w:tc>
        <w:tc>
          <w:tcPr>
            <w:tcW w:w="2939" w:type="dxa"/>
            <w:shd w:val="clear" w:color="auto" w:fill="auto"/>
            <w:vAlign w:val="center"/>
          </w:tcPr>
          <w:p w14:paraId="687ECD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C2FBBD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29BEF5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2006-2011</w:t>
            </w:r>
          </w:p>
        </w:tc>
        <w:tc>
          <w:tcPr>
            <w:tcW w:w="1978" w:type="dxa"/>
            <w:shd w:val="clear" w:color="auto" w:fill="auto"/>
            <w:vAlign w:val="center"/>
          </w:tcPr>
          <w:p w14:paraId="685012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8A808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3D17DA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1340B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182</w:t>
            </w:r>
          </w:p>
        </w:tc>
        <w:tc>
          <w:tcPr>
            <w:tcW w:w="1639" w:type="dxa"/>
            <w:shd w:val="clear" w:color="auto" w:fill="auto"/>
            <w:vAlign w:val="center"/>
          </w:tcPr>
          <w:p w14:paraId="6428D6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781</w:t>
            </w:r>
          </w:p>
        </w:tc>
        <w:tc>
          <w:tcPr>
            <w:tcW w:w="5721" w:type="dxa"/>
            <w:shd w:val="clear" w:color="auto" w:fill="auto"/>
            <w:vAlign w:val="center"/>
          </w:tcPr>
          <w:p w14:paraId="5A2D8B2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009A8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8E9FF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1071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C5D30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Tominaga et al. (1995)</w:t>
            </w:r>
          </w:p>
        </w:tc>
        <w:tc>
          <w:tcPr>
            <w:tcW w:w="2939" w:type="dxa"/>
            <w:shd w:val="clear" w:color="auto" w:fill="auto"/>
            <w:vAlign w:val="center"/>
          </w:tcPr>
          <w:p w14:paraId="3066AB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94E9C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Japan</w:t>
            </w:r>
          </w:p>
        </w:tc>
        <w:tc>
          <w:tcPr>
            <w:tcW w:w="1658" w:type="dxa"/>
            <w:shd w:val="clear" w:color="auto" w:fill="auto"/>
            <w:vAlign w:val="center"/>
          </w:tcPr>
          <w:p w14:paraId="710C8A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1989</w:t>
            </w:r>
          </w:p>
        </w:tc>
        <w:tc>
          <w:tcPr>
            <w:tcW w:w="1978" w:type="dxa"/>
            <w:shd w:val="clear" w:color="auto" w:fill="auto"/>
            <w:vAlign w:val="center"/>
          </w:tcPr>
          <w:p w14:paraId="5DD582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3E2585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3B7B39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6CEFE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w:t>
            </w:r>
          </w:p>
        </w:tc>
        <w:tc>
          <w:tcPr>
            <w:tcW w:w="1639" w:type="dxa"/>
            <w:shd w:val="clear" w:color="auto" w:fill="auto"/>
            <w:vAlign w:val="center"/>
          </w:tcPr>
          <w:p w14:paraId="6AEE6A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138</w:t>
            </w:r>
          </w:p>
        </w:tc>
        <w:tc>
          <w:tcPr>
            <w:tcW w:w="5721" w:type="dxa"/>
            <w:shd w:val="clear" w:color="auto" w:fill="auto"/>
            <w:vAlign w:val="center"/>
          </w:tcPr>
          <w:p w14:paraId="3DB5CB8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BMI&gt;18</w:t>
            </w:r>
          </w:p>
        </w:tc>
        <w:tc>
          <w:tcPr>
            <w:tcW w:w="1847" w:type="dxa"/>
            <w:shd w:val="clear" w:color="auto" w:fill="auto"/>
            <w:vAlign w:val="center"/>
          </w:tcPr>
          <w:p w14:paraId="0C3984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4679D1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4C5E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EB3FB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Monteiro et al. (2014)</w:t>
            </w:r>
          </w:p>
        </w:tc>
        <w:tc>
          <w:tcPr>
            <w:tcW w:w="2939" w:type="dxa"/>
            <w:shd w:val="clear" w:color="auto" w:fill="auto"/>
            <w:vAlign w:val="center"/>
          </w:tcPr>
          <w:p w14:paraId="4FD031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7CA2C4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4C8EB00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w:t>
            </w:r>
          </w:p>
        </w:tc>
        <w:tc>
          <w:tcPr>
            <w:tcW w:w="1978" w:type="dxa"/>
            <w:shd w:val="clear" w:color="auto" w:fill="auto"/>
            <w:vAlign w:val="center"/>
          </w:tcPr>
          <w:p w14:paraId="3630F1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456E0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019617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53840D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45</w:t>
            </w:r>
          </w:p>
        </w:tc>
        <w:tc>
          <w:tcPr>
            <w:tcW w:w="1639" w:type="dxa"/>
            <w:shd w:val="clear" w:color="auto" w:fill="auto"/>
            <w:vAlign w:val="center"/>
          </w:tcPr>
          <w:p w14:paraId="48CDF3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145</w:t>
            </w:r>
          </w:p>
        </w:tc>
        <w:tc>
          <w:tcPr>
            <w:tcW w:w="5721" w:type="dxa"/>
            <w:shd w:val="clear" w:color="auto" w:fill="auto"/>
            <w:vAlign w:val="center"/>
          </w:tcPr>
          <w:p w14:paraId="49C253F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According to the Cole criteria</w:t>
            </w:r>
          </w:p>
        </w:tc>
        <w:tc>
          <w:tcPr>
            <w:tcW w:w="1847" w:type="dxa"/>
            <w:shd w:val="clear" w:color="auto" w:fill="auto"/>
            <w:vAlign w:val="center"/>
          </w:tcPr>
          <w:p w14:paraId="1A8C7E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25EAE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6C63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A1B36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Namakin et al. (2018)</w:t>
            </w:r>
          </w:p>
        </w:tc>
        <w:tc>
          <w:tcPr>
            <w:tcW w:w="2939" w:type="dxa"/>
            <w:shd w:val="clear" w:color="auto" w:fill="auto"/>
            <w:vAlign w:val="center"/>
          </w:tcPr>
          <w:p w14:paraId="29E94E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D8429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shd w:val="clear" w:color="auto" w:fill="auto"/>
            <w:vAlign w:val="center"/>
          </w:tcPr>
          <w:p w14:paraId="043A46F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06A158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CA161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459F280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768F8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108</w:t>
            </w:r>
          </w:p>
        </w:tc>
        <w:tc>
          <w:tcPr>
            <w:tcW w:w="1639" w:type="dxa"/>
            <w:shd w:val="clear" w:color="auto" w:fill="auto"/>
            <w:vAlign w:val="center"/>
          </w:tcPr>
          <w:p w14:paraId="6845350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202</w:t>
            </w:r>
          </w:p>
        </w:tc>
        <w:tc>
          <w:tcPr>
            <w:tcW w:w="5721" w:type="dxa"/>
            <w:shd w:val="clear" w:color="auto" w:fill="auto"/>
            <w:vAlign w:val="center"/>
          </w:tcPr>
          <w:p w14:paraId="209EDA3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4868A0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D8A7F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D1E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A62FA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Nier et al. (2018)</w:t>
            </w:r>
          </w:p>
        </w:tc>
        <w:tc>
          <w:tcPr>
            <w:tcW w:w="2939" w:type="dxa"/>
            <w:shd w:val="clear" w:color="auto" w:fill="auto"/>
            <w:vAlign w:val="center"/>
          </w:tcPr>
          <w:p w14:paraId="491B8D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0CF697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Germany</w:t>
            </w:r>
          </w:p>
        </w:tc>
        <w:tc>
          <w:tcPr>
            <w:tcW w:w="1658" w:type="dxa"/>
            <w:shd w:val="clear" w:color="auto" w:fill="auto"/>
            <w:vAlign w:val="center"/>
          </w:tcPr>
          <w:p w14:paraId="0634B1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2009-2010</w:t>
            </w:r>
          </w:p>
        </w:tc>
        <w:tc>
          <w:tcPr>
            <w:tcW w:w="1978" w:type="dxa"/>
            <w:shd w:val="clear" w:color="auto" w:fill="auto"/>
            <w:vAlign w:val="center"/>
          </w:tcPr>
          <w:p w14:paraId="57BE48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E98E1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2D0F57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890A2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w:t>
            </w:r>
          </w:p>
        </w:tc>
        <w:tc>
          <w:tcPr>
            <w:tcW w:w="1639" w:type="dxa"/>
            <w:shd w:val="clear" w:color="auto" w:fill="auto"/>
            <w:vAlign w:val="center"/>
          </w:tcPr>
          <w:p w14:paraId="1904D1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89</w:t>
            </w:r>
          </w:p>
        </w:tc>
        <w:tc>
          <w:tcPr>
            <w:tcW w:w="5721" w:type="dxa"/>
            <w:shd w:val="clear" w:color="auto" w:fill="auto"/>
            <w:vAlign w:val="center"/>
          </w:tcPr>
          <w:p w14:paraId="288223B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Not specified</w:t>
            </w:r>
          </w:p>
        </w:tc>
        <w:tc>
          <w:tcPr>
            <w:tcW w:w="1847" w:type="dxa"/>
            <w:shd w:val="clear" w:color="auto" w:fill="auto"/>
            <w:vAlign w:val="center"/>
          </w:tcPr>
          <w:p w14:paraId="5CF632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FBCAA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5F59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3D5C4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Ramzan et al. (2009)</w:t>
            </w:r>
          </w:p>
        </w:tc>
        <w:tc>
          <w:tcPr>
            <w:tcW w:w="2939" w:type="dxa"/>
            <w:shd w:val="clear" w:color="auto" w:fill="auto"/>
            <w:vAlign w:val="center"/>
          </w:tcPr>
          <w:p w14:paraId="328178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08955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Pakistan</w:t>
            </w:r>
          </w:p>
        </w:tc>
        <w:tc>
          <w:tcPr>
            <w:tcW w:w="1658" w:type="dxa"/>
            <w:shd w:val="clear" w:color="auto" w:fill="auto"/>
            <w:vAlign w:val="center"/>
          </w:tcPr>
          <w:p w14:paraId="334F39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w:t>
            </w:r>
          </w:p>
        </w:tc>
        <w:tc>
          <w:tcPr>
            <w:tcW w:w="1978" w:type="dxa"/>
            <w:shd w:val="clear" w:color="auto" w:fill="auto"/>
            <w:vAlign w:val="center"/>
          </w:tcPr>
          <w:p w14:paraId="18FC98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6C4A0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1ECAB1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A9AD9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c>
          <w:tcPr>
            <w:tcW w:w="1639" w:type="dxa"/>
            <w:shd w:val="clear" w:color="auto" w:fill="auto"/>
            <w:vAlign w:val="center"/>
          </w:tcPr>
          <w:p w14:paraId="41AD8B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67</w:t>
            </w:r>
          </w:p>
        </w:tc>
        <w:tc>
          <w:tcPr>
            <w:tcW w:w="5721" w:type="dxa"/>
            <w:shd w:val="clear" w:color="auto" w:fill="auto"/>
            <w:vAlign w:val="center"/>
          </w:tcPr>
          <w:p w14:paraId="560577F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404236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308E7B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8855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10264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Fernandes et al. (2010)</w:t>
            </w:r>
          </w:p>
        </w:tc>
        <w:tc>
          <w:tcPr>
            <w:tcW w:w="2939" w:type="dxa"/>
            <w:shd w:val="clear" w:color="auto" w:fill="auto"/>
            <w:vAlign w:val="center"/>
          </w:tcPr>
          <w:p w14:paraId="52C225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4E18D3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489DA5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w:t>
            </w:r>
          </w:p>
        </w:tc>
        <w:tc>
          <w:tcPr>
            <w:tcW w:w="1978" w:type="dxa"/>
            <w:shd w:val="clear" w:color="auto" w:fill="auto"/>
            <w:vAlign w:val="center"/>
          </w:tcPr>
          <w:p w14:paraId="204DDD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A238A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150751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09D65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w:t>
            </w:r>
          </w:p>
        </w:tc>
        <w:tc>
          <w:tcPr>
            <w:tcW w:w="1639" w:type="dxa"/>
            <w:shd w:val="clear" w:color="auto" w:fill="auto"/>
            <w:vAlign w:val="center"/>
          </w:tcPr>
          <w:p w14:paraId="3330A8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90</w:t>
            </w:r>
          </w:p>
        </w:tc>
        <w:tc>
          <w:tcPr>
            <w:tcW w:w="5721" w:type="dxa"/>
            <w:shd w:val="clear" w:color="auto" w:fill="auto"/>
            <w:vAlign w:val="center"/>
          </w:tcPr>
          <w:p w14:paraId="42E0693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FDA8B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73C10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7A62A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F368D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Black et al. (2014)</w:t>
            </w:r>
          </w:p>
        </w:tc>
        <w:tc>
          <w:tcPr>
            <w:tcW w:w="2939" w:type="dxa"/>
            <w:shd w:val="clear" w:color="auto" w:fill="auto"/>
            <w:vAlign w:val="center"/>
          </w:tcPr>
          <w:p w14:paraId="063184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Oceania</w:t>
            </w:r>
          </w:p>
        </w:tc>
        <w:tc>
          <w:tcPr>
            <w:tcW w:w="3345" w:type="dxa"/>
            <w:shd w:val="clear" w:color="auto" w:fill="auto"/>
            <w:vAlign w:val="center"/>
          </w:tcPr>
          <w:p w14:paraId="0C5DF9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Australia</w:t>
            </w:r>
          </w:p>
        </w:tc>
        <w:tc>
          <w:tcPr>
            <w:tcW w:w="1658" w:type="dxa"/>
            <w:shd w:val="clear" w:color="auto" w:fill="auto"/>
            <w:vAlign w:val="center"/>
          </w:tcPr>
          <w:p w14:paraId="2CACA7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2006-2008</w:t>
            </w:r>
          </w:p>
        </w:tc>
        <w:tc>
          <w:tcPr>
            <w:tcW w:w="1978" w:type="dxa"/>
            <w:shd w:val="clear" w:color="auto" w:fill="auto"/>
            <w:vAlign w:val="center"/>
          </w:tcPr>
          <w:p w14:paraId="19EFA3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3A73CC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0AF9BE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C7E1E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92</w:t>
            </w:r>
          </w:p>
        </w:tc>
        <w:tc>
          <w:tcPr>
            <w:tcW w:w="1639" w:type="dxa"/>
            <w:shd w:val="clear" w:color="auto" w:fill="auto"/>
            <w:vAlign w:val="center"/>
          </w:tcPr>
          <w:p w14:paraId="773CCB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225</w:t>
            </w:r>
          </w:p>
        </w:tc>
        <w:tc>
          <w:tcPr>
            <w:tcW w:w="5721" w:type="dxa"/>
            <w:shd w:val="clear" w:color="auto" w:fill="auto"/>
            <w:vAlign w:val="center"/>
          </w:tcPr>
          <w:p w14:paraId="0CC5B45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7B72803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E71FF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7392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E31F2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Walker et al. (2013)</w:t>
            </w:r>
          </w:p>
        </w:tc>
        <w:tc>
          <w:tcPr>
            <w:tcW w:w="2939" w:type="dxa"/>
            <w:shd w:val="clear" w:color="auto" w:fill="auto"/>
            <w:vAlign w:val="center"/>
          </w:tcPr>
          <w:p w14:paraId="3AD733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554AB5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24C698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w:t>
            </w:r>
          </w:p>
        </w:tc>
        <w:tc>
          <w:tcPr>
            <w:tcW w:w="1978" w:type="dxa"/>
            <w:shd w:val="clear" w:color="auto" w:fill="auto"/>
            <w:vAlign w:val="center"/>
          </w:tcPr>
          <w:p w14:paraId="70C4B04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915D40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1D9AB4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4544B0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97</w:t>
            </w:r>
          </w:p>
        </w:tc>
        <w:tc>
          <w:tcPr>
            <w:tcW w:w="1639" w:type="dxa"/>
            <w:shd w:val="clear" w:color="auto" w:fill="auto"/>
            <w:vAlign w:val="center"/>
          </w:tcPr>
          <w:p w14:paraId="7EFD8D0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223</w:t>
            </w:r>
          </w:p>
        </w:tc>
        <w:tc>
          <w:tcPr>
            <w:tcW w:w="5721" w:type="dxa"/>
            <w:shd w:val="clear" w:color="auto" w:fill="auto"/>
            <w:vAlign w:val="center"/>
          </w:tcPr>
          <w:p w14:paraId="7C4728FF">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BMI&gt;25</w:t>
            </w:r>
          </w:p>
        </w:tc>
        <w:tc>
          <w:tcPr>
            <w:tcW w:w="1847" w:type="dxa"/>
            <w:shd w:val="clear" w:color="auto" w:fill="auto"/>
            <w:vAlign w:val="center"/>
          </w:tcPr>
          <w:p w14:paraId="1D6DEB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66FA630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AE74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B25B9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Zhang et al. (2015)</w:t>
            </w:r>
          </w:p>
        </w:tc>
        <w:tc>
          <w:tcPr>
            <w:tcW w:w="2939" w:type="dxa"/>
            <w:shd w:val="clear" w:color="auto" w:fill="auto"/>
            <w:vAlign w:val="center"/>
          </w:tcPr>
          <w:p w14:paraId="7615C2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6AFF6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36FD93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2009-2011</w:t>
            </w:r>
          </w:p>
        </w:tc>
        <w:tc>
          <w:tcPr>
            <w:tcW w:w="1978" w:type="dxa"/>
            <w:shd w:val="clear" w:color="auto" w:fill="auto"/>
            <w:vAlign w:val="center"/>
          </w:tcPr>
          <w:p w14:paraId="1789A1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381A2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1DCF6B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ADAB0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241</w:t>
            </w:r>
          </w:p>
        </w:tc>
        <w:tc>
          <w:tcPr>
            <w:tcW w:w="1639" w:type="dxa"/>
            <w:shd w:val="clear" w:color="auto" w:fill="auto"/>
            <w:vAlign w:val="center"/>
          </w:tcPr>
          <w:p w14:paraId="55F8A8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569</w:t>
            </w:r>
          </w:p>
        </w:tc>
        <w:tc>
          <w:tcPr>
            <w:tcW w:w="5721" w:type="dxa"/>
            <w:shd w:val="clear" w:color="auto" w:fill="auto"/>
            <w:vAlign w:val="center"/>
          </w:tcPr>
          <w:p w14:paraId="52CAB9D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97EFD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AA48D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615F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08EED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Tsuruta et al. (2010)</w:t>
            </w:r>
          </w:p>
        </w:tc>
        <w:tc>
          <w:tcPr>
            <w:tcW w:w="2939" w:type="dxa"/>
            <w:shd w:val="clear" w:color="auto" w:fill="auto"/>
            <w:vAlign w:val="center"/>
          </w:tcPr>
          <w:p w14:paraId="30A312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E7783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Japan</w:t>
            </w:r>
          </w:p>
        </w:tc>
        <w:tc>
          <w:tcPr>
            <w:tcW w:w="1658" w:type="dxa"/>
            <w:shd w:val="clear" w:color="auto" w:fill="auto"/>
            <w:vAlign w:val="center"/>
          </w:tcPr>
          <w:p w14:paraId="472BAA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2004-2007</w:t>
            </w:r>
          </w:p>
        </w:tc>
        <w:tc>
          <w:tcPr>
            <w:tcW w:w="1978" w:type="dxa"/>
            <w:shd w:val="clear" w:color="auto" w:fill="auto"/>
            <w:vAlign w:val="center"/>
          </w:tcPr>
          <w:p w14:paraId="3A919F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77260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1443A3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575FC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w:t>
            </w:r>
          </w:p>
        </w:tc>
        <w:tc>
          <w:tcPr>
            <w:tcW w:w="1639" w:type="dxa"/>
            <w:shd w:val="clear" w:color="auto" w:fill="auto"/>
            <w:vAlign w:val="center"/>
          </w:tcPr>
          <w:p w14:paraId="0EFD46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98</w:t>
            </w:r>
          </w:p>
        </w:tc>
        <w:tc>
          <w:tcPr>
            <w:tcW w:w="5721" w:type="dxa"/>
            <w:shd w:val="clear" w:color="auto" w:fill="auto"/>
            <w:vAlign w:val="center"/>
          </w:tcPr>
          <w:p w14:paraId="34DAFF9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0E749F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5F77D1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613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FE6EF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Zhao et al. (2019)</w:t>
            </w:r>
          </w:p>
        </w:tc>
        <w:tc>
          <w:tcPr>
            <w:tcW w:w="2939" w:type="dxa"/>
            <w:shd w:val="clear" w:color="auto" w:fill="auto"/>
            <w:vAlign w:val="center"/>
          </w:tcPr>
          <w:p w14:paraId="6547C6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1D941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4BEAC5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2017-2018</w:t>
            </w:r>
          </w:p>
        </w:tc>
        <w:tc>
          <w:tcPr>
            <w:tcW w:w="1978" w:type="dxa"/>
            <w:shd w:val="clear" w:color="auto" w:fill="auto"/>
            <w:vAlign w:val="center"/>
          </w:tcPr>
          <w:p w14:paraId="6718C1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C54EE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36AC61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32A4C7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1639" w:type="dxa"/>
            <w:shd w:val="clear" w:color="auto" w:fill="auto"/>
            <w:vAlign w:val="center"/>
          </w:tcPr>
          <w:p w14:paraId="53E2AD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86</w:t>
            </w:r>
          </w:p>
        </w:tc>
        <w:tc>
          <w:tcPr>
            <w:tcW w:w="5721" w:type="dxa"/>
            <w:shd w:val="clear" w:color="auto" w:fill="auto"/>
            <w:vAlign w:val="center"/>
          </w:tcPr>
          <w:p w14:paraId="402B4F4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1FBAA9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0B1D7D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79B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9945F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Dai et al. (2017)</w:t>
            </w:r>
          </w:p>
        </w:tc>
        <w:tc>
          <w:tcPr>
            <w:tcW w:w="2939" w:type="dxa"/>
            <w:shd w:val="clear" w:color="auto" w:fill="auto"/>
            <w:vAlign w:val="center"/>
          </w:tcPr>
          <w:p w14:paraId="751893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68868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6E4707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w:t>
            </w:r>
          </w:p>
        </w:tc>
        <w:tc>
          <w:tcPr>
            <w:tcW w:w="1978" w:type="dxa"/>
            <w:shd w:val="clear" w:color="auto" w:fill="auto"/>
            <w:vAlign w:val="center"/>
          </w:tcPr>
          <w:p w14:paraId="7393F0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9748F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3E1A97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0C50A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39</w:t>
            </w:r>
          </w:p>
        </w:tc>
        <w:tc>
          <w:tcPr>
            <w:tcW w:w="1639" w:type="dxa"/>
            <w:shd w:val="clear" w:color="auto" w:fill="auto"/>
            <w:vAlign w:val="center"/>
          </w:tcPr>
          <w:p w14:paraId="01C7BB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100</w:t>
            </w:r>
          </w:p>
        </w:tc>
        <w:tc>
          <w:tcPr>
            <w:tcW w:w="5721" w:type="dxa"/>
            <w:shd w:val="clear" w:color="auto" w:fill="auto"/>
            <w:vAlign w:val="center"/>
          </w:tcPr>
          <w:p w14:paraId="5B21078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89E78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8DCA3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2453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6AD4C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Huang et al. (2013)</w:t>
            </w:r>
          </w:p>
        </w:tc>
        <w:tc>
          <w:tcPr>
            <w:tcW w:w="2939" w:type="dxa"/>
            <w:shd w:val="clear" w:color="auto" w:fill="auto"/>
            <w:vAlign w:val="center"/>
          </w:tcPr>
          <w:p w14:paraId="53F3B4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65024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0DEE4E4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w:t>
            </w:r>
          </w:p>
        </w:tc>
        <w:tc>
          <w:tcPr>
            <w:tcW w:w="1978" w:type="dxa"/>
            <w:shd w:val="clear" w:color="auto" w:fill="auto"/>
            <w:vAlign w:val="center"/>
          </w:tcPr>
          <w:p w14:paraId="76401E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4731FA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32115A0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FE253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42</w:t>
            </w:r>
          </w:p>
        </w:tc>
        <w:tc>
          <w:tcPr>
            <w:tcW w:w="1639" w:type="dxa"/>
            <w:shd w:val="clear" w:color="auto" w:fill="auto"/>
            <w:vAlign w:val="center"/>
          </w:tcPr>
          <w:p w14:paraId="6844EC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203</w:t>
            </w:r>
          </w:p>
        </w:tc>
        <w:tc>
          <w:tcPr>
            <w:tcW w:w="5721" w:type="dxa"/>
            <w:shd w:val="clear" w:color="auto" w:fill="auto"/>
            <w:vAlign w:val="center"/>
          </w:tcPr>
          <w:p w14:paraId="1D65142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749053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68840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62A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B35C1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Kim et al. (2008)</w:t>
            </w:r>
          </w:p>
        </w:tc>
        <w:tc>
          <w:tcPr>
            <w:tcW w:w="2939" w:type="dxa"/>
            <w:shd w:val="clear" w:color="auto" w:fill="auto"/>
            <w:vAlign w:val="center"/>
          </w:tcPr>
          <w:p w14:paraId="122C88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F8EBB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Korea</w:t>
            </w:r>
          </w:p>
        </w:tc>
        <w:tc>
          <w:tcPr>
            <w:tcW w:w="1658" w:type="dxa"/>
            <w:shd w:val="clear" w:color="auto" w:fill="auto"/>
            <w:vAlign w:val="center"/>
          </w:tcPr>
          <w:p w14:paraId="5E7174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2005</w:t>
            </w:r>
          </w:p>
        </w:tc>
        <w:tc>
          <w:tcPr>
            <w:tcW w:w="1978" w:type="dxa"/>
            <w:shd w:val="clear" w:color="auto" w:fill="auto"/>
            <w:vAlign w:val="center"/>
          </w:tcPr>
          <w:p w14:paraId="743909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8D2EE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313BEF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AC176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w:t>
            </w:r>
          </w:p>
        </w:tc>
        <w:tc>
          <w:tcPr>
            <w:tcW w:w="1639" w:type="dxa"/>
            <w:shd w:val="clear" w:color="auto" w:fill="auto"/>
            <w:vAlign w:val="center"/>
          </w:tcPr>
          <w:p w14:paraId="1B290E3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5721" w:type="dxa"/>
            <w:shd w:val="clear" w:color="auto" w:fill="auto"/>
            <w:vAlign w:val="center"/>
          </w:tcPr>
          <w:p w14:paraId="39BCDB9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BMI&gt;25</w:t>
            </w:r>
          </w:p>
        </w:tc>
        <w:tc>
          <w:tcPr>
            <w:tcW w:w="1847" w:type="dxa"/>
            <w:shd w:val="clear" w:color="auto" w:fill="auto"/>
            <w:vAlign w:val="center"/>
          </w:tcPr>
          <w:p w14:paraId="7436A2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37440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6C4A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30446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Lin et al. (2009)</w:t>
            </w:r>
          </w:p>
        </w:tc>
        <w:tc>
          <w:tcPr>
            <w:tcW w:w="2939" w:type="dxa"/>
            <w:shd w:val="clear" w:color="auto" w:fill="auto"/>
            <w:vAlign w:val="center"/>
          </w:tcPr>
          <w:p w14:paraId="7BC0B0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9518F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18902A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w:t>
            </w:r>
          </w:p>
        </w:tc>
        <w:tc>
          <w:tcPr>
            <w:tcW w:w="1978" w:type="dxa"/>
            <w:shd w:val="clear" w:color="auto" w:fill="auto"/>
            <w:vAlign w:val="center"/>
          </w:tcPr>
          <w:p w14:paraId="369422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6B9C1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6A287E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FC190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28</w:t>
            </w:r>
          </w:p>
        </w:tc>
        <w:tc>
          <w:tcPr>
            <w:tcW w:w="1639" w:type="dxa"/>
            <w:shd w:val="clear" w:color="auto" w:fill="auto"/>
            <w:vAlign w:val="center"/>
          </w:tcPr>
          <w:p w14:paraId="773B70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234</w:t>
            </w:r>
          </w:p>
        </w:tc>
        <w:tc>
          <w:tcPr>
            <w:tcW w:w="5721" w:type="dxa"/>
            <w:shd w:val="clear" w:color="auto" w:fill="auto"/>
            <w:vAlign w:val="center"/>
          </w:tcPr>
          <w:p w14:paraId="53393E5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A485C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AD9BE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7B206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D371B1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Monteiro et al. (2013)</w:t>
            </w:r>
          </w:p>
        </w:tc>
        <w:tc>
          <w:tcPr>
            <w:tcW w:w="2939" w:type="dxa"/>
            <w:shd w:val="clear" w:color="auto" w:fill="auto"/>
            <w:vAlign w:val="center"/>
          </w:tcPr>
          <w:p w14:paraId="2D2AE3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4F767E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451BCC4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w:t>
            </w:r>
          </w:p>
        </w:tc>
        <w:tc>
          <w:tcPr>
            <w:tcW w:w="1978" w:type="dxa"/>
            <w:shd w:val="clear" w:color="auto" w:fill="auto"/>
            <w:vAlign w:val="center"/>
          </w:tcPr>
          <w:p w14:paraId="4B13CB2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794306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5A038D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8AC4D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48</w:t>
            </w:r>
          </w:p>
        </w:tc>
        <w:tc>
          <w:tcPr>
            <w:tcW w:w="1639" w:type="dxa"/>
            <w:shd w:val="clear" w:color="auto" w:fill="auto"/>
            <w:vAlign w:val="center"/>
          </w:tcPr>
          <w:p w14:paraId="566305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190</w:t>
            </w:r>
          </w:p>
        </w:tc>
        <w:tc>
          <w:tcPr>
            <w:tcW w:w="5721" w:type="dxa"/>
            <w:shd w:val="clear" w:color="auto" w:fill="auto"/>
            <w:vAlign w:val="center"/>
          </w:tcPr>
          <w:p w14:paraId="7D340E0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EFE8E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8D3A2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FF3D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44FEE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Berna et al. (2017)</w:t>
            </w:r>
          </w:p>
        </w:tc>
        <w:tc>
          <w:tcPr>
            <w:tcW w:w="2939" w:type="dxa"/>
            <w:shd w:val="clear" w:color="auto" w:fill="auto"/>
            <w:vAlign w:val="center"/>
          </w:tcPr>
          <w:p w14:paraId="3DC999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8AAA7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Spain</w:t>
            </w:r>
          </w:p>
        </w:tc>
        <w:tc>
          <w:tcPr>
            <w:tcW w:w="1658" w:type="dxa"/>
            <w:shd w:val="clear" w:color="auto" w:fill="auto"/>
            <w:vAlign w:val="center"/>
          </w:tcPr>
          <w:p w14:paraId="5146F9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2013-2014</w:t>
            </w:r>
          </w:p>
        </w:tc>
        <w:tc>
          <w:tcPr>
            <w:tcW w:w="1978" w:type="dxa"/>
            <w:shd w:val="clear" w:color="auto" w:fill="auto"/>
            <w:vAlign w:val="center"/>
          </w:tcPr>
          <w:p w14:paraId="44BC3A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58FC7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5488C6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7C70E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50</w:t>
            </w:r>
          </w:p>
        </w:tc>
        <w:tc>
          <w:tcPr>
            <w:tcW w:w="1639" w:type="dxa"/>
            <w:shd w:val="clear" w:color="auto" w:fill="auto"/>
            <w:vAlign w:val="center"/>
          </w:tcPr>
          <w:p w14:paraId="0CF9AC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148</w:t>
            </w:r>
          </w:p>
        </w:tc>
        <w:tc>
          <w:tcPr>
            <w:tcW w:w="5721" w:type="dxa"/>
            <w:shd w:val="clear" w:color="auto" w:fill="auto"/>
            <w:vAlign w:val="center"/>
          </w:tcPr>
          <w:p w14:paraId="269D1B6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z-score &gt; 1</w:t>
            </w:r>
          </w:p>
        </w:tc>
        <w:tc>
          <w:tcPr>
            <w:tcW w:w="1847" w:type="dxa"/>
            <w:shd w:val="clear" w:color="auto" w:fill="auto"/>
            <w:vAlign w:val="center"/>
          </w:tcPr>
          <w:p w14:paraId="5869B1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2A015B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A3B5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982DC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Shashaj et al. (2014)</w:t>
            </w:r>
          </w:p>
        </w:tc>
        <w:tc>
          <w:tcPr>
            <w:tcW w:w="2939" w:type="dxa"/>
            <w:shd w:val="clear" w:color="auto" w:fill="auto"/>
            <w:vAlign w:val="center"/>
          </w:tcPr>
          <w:p w14:paraId="4A8B0E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188A0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704370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2011-2012</w:t>
            </w:r>
          </w:p>
        </w:tc>
        <w:tc>
          <w:tcPr>
            <w:tcW w:w="1978" w:type="dxa"/>
            <w:shd w:val="clear" w:color="auto" w:fill="auto"/>
            <w:vAlign w:val="center"/>
          </w:tcPr>
          <w:p w14:paraId="614135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450423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4ED28E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F7F6A2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68</w:t>
            </w:r>
          </w:p>
        </w:tc>
        <w:tc>
          <w:tcPr>
            <w:tcW w:w="1639" w:type="dxa"/>
            <w:shd w:val="clear" w:color="auto" w:fill="auto"/>
            <w:vAlign w:val="center"/>
          </w:tcPr>
          <w:p w14:paraId="0D264E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219</w:t>
            </w:r>
          </w:p>
        </w:tc>
        <w:tc>
          <w:tcPr>
            <w:tcW w:w="5721" w:type="dxa"/>
            <w:shd w:val="clear" w:color="auto" w:fill="auto"/>
            <w:vAlign w:val="center"/>
          </w:tcPr>
          <w:p w14:paraId="79ADDB9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changed from normal weight to overweight or obesity in the previous 12 months according to the International Obesity Task Force</w:t>
            </w:r>
          </w:p>
        </w:tc>
        <w:tc>
          <w:tcPr>
            <w:tcW w:w="1847" w:type="dxa"/>
            <w:shd w:val="clear" w:color="auto" w:fill="auto"/>
            <w:vAlign w:val="center"/>
          </w:tcPr>
          <w:p w14:paraId="156EE51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0165EA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9ED8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E4CCBF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Kao et al. (2009)</w:t>
            </w:r>
          </w:p>
        </w:tc>
        <w:tc>
          <w:tcPr>
            <w:tcW w:w="2939" w:type="dxa"/>
            <w:shd w:val="clear" w:color="auto" w:fill="auto"/>
            <w:vAlign w:val="center"/>
          </w:tcPr>
          <w:p w14:paraId="42AD618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14211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6E94B6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1999-2005</w:t>
            </w:r>
          </w:p>
        </w:tc>
        <w:tc>
          <w:tcPr>
            <w:tcW w:w="1978" w:type="dxa"/>
            <w:shd w:val="clear" w:color="auto" w:fill="auto"/>
            <w:vAlign w:val="center"/>
          </w:tcPr>
          <w:p w14:paraId="1DB339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777F9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25790C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B4ED0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30</w:t>
            </w:r>
          </w:p>
        </w:tc>
        <w:tc>
          <w:tcPr>
            <w:tcW w:w="1639" w:type="dxa"/>
            <w:shd w:val="clear" w:color="auto" w:fill="auto"/>
            <w:vAlign w:val="center"/>
          </w:tcPr>
          <w:p w14:paraId="6F46FB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35</w:t>
            </w:r>
          </w:p>
        </w:tc>
        <w:tc>
          <w:tcPr>
            <w:tcW w:w="5721" w:type="dxa"/>
            <w:shd w:val="clear" w:color="auto" w:fill="auto"/>
            <w:vAlign w:val="center"/>
          </w:tcPr>
          <w:p w14:paraId="725AED8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CDC’s BMI-for-age growth charts for girls and boys in the USA</w:t>
            </w:r>
          </w:p>
        </w:tc>
        <w:tc>
          <w:tcPr>
            <w:tcW w:w="1847" w:type="dxa"/>
            <w:shd w:val="clear" w:color="auto" w:fill="auto"/>
            <w:vAlign w:val="center"/>
          </w:tcPr>
          <w:p w14:paraId="206082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D169F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865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C1DF5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Zeng et al. (2023)</w:t>
            </w:r>
          </w:p>
        </w:tc>
        <w:tc>
          <w:tcPr>
            <w:tcW w:w="2939" w:type="dxa"/>
            <w:shd w:val="clear" w:color="auto" w:fill="auto"/>
            <w:vAlign w:val="center"/>
          </w:tcPr>
          <w:p w14:paraId="23C57F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61CBC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0B16D61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2012-2020</w:t>
            </w:r>
          </w:p>
        </w:tc>
        <w:tc>
          <w:tcPr>
            <w:tcW w:w="1978" w:type="dxa"/>
            <w:shd w:val="clear" w:color="auto" w:fill="auto"/>
            <w:vAlign w:val="center"/>
          </w:tcPr>
          <w:p w14:paraId="1980D0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2D737D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618A99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FibroScan</w:t>
            </w:r>
          </w:p>
        </w:tc>
        <w:tc>
          <w:tcPr>
            <w:tcW w:w="1300" w:type="dxa"/>
            <w:shd w:val="clear" w:color="auto" w:fill="auto"/>
            <w:vAlign w:val="center"/>
          </w:tcPr>
          <w:p w14:paraId="07396E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29</w:t>
            </w:r>
          </w:p>
        </w:tc>
        <w:tc>
          <w:tcPr>
            <w:tcW w:w="1639" w:type="dxa"/>
            <w:shd w:val="clear" w:color="auto" w:fill="auto"/>
            <w:vAlign w:val="center"/>
          </w:tcPr>
          <w:p w14:paraId="15E7B0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848</w:t>
            </w:r>
          </w:p>
        </w:tc>
        <w:tc>
          <w:tcPr>
            <w:tcW w:w="5721" w:type="dxa"/>
            <w:shd w:val="clear" w:color="auto" w:fill="auto"/>
            <w:vAlign w:val="center"/>
          </w:tcPr>
          <w:p w14:paraId="22A663B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0E175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MAFLD</w:t>
            </w:r>
          </w:p>
        </w:tc>
        <w:tc>
          <w:tcPr>
            <w:tcW w:w="1282" w:type="dxa"/>
            <w:shd w:val="clear" w:color="auto" w:fill="auto"/>
            <w:vAlign w:val="center"/>
          </w:tcPr>
          <w:p w14:paraId="0E98B8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ACA4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6CB84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 xml:space="preserve">de Groot et al. (2023) </w:t>
            </w:r>
          </w:p>
        </w:tc>
        <w:tc>
          <w:tcPr>
            <w:tcW w:w="2939" w:type="dxa"/>
            <w:shd w:val="clear" w:color="auto" w:fill="auto"/>
            <w:vAlign w:val="center"/>
          </w:tcPr>
          <w:p w14:paraId="6CA11A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793EFC1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Netherlands</w:t>
            </w:r>
          </w:p>
        </w:tc>
        <w:tc>
          <w:tcPr>
            <w:tcW w:w="1658" w:type="dxa"/>
            <w:shd w:val="clear" w:color="auto" w:fill="auto"/>
            <w:vAlign w:val="center"/>
          </w:tcPr>
          <w:p w14:paraId="4CEDA4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2001-2009</w:t>
            </w:r>
          </w:p>
        </w:tc>
        <w:tc>
          <w:tcPr>
            <w:tcW w:w="1978" w:type="dxa"/>
            <w:shd w:val="clear" w:color="auto" w:fill="auto"/>
            <w:vAlign w:val="center"/>
          </w:tcPr>
          <w:p w14:paraId="0DE341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1D63F1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772C08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5207B1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481</w:t>
            </w:r>
          </w:p>
        </w:tc>
        <w:tc>
          <w:tcPr>
            <w:tcW w:w="1639" w:type="dxa"/>
            <w:shd w:val="clear" w:color="auto" w:fill="auto"/>
            <w:vAlign w:val="center"/>
          </w:tcPr>
          <w:p w14:paraId="784936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1910</w:t>
            </w:r>
          </w:p>
        </w:tc>
        <w:tc>
          <w:tcPr>
            <w:tcW w:w="5721" w:type="dxa"/>
            <w:shd w:val="clear" w:color="auto" w:fill="auto"/>
            <w:vAlign w:val="center"/>
          </w:tcPr>
          <w:p w14:paraId="0EAB3C3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Z-score &gt;1</w:t>
            </w:r>
          </w:p>
        </w:tc>
        <w:tc>
          <w:tcPr>
            <w:tcW w:w="1847" w:type="dxa"/>
            <w:shd w:val="clear" w:color="auto" w:fill="auto"/>
            <w:vAlign w:val="center"/>
          </w:tcPr>
          <w:p w14:paraId="2E6EED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MAFLD</w:t>
            </w:r>
          </w:p>
        </w:tc>
        <w:tc>
          <w:tcPr>
            <w:tcW w:w="1282" w:type="dxa"/>
            <w:shd w:val="clear" w:color="auto" w:fill="auto"/>
            <w:vAlign w:val="center"/>
          </w:tcPr>
          <w:p w14:paraId="0CC1E0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3532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0A73E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Cohen et al. (2021)</w:t>
            </w:r>
          </w:p>
        </w:tc>
        <w:tc>
          <w:tcPr>
            <w:tcW w:w="2939" w:type="dxa"/>
            <w:shd w:val="clear" w:color="auto" w:fill="auto"/>
            <w:vAlign w:val="center"/>
          </w:tcPr>
          <w:p w14:paraId="5F145E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6AD023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05FCEA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2014-2018</w:t>
            </w:r>
          </w:p>
        </w:tc>
        <w:tc>
          <w:tcPr>
            <w:tcW w:w="1978" w:type="dxa"/>
            <w:shd w:val="clear" w:color="auto" w:fill="auto"/>
            <w:vAlign w:val="center"/>
          </w:tcPr>
          <w:p w14:paraId="29FF7A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21894C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Community</w:t>
            </w:r>
          </w:p>
        </w:tc>
        <w:tc>
          <w:tcPr>
            <w:tcW w:w="1653" w:type="dxa"/>
            <w:shd w:val="clear" w:color="auto" w:fill="auto"/>
            <w:vAlign w:val="center"/>
          </w:tcPr>
          <w:p w14:paraId="3B87C2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4BED33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w:t>
            </w:r>
          </w:p>
        </w:tc>
        <w:tc>
          <w:tcPr>
            <w:tcW w:w="1639" w:type="dxa"/>
            <w:shd w:val="clear" w:color="auto" w:fill="auto"/>
            <w:vAlign w:val="center"/>
          </w:tcPr>
          <w:p w14:paraId="3B56C4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37</w:t>
            </w:r>
          </w:p>
        </w:tc>
        <w:tc>
          <w:tcPr>
            <w:tcW w:w="5721" w:type="dxa"/>
            <w:shd w:val="clear" w:color="auto" w:fill="auto"/>
            <w:vAlign w:val="center"/>
          </w:tcPr>
          <w:p w14:paraId="4F873A9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 85th percentile</w:t>
            </w:r>
          </w:p>
        </w:tc>
        <w:tc>
          <w:tcPr>
            <w:tcW w:w="1847" w:type="dxa"/>
            <w:shd w:val="clear" w:color="auto" w:fill="auto"/>
            <w:vAlign w:val="center"/>
          </w:tcPr>
          <w:p w14:paraId="250DDC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2AD7D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578A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44986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Saha et al. (2022)</w:t>
            </w:r>
          </w:p>
        </w:tc>
        <w:tc>
          <w:tcPr>
            <w:tcW w:w="2939" w:type="dxa"/>
            <w:shd w:val="clear" w:color="auto" w:fill="auto"/>
            <w:vAlign w:val="center"/>
          </w:tcPr>
          <w:p w14:paraId="776F4A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1BA71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Bangladesh</w:t>
            </w:r>
          </w:p>
        </w:tc>
        <w:tc>
          <w:tcPr>
            <w:tcW w:w="1658" w:type="dxa"/>
            <w:shd w:val="clear" w:color="auto" w:fill="auto"/>
            <w:vAlign w:val="center"/>
          </w:tcPr>
          <w:p w14:paraId="1540E0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2019-2020</w:t>
            </w:r>
          </w:p>
        </w:tc>
        <w:tc>
          <w:tcPr>
            <w:tcW w:w="1978" w:type="dxa"/>
            <w:shd w:val="clear" w:color="auto" w:fill="auto"/>
            <w:vAlign w:val="center"/>
          </w:tcPr>
          <w:p w14:paraId="539770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F37DA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29F04F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CF7CC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29</w:t>
            </w:r>
          </w:p>
        </w:tc>
        <w:tc>
          <w:tcPr>
            <w:tcW w:w="1639" w:type="dxa"/>
            <w:shd w:val="clear" w:color="auto" w:fill="auto"/>
            <w:vAlign w:val="center"/>
          </w:tcPr>
          <w:p w14:paraId="1152A1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92</w:t>
            </w:r>
          </w:p>
        </w:tc>
        <w:tc>
          <w:tcPr>
            <w:tcW w:w="5721" w:type="dxa"/>
            <w:shd w:val="clear" w:color="auto" w:fill="auto"/>
            <w:vAlign w:val="center"/>
          </w:tcPr>
          <w:p w14:paraId="10A20DD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 85th percentile</w:t>
            </w:r>
          </w:p>
        </w:tc>
        <w:tc>
          <w:tcPr>
            <w:tcW w:w="1847" w:type="dxa"/>
            <w:shd w:val="clear" w:color="auto" w:fill="auto"/>
            <w:vAlign w:val="center"/>
          </w:tcPr>
          <w:p w14:paraId="1B1DF1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A8FE2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E015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F283C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Akcam et al. (2013)</w:t>
            </w:r>
          </w:p>
        </w:tc>
        <w:tc>
          <w:tcPr>
            <w:tcW w:w="2939" w:type="dxa"/>
            <w:shd w:val="clear" w:color="auto" w:fill="auto"/>
            <w:vAlign w:val="center"/>
          </w:tcPr>
          <w:p w14:paraId="06F415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3C14B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3B529F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2010-2011</w:t>
            </w:r>
          </w:p>
        </w:tc>
        <w:tc>
          <w:tcPr>
            <w:tcW w:w="1978" w:type="dxa"/>
            <w:shd w:val="clear" w:color="auto" w:fill="auto"/>
            <w:vAlign w:val="center"/>
          </w:tcPr>
          <w:p w14:paraId="284FB0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57839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FB358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E4446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157</w:t>
            </w:r>
          </w:p>
        </w:tc>
        <w:tc>
          <w:tcPr>
            <w:tcW w:w="1639" w:type="dxa"/>
            <w:shd w:val="clear" w:color="auto" w:fill="auto"/>
            <w:vAlign w:val="center"/>
          </w:tcPr>
          <w:p w14:paraId="23830C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544</w:t>
            </w:r>
          </w:p>
        </w:tc>
        <w:tc>
          <w:tcPr>
            <w:tcW w:w="5721" w:type="dxa"/>
            <w:shd w:val="clear" w:color="auto" w:fill="auto"/>
            <w:vAlign w:val="center"/>
          </w:tcPr>
          <w:p w14:paraId="0484F05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501BB7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CF161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790B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5CC754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Alp et al. (2013)</w:t>
            </w:r>
          </w:p>
        </w:tc>
        <w:tc>
          <w:tcPr>
            <w:tcW w:w="2939" w:type="dxa"/>
            <w:shd w:val="clear" w:color="auto" w:fill="auto"/>
            <w:vAlign w:val="center"/>
          </w:tcPr>
          <w:p w14:paraId="4E591B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00452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2E78F0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w:t>
            </w:r>
          </w:p>
        </w:tc>
        <w:tc>
          <w:tcPr>
            <w:tcW w:w="1978" w:type="dxa"/>
            <w:shd w:val="clear" w:color="auto" w:fill="auto"/>
            <w:vAlign w:val="center"/>
          </w:tcPr>
          <w:p w14:paraId="545755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0D03D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93087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F1E248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45</w:t>
            </w:r>
          </w:p>
        </w:tc>
        <w:tc>
          <w:tcPr>
            <w:tcW w:w="1639" w:type="dxa"/>
            <w:shd w:val="clear" w:color="auto" w:fill="auto"/>
            <w:vAlign w:val="center"/>
          </w:tcPr>
          <w:p w14:paraId="66A50A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267</w:t>
            </w:r>
          </w:p>
        </w:tc>
        <w:tc>
          <w:tcPr>
            <w:tcW w:w="5721" w:type="dxa"/>
            <w:shd w:val="clear" w:color="auto" w:fill="auto"/>
            <w:vAlign w:val="center"/>
          </w:tcPr>
          <w:p w14:paraId="1B61A0A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F7197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DFDCE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4F805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1B8829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Arenaza et al. (2019)</w:t>
            </w:r>
          </w:p>
        </w:tc>
        <w:tc>
          <w:tcPr>
            <w:tcW w:w="2939" w:type="dxa"/>
            <w:shd w:val="clear" w:color="auto" w:fill="auto"/>
            <w:vAlign w:val="center"/>
          </w:tcPr>
          <w:p w14:paraId="6227BF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47E97E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Spain</w:t>
            </w:r>
          </w:p>
        </w:tc>
        <w:tc>
          <w:tcPr>
            <w:tcW w:w="1658" w:type="dxa"/>
            <w:shd w:val="clear" w:color="auto" w:fill="auto"/>
            <w:vAlign w:val="center"/>
          </w:tcPr>
          <w:p w14:paraId="63664F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w:t>
            </w:r>
          </w:p>
        </w:tc>
        <w:tc>
          <w:tcPr>
            <w:tcW w:w="1978" w:type="dxa"/>
            <w:shd w:val="clear" w:color="auto" w:fill="auto"/>
            <w:vAlign w:val="center"/>
          </w:tcPr>
          <w:p w14:paraId="583209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1C2652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013D4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D7DD0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w:t>
            </w:r>
          </w:p>
        </w:tc>
        <w:tc>
          <w:tcPr>
            <w:tcW w:w="1639" w:type="dxa"/>
            <w:shd w:val="clear" w:color="auto" w:fill="auto"/>
            <w:vAlign w:val="center"/>
          </w:tcPr>
          <w:p w14:paraId="625AC7D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42</w:t>
            </w:r>
          </w:p>
        </w:tc>
        <w:tc>
          <w:tcPr>
            <w:tcW w:w="5721" w:type="dxa"/>
            <w:shd w:val="clear" w:color="auto" w:fill="auto"/>
            <w:vAlign w:val="center"/>
          </w:tcPr>
          <w:p w14:paraId="3F17A17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overweight or obesity according to World Obesity Federation criteria</w:t>
            </w:r>
          </w:p>
        </w:tc>
        <w:tc>
          <w:tcPr>
            <w:tcW w:w="1847" w:type="dxa"/>
            <w:shd w:val="clear" w:color="auto" w:fill="auto"/>
            <w:vAlign w:val="center"/>
          </w:tcPr>
          <w:p w14:paraId="3BCB83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E42B2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6C62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00F451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Arslan et al. (2005)</w:t>
            </w:r>
          </w:p>
        </w:tc>
        <w:tc>
          <w:tcPr>
            <w:tcW w:w="2939" w:type="dxa"/>
            <w:shd w:val="clear" w:color="auto" w:fill="auto"/>
            <w:vAlign w:val="center"/>
          </w:tcPr>
          <w:p w14:paraId="2633D7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16EDF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57B1D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2005</w:t>
            </w:r>
          </w:p>
        </w:tc>
        <w:tc>
          <w:tcPr>
            <w:tcW w:w="1978" w:type="dxa"/>
            <w:shd w:val="clear" w:color="auto" w:fill="auto"/>
            <w:vAlign w:val="center"/>
          </w:tcPr>
          <w:p w14:paraId="410795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F57D28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9D9AB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9BC8A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123</w:t>
            </w:r>
          </w:p>
        </w:tc>
        <w:tc>
          <w:tcPr>
            <w:tcW w:w="1639" w:type="dxa"/>
            <w:shd w:val="clear" w:color="auto" w:fill="auto"/>
            <w:vAlign w:val="center"/>
          </w:tcPr>
          <w:p w14:paraId="43E3B6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198</w:t>
            </w:r>
          </w:p>
        </w:tc>
        <w:tc>
          <w:tcPr>
            <w:tcW w:w="5721" w:type="dxa"/>
            <w:shd w:val="clear" w:color="auto" w:fill="auto"/>
            <w:vAlign w:val="center"/>
          </w:tcPr>
          <w:p w14:paraId="293ECC4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of age- and sex matched children in the 50th percentile, then multiplied by 100. The ratio above 120 as obesity</w:t>
            </w:r>
          </w:p>
        </w:tc>
        <w:tc>
          <w:tcPr>
            <w:tcW w:w="1847" w:type="dxa"/>
            <w:shd w:val="clear" w:color="auto" w:fill="auto"/>
            <w:vAlign w:val="center"/>
          </w:tcPr>
          <w:p w14:paraId="2F1053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50478D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3BA5F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95938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Boyraz et al. (2013)</w:t>
            </w:r>
          </w:p>
        </w:tc>
        <w:tc>
          <w:tcPr>
            <w:tcW w:w="2939" w:type="dxa"/>
            <w:shd w:val="clear" w:color="auto" w:fill="auto"/>
            <w:vAlign w:val="center"/>
          </w:tcPr>
          <w:p w14:paraId="4970BD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01F12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3E663B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2008-2012</w:t>
            </w:r>
          </w:p>
        </w:tc>
        <w:tc>
          <w:tcPr>
            <w:tcW w:w="1978" w:type="dxa"/>
            <w:shd w:val="clear" w:color="auto" w:fill="auto"/>
            <w:vAlign w:val="center"/>
          </w:tcPr>
          <w:p w14:paraId="54F6EA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DCC4B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312BE9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7600091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64</w:t>
            </w:r>
          </w:p>
        </w:tc>
        <w:tc>
          <w:tcPr>
            <w:tcW w:w="1639" w:type="dxa"/>
            <w:shd w:val="clear" w:color="auto" w:fill="auto"/>
            <w:vAlign w:val="center"/>
          </w:tcPr>
          <w:p w14:paraId="3229632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548</w:t>
            </w:r>
          </w:p>
        </w:tc>
        <w:tc>
          <w:tcPr>
            <w:tcW w:w="5721" w:type="dxa"/>
            <w:shd w:val="clear" w:color="auto" w:fill="auto"/>
            <w:vAlign w:val="center"/>
          </w:tcPr>
          <w:p w14:paraId="2748261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65A8A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33D5C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70FB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80C85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Fu et al. (2011)</w:t>
            </w:r>
          </w:p>
        </w:tc>
        <w:tc>
          <w:tcPr>
            <w:tcW w:w="2939" w:type="dxa"/>
            <w:shd w:val="clear" w:color="auto" w:fill="auto"/>
            <w:vAlign w:val="center"/>
          </w:tcPr>
          <w:p w14:paraId="168314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33162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58B003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2004-2009</w:t>
            </w:r>
          </w:p>
        </w:tc>
        <w:tc>
          <w:tcPr>
            <w:tcW w:w="1978" w:type="dxa"/>
            <w:shd w:val="clear" w:color="auto" w:fill="auto"/>
            <w:vAlign w:val="center"/>
          </w:tcPr>
          <w:p w14:paraId="6CA6A5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0CC281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4A66F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502B5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104</w:t>
            </w:r>
          </w:p>
        </w:tc>
        <w:tc>
          <w:tcPr>
            <w:tcW w:w="1639" w:type="dxa"/>
            <w:shd w:val="clear" w:color="auto" w:fill="auto"/>
            <w:vAlign w:val="center"/>
          </w:tcPr>
          <w:p w14:paraId="50FB91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145</w:t>
            </w:r>
          </w:p>
        </w:tc>
        <w:tc>
          <w:tcPr>
            <w:tcW w:w="5721" w:type="dxa"/>
            <w:shd w:val="clear" w:color="auto" w:fill="auto"/>
            <w:vAlign w:val="center"/>
          </w:tcPr>
          <w:p w14:paraId="674BEC6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926F8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0EEAF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9C5F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5952E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Atabek et al. (2014)</w:t>
            </w:r>
          </w:p>
        </w:tc>
        <w:tc>
          <w:tcPr>
            <w:tcW w:w="2939" w:type="dxa"/>
            <w:shd w:val="clear" w:color="auto" w:fill="auto"/>
            <w:vAlign w:val="center"/>
          </w:tcPr>
          <w:p w14:paraId="56E980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B6041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26CB0A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2014</w:t>
            </w:r>
          </w:p>
        </w:tc>
        <w:tc>
          <w:tcPr>
            <w:tcW w:w="1978" w:type="dxa"/>
            <w:shd w:val="clear" w:color="auto" w:fill="auto"/>
            <w:vAlign w:val="center"/>
          </w:tcPr>
          <w:p w14:paraId="3A0650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D120E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BA46D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99094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71</w:t>
            </w:r>
          </w:p>
        </w:tc>
        <w:tc>
          <w:tcPr>
            <w:tcW w:w="1639" w:type="dxa"/>
            <w:shd w:val="clear" w:color="auto" w:fill="auto"/>
            <w:vAlign w:val="center"/>
          </w:tcPr>
          <w:p w14:paraId="4ED09F6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122</w:t>
            </w:r>
          </w:p>
        </w:tc>
        <w:tc>
          <w:tcPr>
            <w:tcW w:w="5721" w:type="dxa"/>
            <w:shd w:val="clear" w:color="auto" w:fill="auto"/>
            <w:vAlign w:val="center"/>
          </w:tcPr>
          <w:p w14:paraId="45B07E6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0AAE9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ECEAD8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EE4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15C49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Bedogni et al. (2012)</w:t>
            </w:r>
          </w:p>
        </w:tc>
        <w:tc>
          <w:tcPr>
            <w:tcW w:w="2939" w:type="dxa"/>
            <w:shd w:val="clear" w:color="auto" w:fill="auto"/>
            <w:vAlign w:val="center"/>
          </w:tcPr>
          <w:p w14:paraId="189728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7EF41E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086B3C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2007-2009</w:t>
            </w:r>
          </w:p>
        </w:tc>
        <w:tc>
          <w:tcPr>
            <w:tcW w:w="1978" w:type="dxa"/>
            <w:shd w:val="clear" w:color="auto" w:fill="auto"/>
            <w:vAlign w:val="center"/>
          </w:tcPr>
          <w:p w14:paraId="006F275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6D1B9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A097A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C1D50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132</w:t>
            </w:r>
          </w:p>
        </w:tc>
        <w:tc>
          <w:tcPr>
            <w:tcW w:w="1639" w:type="dxa"/>
            <w:shd w:val="clear" w:color="auto" w:fill="auto"/>
            <w:vAlign w:val="center"/>
          </w:tcPr>
          <w:p w14:paraId="00DFA6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150</w:t>
            </w:r>
          </w:p>
        </w:tc>
        <w:tc>
          <w:tcPr>
            <w:tcW w:w="5721" w:type="dxa"/>
            <w:shd w:val="clear" w:color="auto" w:fill="auto"/>
            <w:vAlign w:val="center"/>
          </w:tcPr>
          <w:p w14:paraId="76A8CD5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3A1307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ABCE1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E02C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93924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Belei et al. (2017)</w:t>
            </w:r>
          </w:p>
        </w:tc>
        <w:tc>
          <w:tcPr>
            <w:tcW w:w="2939" w:type="dxa"/>
            <w:shd w:val="clear" w:color="auto" w:fill="auto"/>
            <w:vAlign w:val="center"/>
          </w:tcPr>
          <w:p w14:paraId="221B50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75FEEB1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Romania</w:t>
            </w:r>
          </w:p>
        </w:tc>
        <w:tc>
          <w:tcPr>
            <w:tcW w:w="1658" w:type="dxa"/>
            <w:shd w:val="clear" w:color="auto" w:fill="auto"/>
            <w:vAlign w:val="center"/>
          </w:tcPr>
          <w:p w14:paraId="159687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2015-2017</w:t>
            </w:r>
          </w:p>
        </w:tc>
        <w:tc>
          <w:tcPr>
            <w:tcW w:w="1978" w:type="dxa"/>
            <w:shd w:val="clear" w:color="auto" w:fill="auto"/>
            <w:vAlign w:val="center"/>
          </w:tcPr>
          <w:p w14:paraId="3F26AA5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AD087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BB359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C80C0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35</w:t>
            </w:r>
          </w:p>
        </w:tc>
        <w:tc>
          <w:tcPr>
            <w:tcW w:w="1639" w:type="dxa"/>
            <w:shd w:val="clear" w:color="auto" w:fill="auto"/>
            <w:vAlign w:val="center"/>
          </w:tcPr>
          <w:p w14:paraId="2C27CD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197</w:t>
            </w:r>
          </w:p>
        </w:tc>
        <w:tc>
          <w:tcPr>
            <w:tcW w:w="5721" w:type="dxa"/>
            <w:shd w:val="clear" w:color="auto" w:fill="auto"/>
            <w:vAlign w:val="center"/>
          </w:tcPr>
          <w:p w14:paraId="0B5E91D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8DC10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A0973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AD64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CCB4D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Benetolo et al. (2018)</w:t>
            </w:r>
          </w:p>
        </w:tc>
        <w:tc>
          <w:tcPr>
            <w:tcW w:w="2939" w:type="dxa"/>
            <w:shd w:val="clear" w:color="auto" w:fill="auto"/>
            <w:vAlign w:val="center"/>
          </w:tcPr>
          <w:p w14:paraId="542AC0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5F51AB1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4DA1D6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2014-2016</w:t>
            </w:r>
          </w:p>
        </w:tc>
        <w:tc>
          <w:tcPr>
            <w:tcW w:w="1978" w:type="dxa"/>
            <w:shd w:val="clear" w:color="auto" w:fill="auto"/>
            <w:vAlign w:val="center"/>
          </w:tcPr>
          <w:p w14:paraId="049E07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837D6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1DB93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2326B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182</w:t>
            </w:r>
          </w:p>
        </w:tc>
        <w:tc>
          <w:tcPr>
            <w:tcW w:w="1639" w:type="dxa"/>
            <w:shd w:val="clear" w:color="auto" w:fill="auto"/>
            <w:vAlign w:val="center"/>
          </w:tcPr>
          <w:p w14:paraId="1787D2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781</w:t>
            </w:r>
          </w:p>
        </w:tc>
        <w:tc>
          <w:tcPr>
            <w:tcW w:w="5721" w:type="dxa"/>
            <w:shd w:val="clear" w:color="auto" w:fill="auto"/>
            <w:vAlign w:val="center"/>
          </w:tcPr>
          <w:p w14:paraId="59407CA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F37AA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95F6C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4972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4EC45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Burgert et al. (2006)</w:t>
            </w:r>
          </w:p>
        </w:tc>
        <w:tc>
          <w:tcPr>
            <w:tcW w:w="2939" w:type="dxa"/>
            <w:shd w:val="clear" w:color="auto" w:fill="auto"/>
            <w:vAlign w:val="center"/>
          </w:tcPr>
          <w:p w14:paraId="7D984D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770E01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1A1E54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w:t>
            </w:r>
          </w:p>
        </w:tc>
        <w:tc>
          <w:tcPr>
            <w:tcW w:w="1978" w:type="dxa"/>
            <w:shd w:val="clear" w:color="auto" w:fill="auto"/>
            <w:vAlign w:val="center"/>
          </w:tcPr>
          <w:p w14:paraId="1E7FE1F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33E07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41E4B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AC0750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w:t>
            </w:r>
          </w:p>
        </w:tc>
        <w:tc>
          <w:tcPr>
            <w:tcW w:w="1639" w:type="dxa"/>
            <w:shd w:val="clear" w:color="auto" w:fill="auto"/>
            <w:vAlign w:val="center"/>
          </w:tcPr>
          <w:p w14:paraId="6B659F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138</w:t>
            </w:r>
          </w:p>
        </w:tc>
        <w:tc>
          <w:tcPr>
            <w:tcW w:w="5721" w:type="dxa"/>
            <w:shd w:val="clear" w:color="auto" w:fill="auto"/>
            <w:vAlign w:val="center"/>
          </w:tcPr>
          <w:p w14:paraId="30B0F33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BMI&gt;18</w:t>
            </w:r>
          </w:p>
        </w:tc>
        <w:tc>
          <w:tcPr>
            <w:tcW w:w="1847" w:type="dxa"/>
            <w:shd w:val="clear" w:color="auto" w:fill="auto"/>
            <w:vAlign w:val="center"/>
          </w:tcPr>
          <w:p w14:paraId="0308E70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467AB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9E0D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E5117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Cardoso et al. (2013)</w:t>
            </w:r>
          </w:p>
        </w:tc>
        <w:tc>
          <w:tcPr>
            <w:tcW w:w="2939" w:type="dxa"/>
            <w:shd w:val="clear" w:color="auto" w:fill="auto"/>
            <w:vAlign w:val="center"/>
          </w:tcPr>
          <w:p w14:paraId="3EF948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5A642F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3CF4E9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2009-2010</w:t>
            </w:r>
          </w:p>
        </w:tc>
        <w:tc>
          <w:tcPr>
            <w:tcW w:w="1978" w:type="dxa"/>
            <w:shd w:val="clear" w:color="auto" w:fill="auto"/>
            <w:vAlign w:val="center"/>
          </w:tcPr>
          <w:p w14:paraId="56C43F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97BCF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3229A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08A72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45</w:t>
            </w:r>
          </w:p>
        </w:tc>
        <w:tc>
          <w:tcPr>
            <w:tcW w:w="1639" w:type="dxa"/>
            <w:shd w:val="clear" w:color="auto" w:fill="auto"/>
            <w:vAlign w:val="center"/>
          </w:tcPr>
          <w:p w14:paraId="437911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145</w:t>
            </w:r>
          </w:p>
        </w:tc>
        <w:tc>
          <w:tcPr>
            <w:tcW w:w="5721" w:type="dxa"/>
            <w:shd w:val="clear" w:color="auto" w:fill="auto"/>
            <w:vAlign w:val="center"/>
          </w:tcPr>
          <w:p w14:paraId="1A17BC4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BMI&gt;Z score+2</w:t>
            </w:r>
          </w:p>
        </w:tc>
        <w:tc>
          <w:tcPr>
            <w:tcW w:w="1847" w:type="dxa"/>
            <w:shd w:val="clear" w:color="auto" w:fill="auto"/>
            <w:vAlign w:val="center"/>
          </w:tcPr>
          <w:p w14:paraId="11FD152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9B49D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31996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2B1ED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Chan et al. (2004)</w:t>
            </w:r>
          </w:p>
        </w:tc>
        <w:tc>
          <w:tcPr>
            <w:tcW w:w="2939" w:type="dxa"/>
            <w:shd w:val="clear" w:color="auto" w:fill="auto"/>
            <w:vAlign w:val="center"/>
          </w:tcPr>
          <w:p w14:paraId="74972E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8D0C4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Hong Kong</w:t>
            </w:r>
          </w:p>
        </w:tc>
        <w:tc>
          <w:tcPr>
            <w:tcW w:w="1658" w:type="dxa"/>
            <w:shd w:val="clear" w:color="auto" w:fill="auto"/>
            <w:vAlign w:val="center"/>
          </w:tcPr>
          <w:p w14:paraId="1C71AE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2000-2002</w:t>
            </w:r>
          </w:p>
        </w:tc>
        <w:tc>
          <w:tcPr>
            <w:tcW w:w="1978" w:type="dxa"/>
            <w:shd w:val="clear" w:color="auto" w:fill="auto"/>
            <w:vAlign w:val="center"/>
          </w:tcPr>
          <w:p w14:paraId="1F7484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055C22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0B811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B0CF6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108</w:t>
            </w:r>
          </w:p>
        </w:tc>
        <w:tc>
          <w:tcPr>
            <w:tcW w:w="1639" w:type="dxa"/>
            <w:shd w:val="clear" w:color="auto" w:fill="auto"/>
            <w:vAlign w:val="center"/>
          </w:tcPr>
          <w:p w14:paraId="3A816A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202</w:t>
            </w:r>
          </w:p>
        </w:tc>
        <w:tc>
          <w:tcPr>
            <w:tcW w:w="5721" w:type="dxa"/>
            <w:shd w:val="clear" w:color="auto" w:fill="auto"/>
            <w:vAlign w:val="center"/>
          </w:tcPr>
          <w:p w14:paraId="602F9CB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7F654B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AE9A5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738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072375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Daar et al. (2015)</w:t>
            </w:r>
          </w:p>
        </w:tc>
        <w:tc>
          <w:tcPr>
            <w:tcW w:w="2939" w:type="dxa"/>
            <w:shd w:val="clear" w:color="auto" w:fill="auto"/>
            <w:vAlign w:val="center"/>
          </w:tcPr>
          <w:p w14:paraId="354337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C8A22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603014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2013-2014</w:t>
            </w:r>
          </w:p>
        </w:tc>
        <w:tc>
          <w:tcPr>
            <w:tcW w:w="1978" w:type="dxa"/>
            <w:shd w:val="clear" w:color="auto" w:fill="auto"/>
            <w:vAlign w:val="center"/>
          </w:tcPr>
          <w:p w14:paraId="5556EA3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47145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087A2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402EA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w:t>
            </w:r>
          </w:p>
        </w:tc>
        <w:tc>
          <w:tcPr>
            <w:tcW w:w="1639" w:type="dxa"/>
            <w:shd w:val="clear" w:color="auto" w:fill="auto"/>
            <w:vAlign w:val="center"/>
          </w:tcPr>
          <w:p w14:paraId="3A68F1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89</w:t>
            </w:r>
          </w:p>
        </w:tc>
        <w:tc>
          <w:tcPr>
            <w:tcW w:w="5721" w:type="dxa"/>
            <w:shd w:val="clear" w:color="auto" w:fill="auto"/>
            <w:vAlign w:val="center"/>
          </w:tcPr>
          <w:p w14:paraId="62415D5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Two standard deviations above the mean BMI for age and sex</w:t>
            </w:r>
          </w:p>
        </w:tc>
        <w:tc>
          <w:tcPr>
            <w:tcW w:w="1847" w:type="dxa"/>
            <w:shd w:val="clear" w:color="auto" w:fill="auto"/>
            <w:vAlign w:val="center"/>
          </w:tcPr>
          <w:p w14:paraId="0F589E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6BADBB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713F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C6C82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Das et al. (2017)</w:t>
            </w:r>
          </w:p>
        </w:tc>
        <w:tc>
          <w:tcPr>
            <w:tcW w:w="2939" w:type="dxa"/>
            <w:shd w:val="clear" w:color="auto" w:fill="auto"/>
            <w:vAlign w:val="center"/>
          </w:tcPr>
          <w:p w14:paraId="25B27B0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2D9F4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India</w:t>
            </w:r>
          </w:p>
        </w:tc>
        <w:tc>
          <w:tcPr>
            <w:tcW w:w="1658" w:type="dxa"/>
            <w:shd w:val="clear" w:color="auto" w:fill="auto"/>
            <w:vAlign w:val="center"/>
          </w:tcPr>
          <w:p w14:paraId="546E5F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w:t>
            </w:r>
          </w:p>
        </w:tc>
        <w:tc>
          <w:tcPr>
            <w:tcW w:w="1978" w:type="dxa"/>
            <w:shd w:val="clear" w:color="auto" w:fill="auto"/>
            <w:vAlign w:val="center"/>
          </w:tcPr>
          <w:p w14:paraId="444E04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7D41D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D6532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90111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c>
          <w:tcPr>
            <w:tcW w:w="1639" w:type="dxa"/>
            <w:shd w:val="clear" w:color="auto" w:fill="auto"/>
            <w:vAlign w:val="center"/>
          </w:tcPr>
          <w:p w14:paraId="151DE7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67</w:t>
            </w:r>
          </w:p>
        </w:tc>
        <w:tc>
          <w:tcPr>
            <w:tcW w:w="5721" w:type="dxa"/>
            <w:shd w:val="clear" w:color="auto" w:fill="auto"/>
            <w:vAlign w:val="center"/>
          </w:tcPr>
          <w:p w14:paraId="5E9CF68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BMI&gt;18.5</w:t>
            </w:r>
          </w:p>
        </w:tc>
        <w:tc>
          <w:tcPr>
            <w:tcW w:w="1847" w:type="dxa"/>
            <w:shd w:val="clear" w:color="auto" w:fill="auto"/>
            <w:vAlign w:val="center"/>
          </w:tcPr>
          <w:p w14:paraId="194AD0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39491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C8D1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F6F66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Zusi et al. (2019)</w:t>
            </w:r>
          </w:p>
        </w:tc>
        <w:tc>
          <w:tcPr>
            <w:tcW w:w="2939" w:type="dxa"/>
            <w:shd w:val="clear" w:color="auto" w:fill="auto"/>
            <w:vAlign w:val="center"/>
          </w:tcPr>
          <w:p w14:paraId="6DCCE9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204447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5BC1C9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7F9A88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4A511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2D954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39154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w:t>
            </w:r>
          </w:p>
        </w:tc>
        <w:tc>
          <w:tcPr>
            <w:tcW w:w="1639" w:type="dxa"/>
            <w:shd w:val="clear" w:color="auto" w:fill="auto"/>
            <w:vAlign w:val="center"/>
          </w:tcPr>
          <w:p w14:paraId="778635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90</w:t>
            </w:r>
          </w:p>
        </w:tc>
        <w:tc>
          <w:tcPr>
            <w:tcW w:w="5721" w:type="dxa"/>
            <w:shd w:val="clear" w:color="auto" w:fill="auto"/>
            <w:vAlign w:val="center"/>
          </w:tcPr>
          <w:p w14:paraId="6056CB9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0B18A2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9BF2C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A7E7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3B4A3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Costanzo et al. (2019)</w:t>
            </w:r>
          </w:p>
        </w:tc>
        <w:tc>
          <w:tcPr>
            <w:tcW w:w="2939" w:type="dxa"/>
            <w:shd w:val="clear" w:color="auto" w:fill="auto"/>
            <w:vAlign w:val="center"/>
          </w:tcPr>
          <w:p w14:paraId="3AA182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1E66F2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0B88C8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6EA738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92B9B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FE592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67DDE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92</w:t>
            </w:r>
          </w:p>
        </w:tc>
        <w:tc>
          <w:tcPr>
            <w:tcW w:w="1639" w:type="dxa"/>
            <w:shd w:val="clear" w:color="auto" w:fill="auto"/>
            <w:vAlign w:val="center"/>
          </w:tcPr>
          <w:p w14:paraId="4776A8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225</w:t>
            </w:r>
          </w:p>
        </w:tc>
        <w:tc>
          <w:tcPr>
            <w:tcW w:w="5721" w:type="dxa"/>
            <w:shd w:val="clear" w:color="auto" w:fill="auto"/>
            <w:vAlign w:val="center"/>
          </w:tcPr>
          <w:p w14:paraId="5BD041D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3653FC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C412D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E42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AB4C8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Dursun et al. (2019)</w:t>
            </w:r>
          </w:p>
        </w:tc>
        <w:tc>
          <w:tcPr>
            <w:tcW w:w="2939" w:type="dxa"/>
            <w:shd w:val="clear" w:color="auto" w:fill="auto"/>
            <w:vAlign w:val="center"/>
          </w:tcPr>
          <w:p w14:paraId="7DCE3C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F9D2E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60734A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0CB943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1B4EF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B4E63E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7C7764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97</w:t>
            </w:r>
          </w:p>
        </w:tc>
        <w:tc>
          <w:tcPr>
            <w:tcW w:w="1639" w:type="dxa"/>
            <w:shd w:val="clear" w:color="auto" w:fill="auto"/>
            <w:vAlign w:val="center"/>
          </w:tcPr>
          <w:p w14:paraId="4B6704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223</w:t>
            </w:r>
          </w:p>
        </w:tc>
        <w:tc>
          <w:tcPr>
            <w:tcW w:w="5721" w:type="dxa"/>
            <w:shd w:val="clear" w:color="auto" w:fill="auto"/>
            <w:vAlign w:val="center"/>
          </w:tcPr>
          <w:p w14:paraId="5D0E115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BMI&gt;25</w:t>
            </w:r>
          </w:p>
        </w:tc>
        <w:tc>
          <w:tcPr>
            <w:tcW w:w="1847" w:type="dxa"/>
            <w:shd w:val="clear" w:color="auto" w:fill="auto"/>
            <w:vAlign w:val="center"/>
          </w:tcPr>
          <w:p w14:paraId="2678BD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05CC76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430D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114F6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Karaksy et al. (2011)</w:t>
            </w:r>
          </w:p>
        </w:tc>
        <w:tc>
          <w:tcPr>
            <w:tcW w:w="2939" w:type="dxa"/>
            <w:shd w:val="clear" w:color="auto" w:fill="auto"/>
            <w:vAlign w:val="center"/>
          </w:tcPr>
          <w:p w14:paraId="42B5E9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Africa</w:t>
            </w:r>
          </w:p>
        </w:tc>
        <w:tc>
          <w:tcPr>
            <w:tcW w:w="3345" w:type="dxa"/>
            <w:shd w:val="clear" w:color="auto" w:fill="auto"/>
            <w:vAlign w:val="center"/>
          </w:tcPr>
          <w:p w14:paraId="56A0F2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Egypt</w:t>
            </w:r>
          </w:p>
        </w:tc>
        <w:tc>
          <w:tcPr>
            <w:tcW w:w="1658" w:type="dxa"/>
            <w:shd w:val="clear" w:color="auto" w:fill="auto"/>
            <w:vAlign w:val="center"/>
          </w:tcPr>
          <w:p w14:paraId="3B37BE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w:t>
            </w:r>
          </w:p>
        </w:tc>
        <w:tc>
          <w:tcPr>
            <w:tcW w:w="1978" w:type="dxa"/>
            <w:shd w:val="clear" w:color="auto" w:fill="auto"/>
            <w:vAlign w:val="center"/>
          </w:tcPr>
          <w:p w14:paraId="10A8E4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FC255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292A31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2388B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241</w:t>
            </w:r>
          </w:p>
        </w:tc>
        <w:tc>
          <w:tcPr>
            <w:tcW w:w="1639" w:type="dxa"/>
            <w:shd w:val="clear" w:color="auto" w:fill="auto"/>
            <w:vAlign w:val="center"/>
          </w:tcPr>
          <w:p w14:paraId="1BC700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569</w:t>
            </w:r>
          </w:p>
        </w:tc>
        <w:tc>
          <w:tcPr>
            <w:tcW w:w="5721" w:type="dxa"/>
            <w:shd w:val="clear" w:color="auto" w:fill="auto"/>
            <w:vAlign w:val="center"/>
          </w:tcPr>
          <w:p w14:paraId="5F9DA7C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A3686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B3314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3270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29E6E7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Eminoglu et al. (2008)</w:t>
            </w:r>
          </w:p>
        </w:tc>
        <w:tc>
          <w:tcPr>
            <w:tcW w:w="2939" w:type="dxa"/>
            <w:shd w:val="clear" w:color="auto" w:fill="auto"/>
            <w:vAlign w:val="center"/>
          </w:tcPr>
          <w:p w14:paraId="17BD88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314C4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DEBC5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2003-2005</w:t>
            </w:r>
          </w:p>
        </w:tc>
        <w:tc>
          <w:tcPr>
            <w:tcW w:w="1978" w:type="dxa"/>
            <w:shd w:val="clear" w:color="auto" w:fill="auto"/>
            <w:vAlign w:val="center"/>
          </w:tcPr>
          <w:p w14:paraId="58D626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E3852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9A0BC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5C8951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w:t>
            </w:r>
          </w:p>
        </w:tc>
        <w:tc>
          <w:tcPr>
            <w:tcW w:w="1639" w:type="dxa"/>
            <w:shd w:val="clear" w:color="auto" w:fill="auto"/>
            <w:vAlign w:val="center"/>
          </w:tcPr>
          <w:p w14:paraId="7623C0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98</w:t>
            </w:r>
          </w:p>
        </w:tc>
        <w:tc>
          <w:tcPr>
            <w:tcW w:w="5721" w:type="dxa"/>
            <w:shd w:val="clear" w:color="auto" w:fill="auto"/>
            <w:vAlign w:val="center"/>
          </w:tcPr>
          <w:p w14:paraId="02BE235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73B630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86C385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EBE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4A66F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Erol et al. (2016)</w:t>
            </w:r>
          </w:p>
        </w:tc>
        <w:tc>
          <w:tcPr>
            <w:tcW w:w="2939" w:type="dxa"/>
            <w:shd w:val="clear" w:color="auto" w:fill="auto"/>
            <w:vAlign w:val="center"/>
          </w:tcPr>
          <w:p w14:paraId="22AF67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123FA1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2A1572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3CF94E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A803F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7B8EC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1D4180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1639" w:type="dxa"/>
            <w:shd w:val="clear" w:color="auto" w:fill="auto"/>
            <w:vAlign w:val="center"/>
          </w:tcPr>
          <w:p w14:paraId="48EF17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86</w:t>
            </w:r>
          </w:p>
        </w:tc>
        <w:tc>
          <w:tcPr>
            <w:tcW w:w="5721" w:type="dxa"/>
            <w:shd w:val="clear" w:color="auto" w:fill="auto"/>
            <w:vAlign w:val="center"/>
          </w:tcPr>
          <w:p w14:paraId="5C80B0B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5AFB3B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9F19E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03D0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365BE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Felix et al. (2016)</w:t>
            </w:r>
          </w:p>
        </w:tc>
        <w:tc>
          <w:tcPr>
            <w:tcW w:w="2939" w:type="dxa"/>
            <w:shd w:val="clear" w:color="auto" w:fill="auto"/>
            <w:vAlign w:val="center"/>
          </w:tcPr>
          <w:p w14:paraId="7FBE21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5C66BA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50007F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2010-2013</w:t>
            </w:r>
          </w:p>
        </w:tc>
        <w:tc>
          <w:tcPr>
            <w:tcW w:w="1978" w:type="dxa"/>
            <w:shd w:val="clear" w:color="auto" w:fill="auto"/>
            <w:vAlign w:val="center"/>
          </w:tcPr>
          <w:p w14:paraId="196329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6A341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F149A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21C27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39</w:t>
            </w:r>
          </w:p>
        </w:tc>
        <w:tc>
          <w:tcPr>
            <w:tcW w:w="1639" w:type="dxa"/>
            <w:shd w:val="clear" w:color="auto" w:fill="auto"/>
            <w:vAlign w:val="center"/>
          </w:tcPr>
          <w:p w14:paraId="54ACA1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100</w:t>
            </w:r>
          </w:p>
        </w:tc>
        <w:tc>
          <w:tcPr>
            <w:tcW w:w="5721" w:type="dxa"/>
            <w:shd w:val="clear" w:color="auto" w:fill="auto"/>
            <w:vAlign w:val="center"/>
          </w:tcPr>
          <w:p w14:paraId="036C588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439413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18A75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67635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C59BC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Ferraioli et al. (2017)</w:t>
            </w:r>
          </w:p>
        </w:tc>
        <w:tc>
          <w:tcPr>
            <w:tcW w:w="2939" w:type="dxa"/>
            <w:shd w:val="clear" w:color="auto" w:fill="auto"/>
            <w:vAlign w:val="center"/>
          </w:tcPr>
          <w:p w14:paraId="66EA3D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74839F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435EB5D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2012-2016</w:t>
            </w:r>
          </w:p>
        </w:tc>
        <w:tc>
          <w:tcPr>
            <w:tcW w:w="1978" w:type="dxa"/>
            <w:shd w:val="clear" w:color="auto" w:fill="auto"/>
            <w:vAlign w:val="center"/>
          </w:tcPr>
          <w:p w14:paraId="224770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007AE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E4346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D27BC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42</w:t>
            </w:r>
          </w:p>
        </w:tc>
        <w:tc>
          <w:tcPr>
            <w:tcW w:w="1639" w:type="dxa"/>
            <w:shd w:val="clear" w:color="auto" w:fill="auto"/>
            <w:vAlign w:val="center"/>
          </w:tcPr>
          <w:p w14:paraId="330C24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203</w:t>
            </w:r>
          </w:p>
        </w:tc>
        <w:tc>
          <w:tcPr>
            <w:tcW w:w="5721" w:type="dxa"/>
            <w:shd w:val="clear" w:color="auto" w:fill="auto"/>
            <w:vAlign w:val="center"/>
          </w:tcPr>
          <w:p w14:paraId="6D8AE3DF">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56EEF4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612F9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609B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81912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Fonvig et al. (2015)</w:t>
            </w:r>
          </w:p>
        </w:tc>
        <w:tc>
          <w:tcPr>
            <w:tcW w:w="2939" w:type="dxa"/>
            <w:shd w:val="clear" w:color="auto" w:fill="auto"/>
            <w:vAlign w:val="center"/>
          </w:tcPr>
          <w:p w14:paraId="472560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4AF0534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Denmark</w:t>
            </w:r>
          </w:p>
        </w:tc>
        <w:tc>
          <w:tcPr>
            <w:tcW w:w="1658" w:type="dxa"/>
            <w:shd w:val="clear" w:color="auto" w:fill="auto"/>
            <w:vAlign w:val="center"/>
          </w:tcPr>
          <w:p w14:paraId="622F74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2009-2014</w:t>
            </w:r>
          </w:p>
        </w:tc>
        <w:tc>
          <w:tcPr>
            <w:tcW w:w="1978" w:type="dxa"/>
            <w:shd w:val="clear" w:color="auto" w:fill="auto"/>
            <w:vAlign w:val="center"/>
          </w:tcPr>
          <w:p w14:paraId="07ECF3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BDFB4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256AE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AE2BD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w:t>
            </w:r>
          </w:p>
        </w:tc>
        <w:tc>
          <w:tcPr>
            <w:tcW w:w="1639" w:type="dxa"/>
            <w:shd w:val="clear" w:color="auto" w:fill="auto"/>
            <w:vAlign w:val="center"/>
          </w:tcPr>
          <w:p w14:paraId="0FFC5B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5721" w:type="dxa"/>
            <w:shd w:val="clear" w:color="auto" w:fill="auto"/>
            <w:vAlign w:val="center"/>
          </w:tcPr>
          <w:p w14:paraId="0B39B60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BMI&gt;25</w:t>
            </w:r>
          </w:p>
        </w:tc>
        <w:tc>
          <w:tcPr>
            <w:tcW w:w="1847" w:type="dxa"/>
            <w:shd w:val="clear" w:color="auto" w:fill="auto"/>
            <w:vAlign w:val="center"/>
          </w:tcPr>
          <w:p w14:paraId="6ED82D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5C1EC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FC60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5BA89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Gheibi et al. (2019)</w:t>
            </w:r>
          </w:p>
        </w:tc>
        <w:tc>
          <w:tcPr>
            <w:tcW w:w="2939" w:type="dxa"/>
            <w:shd w:val="clear" w:color="auto" w:fill="auto"/>
            <w:vAlign w:val="center"/>
          </w:tcPr>
          <w:p w14:paraId="283E7D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15698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shd w:val="clear" w:color="auto" w:fill="auto"/>
            <w:vAlign w:val="center"/>
          </w:tcPr>
          <w:p w14:paraId="0FD702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2016-2017</w:t>
            </w:r>
          </w:p>
        </w:tc>
        <w:tc>
          <w:tcPr>
            <w:tcW w:w="1978" w:type="dxa"/>
            <w:shd w:val="clear" w:color="auto" w:fill="auto"/>
            <w:vAlign w:val="center"/>
          </w:tcPr>
          <w:p w14:paraId="043177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69EC6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18E81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0FFFB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28</w:t>
            </w:r>
          </w:p>
        </w:tc>
        <w:tc>
          <w:tcPr>
            <w:tcW w:w="1639" w:type="dxa"/>
            <w:shd w:val="clear" w:color="auto" w:fill="auto"/>
            <w:vAlign w:val="center"/>
          </w:tcPr>
          <w:p w14:paraId="1035A4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234</w:t>
            </w:r>
          </w:p>
        </w:tc>
        <w:tc>
          <w:tcPr>
            <w:tcW w:w="5721" w:type="dxa"/>
            <w:shd w:val="clear" w:color="auto" w:fill="auto"/>
            <w:vAlign w:val="center"/>
          </w:tcPr>
          <w:p w14:paraId="45286F5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0A5A62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8CED3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92F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36DED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Hamza et al. (2016)</w:t>
            </w:r>
          </w:p>
        </w:tc>
        <w:tc>
          <w:tcPr>
            <w:tcW w:w="2939" w:type="dxa"/>
            <w:shd w:val="clear" w:color="auto" w:fill="auto"/>
            <w:vAlign w:val="center"/>
          </w:tcPr>
          <w:p w14:paraId="277663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Africa</w:t>
            </w:r>
          </w:p>
        </w:tc>
        <w:tc>
          <w:tcPr>
            <w:tcW w:w="3345" w:type="dxa"/>
            <w:shd w:val="clear" w:color="auto" w:fill="auto"/>
            <w:vAlign w:val="center"/>
          </w:tcPr>
          <w:p w14:paraId="350469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Egypt</w:t>
            </w:r>
          </w:p>
        </w:tc>
        <w:tc>
          <w:tcPr>
            <w:tcW w:w="1658" w:type="dxa"/>
            <w:shd w:val="clear" w:color="auto" w:fill="auto"/>
            <w:vAlign w:val="center"/>
          </w:tcPr>
          <w:p w14:paraId="70AF84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2011-2013</w:t>
            </w:r>
          </w:p>
        </w:tc>
        <w:tc>
          <w:tcPr>
            <w:tcW w:w="1978" w:type="dxa"/>
            <w:shd w:val="clear" w:color="auto" w:fill="auto"/>
            <w:vAlign w:val="center"/>
          </w:tcPr>
          <w:p w14:paraId="1C7F3C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1A6D9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198F4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EC1A5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48</w:t>
            </w:r>
          </w:p>
        </w:tc>
        <w:tc>
          <w:tcPr>
            <w:tcW w:w="1639" w:type="dxa"/>
            <w:shd w:val="clear" w:color="auto" w:fill="auto"/>
            <w:vAlign w:val="center"/>
          </w:tcPr>
          <w:p w14:paraId="2505C28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190</w:t>
            </w:r>
          </w:p>
        </w:tc>
        <w:tc>
          <w:tcPr>
            <w:tcW w:w="5721" w:type="dxa"/>
            <w:shd w:val="clear" w:color="auto" w:fill="auto"/>
            <w:vAlign w:val="center"/>
          </w:tcPr>
          <w:p w14:paraId="3A609CA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BCA6E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FD80B1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3B7A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AF17D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Han et al. (2020)</w:t>
            </w:r>
          </w:p>
        </w:tc>
        <w:tc>
          <w:tcPr>
            <w:tcW w:w="2939" w:type="dxa"/>
            <w:shd w:val="clear" w:color="auto" w:fill="auto"/>
            <w:vAlign w:val="center"/>
          </w:tcPr>
          <w:p w14:paraId="19044F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36448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0036BA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2020</w:t>
            </w:r>
          </w:p>
        </w:tc>
        <w:tc>
          <w:tcPr>
            <w:tcW w:w="1978" w:type="dxa"/>
            <w:shd w:val="clear" w:color="auto" w:fill="auto"/>
            <w:vAlign w:val="center"/>
          </w:tcPr>
          <w:p w14:paraId="6ACDE6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70007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1B600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BF569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50</w:t>
            </w:r>
          </w:p>
        </w:tc>
        <w:tc>
          <w:tcPr>
            <w:tcW w:w="1639" w:type="dxa"/>
            <w:shd w:val="clear" w:color="auto" w:fill="auto"/>
            <w:vAlign w:val="center"/>
          </w:tcPr>
          <w:p w14:paraId="539E31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148</w:t>
            </w:r>
          </w:p>
        </w:tc>
        <w:tc>
          <w:tcPr>
            <w:tcW w:w="5721" w:type="dxa"/>
            <w:shd w:val="clear" w:color="auto" w:fill="auto"/>
            <w:vAlign w:val="center"/>
          </w:tcPr>
          <w:p w14:paraId="6057CC7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z-score &gt; 1</w:t>
            </w:r>
          </w:p>
        </w:tc>
        <w:tc>
          <w:tcPr>
            <w:tcW w:w="1847" w:type="dxa"/>
            <w:shd w:val="clear" w:color="auto" w:fill="auto"/>
            <w:vAlign w:val="center"/>
          </w:tcPr>
          <w:p w14:paraId="4094DA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14303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22F5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2939" w:type="dxa"/>
            <w:shd w:val="clear" w:color="auto" w:fill="auto"/>
            <w:vAlign w:val="center"/>
          </w:tcPr>
          <w:p w14:paraId="4AC8A7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Hatipoglu et al. (2016)</w:t>
            </w:r>
          </w:p>
        </w:tc>
        <w:tc>
          <w:tcPr>
            <w:tcW w:w="2939" w:type="dxa"/>
            <w:shd w:val="clear" w:color="auto" w:fill="auto"/>
            <w:vAlign w:val="center"/>
          </w:tcPr>
          <w:p w14:paraId="4C4D4B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106BC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50BF69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w:t>
            </w:r>
          </w:p>
        </w:tc>
        <w:tc>
          <w:tcPr>
            <w:tcW w:w="1978" w:type="dxa"/>
            <w:shd w:val="clear" w:color="auto" w:fill="auto"/>
            <w:vAlign w:val="center"/>
          </w:tcPr>
          <w:p w14:paraId="0ABD75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652D8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D1209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C1AFC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68</w:t>
            </w:r>
          </w:p>
        </w:tc>
        <w:tc>
          <w:tcPr>
            <w:tcW w:w="1639" w:type="dxa"/>
            <w:shd w:val="clear" w:color="auto" w:fill="auto"/>
            <w:vAlign w:val="center"/>
          </w:tcPr>
          <w:p w14:paraId="3A33A4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219</w:t>
            </w:r>
          </w:p>
        </w:tc>
        <w:tc>
          <w:tcPr>
            <w:tcW w:w="5721" w:type="dxa"/>
            <w:shd w:val="clear" w:color="auto" w:fill="auto"/>
            <w:vAlign w:val="center"/>
          </w:tcPr>
          <w:p w14:paraId="61B0023A">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changed from normal weight to overweight or obesity in the previous 12 months according to the International Obesity Task Force</w:t>
            </w:r>
          </w:p>
        </w:tc>
        <w:tc>
          <w:tcPr>
            <w:tcW w:w="1847" w:type="dxa"/>
            <w:shd w:val="clear" w:color="auto" w:fill="auto"/>
            <w:vAlign w:val="center"/>
          </w:tcPr>
          <w:p w14:paraId="5F8D904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7315B2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BF4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8E11D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Hu et al. (2017)</w:t>
            </w:r>
          </w:p>
        </w:tc>
        <w:tc>
          <w:tcPr>
            <w:tcW w:w="2939" w:type="dxa"/>
            <w:shd w:val="clear" w:color="auto" w:fill="auto"/>
            <w:vAlign w:val="center"/>
          </w:tcPr>
          <w:p w14:paraId="402FD2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C6A92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570E91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2012-2013</w:t>
            </w:r>
          </w:p>
        </w:tc>
        <w:tc>
          <w:tcPr>
            <w:tcW w:w="1978" w:type="dxa"/>
            <w:shd w:val="clear" w:color="auto" w:fill="auto"/>
            <w:vAlign w:val="center"/>
          </w:tcPr>
          <w:p w14:paraId="177E1A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82851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DFD0C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0A64D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84</w:t>
            </w:r>
          </w:p>
        </w:tc>
        <w:tc>
          <w:tcPr>
            <w:tcW w:w="1639" w:type="dxa"/>
            <w:shd w:val="clear" w:color="auto" w:fill="auto"/>
            <w:vAlign w:val="center"/>
          </w:tcPr>
          <w:p w14:paraId="3F487D2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169</w:t>
            </w:r>
          </w:p>
        </w:tc>
        <w:tc>
          <w:tcPr>
            <w:tcW w:w="5721" w:type="dxa"/>
            <w:shd w:val="clear" w:color="auto" w:fill="auto"/>
            <w:vAlign w:val="center"/>
          </w:tcPr>
          <w:p w14:paraId="7A896BB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AE904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0ADE5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D327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B0813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Rivera et al. (2017)</w:t>
            </w:r>
          </w:p>
        </w:tc>
        <w:tc>
          <w:tcPr>
            <w:tcW w:w="2939" w:type="dxa"/>
            <w:shd w:val="clear" w:color="auto" w:fill="auto"/>
            <w:vAlign w:val="center"/>
          </w:tcPr>
          <w:p w14:paraId="3D4A1D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1CB28A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Canada</w:t>
            </w:r>
          </w:p>
        </w:tc>
        <w:tc>
          <w:tcPr>
            <w:tcW w:w="1658" w:type="dxa"/>
            <w:shd w:val="clear" w:color="auto" w:fill="auto"/>
            <w:vAlign w:val="center"/>
          </w:tcPr>
          <w:p w14:paraId="628F88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2009-2012</w:t>
            </w:r>
          </w:p>
        </w:tc>
        <w:tc>
          <w:tcPr>
            <w:tcW w:w="1978" w:type="dxa"/>
            <w:shd w:val="clear" w:color="auto" w:fill="auto"/>
            <w:vAlign w:val="center"/>
          </w:tcPr>
          <w:p w14:paraId="41A432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D6F0B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E8934F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AF752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93</w:t>
            </w:r>
          </w:p>
        </w:tc>
        <w:tc>
          <w:tcPr>
            <w:tcW w:w="1639" w:type="dxa"/>
            <w:shd w:val="clear" w:color="auto" w:fill="auto"/>
            <w:vAlign w:val="center"/>
          </w:tcPr>
          <w:p w14:paraId="4FBA89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400</w:t>
            </w:r>
          </w:p>
        </w:tc>
        <w:tc>
          <w:tcPr>
            <w:tcW w:w="5721" w:type="dxa"/>
            <w:shd w:val="clear" w:color="auto" w:fill="auto"/>
            <w:vAlign w:val="center"/>
          </w:tcPr>
          <w:p w14:paraId="7A3B316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31881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33D4D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EDB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6968C9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Kalthenbach et al. (2016)</w:t>
            </w:r>
          </w:p>
        </w:tc>
        <w:tc>
          <w:tcPr>
            <w:tcW w:w="2939" w:type="dxa"/>
            <w:shd w:val="clear" w:color="auto" w:fill="auto"/>
            <w:vAlign w:val="center"/>
          </w:tcPr>
          <w:p w14:paraId="5E1195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06DA51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Germany</w:t>
            </w:r>
          </w:p>
        </w:tc>
        <w:tc>
          <w:tcPr>
            <w:tcW w:w="1658" w:type="dxa"/>
            <w:shd w:val="clear" w:color="auto" w:fill="auto"/>
            <w:vAlign w:val="center"/>
          </w:tcPr>
          <w:p w14:paraId="002B7C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2000-2001</w:t>
            </w:r>
          </w:p>
        </w:tc>
        <w:tc>
          <w:tcPr>
            <w:tcW w:w="1978" w:type="dxa"/>
            <w:shd w:val="clear" w:color="auto" w:fill="auto"/>
            <w:vAlign w:val="center"/>
          </w:tcPr>
          <w:p w14:paraId="21B488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11C7A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32D30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628F86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1639" w:type="dxa"/>
            <w:shd w:val="clear" w:color="auto" w:fill="auto"/>
            <w:vAlign w:val="center"/>
          </w:tcPr>
          <w:p w14:paraId="3039C9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110</w:t>
            </w:r>
          </w:p>
        </w:tc>
        <w:tc>
          <w:tcPr>
            <w:tcW w:w="5721" w:type="dxa"/>
            <w:shd w:val="clear" w:color="auto" w:fill="auto"/>
            <w:vAlign w:val="center"/>
          </w:tcPr>
          <w:p w14:paraId="11DC7B2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BMI–standard deviation scores (BMI-SDS) based on German reference values.</w:t>
            </w:r>
          </w:p>
        </w:tc>
        <w:tc>
          <w:tcPr>
            <w:tcW w:w="1847" w:type="dxa"/>
            <w:shd w:val="clear" w:color="auto" w:fill="auto"/>
            <w:vAlign w:val="center"/>
          </w:tcPr>
          <w:p w14:paraId="40DAE5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FAEDF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33CD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D6BB3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Wiegand et al. (2010)</w:t>
            </w:r>
          </w:p>
        </w:tc>
        <w:tc>
          <w:tcPr>
            <w:tcW w:w="2939" w:type="dxa"/>
            <w:shd w:val="clear" w:color="auto" w:fill="auto"/>
            <w:vAlign w:val="center"/>
          </w:tcPr>
          <w:p w14:paraId="4C8B7D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2A3ED45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Germany, Austria and Switzerland</w:t>
            </w:r>
          </w:p>
        </w:tc>
        <w:tc>
          <w:tcPr>
            <w:tcW w:w="1658" w:type="dxa"/>
            <w:shd w:val="clear" w:color="auto" w:fill="auto"/>
            <w:vAlign w:val="center"/>
          </w:tcPr>
          <w:p w14:paraId="0A9174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2001-2009</w:t>
            </w:r>
          </w:p>
        </w:tc>
        <w:tc>
          <w:tcPr>
            <w:tcW w:w="1978" w:type="dxa"/>
            <w:shd w:val="clear" w:color="auto" w:fill="auto"/>
            <w:vAlign w:val="center"/>
          </w:tcPr>
          <w:p w14:paraId="0C1D53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3B8E6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9B7A1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0CAA6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38</w:t>
            </w:r>
          </w:p>
        </w:tc>
        <w:tc>
          <w:tcPr>
            <w:tcW w:w="1639" w:type="dxa"/>
            <w:shd w:val="clear" w:color="auto" w:fill="auto"/>
            <w:vAlign w:val="center"/>
          </w:tcPr>
          <w:p w14:paraId="1BEE87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322</w:t>
            </w:r>
          </w:p>
        </w:tc>
        <w:tc>
          <w:tcPr>
            <w:tcW w:w="5721" w:type="dxa"/>
            <w:shd w:val="clear" w:color="auto" w:fill="auto"/>
            <w:vAlign w:val="center"/>
          </w:tcPr>
          <w:p w14:paraId="58F1104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&gt;90th percentile</w:t>
            </w:r>
          </w:p>
        </w:tc>
        <w:tc>
          <w:tcPr>
            <w:tcW w:w="1847" w:type="dxa"/>
            <w:shd w:val="clear" w:color="auto" w:fill="auto"/>
            <w:vAlign w:val="center"/>
          </w:tcPr>
          <w:p w14:paraId="4C8D34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3E8AE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93D2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3DAD4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Zhang et al. (2014)</w:t>
            </w:r>
          </w:p>
        </w:tc>
        <w:tc>
          <w:tcPr>
            <w:tcW w:w="2939" w:type="dxa"/>
            <w:shd w:val="clear" w:color="auto" w:fill="auto"/>
            <w:vAlign w:val="center"/>
          </w:tcPr>
          <w:p w14:paraId="5D3197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1ADDD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79753A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2009-2011</w:t>
            </w:r>
          </w:p>
        </w:tc>
        <w:tc>
          <w:tcPr>
            <w:tcW w:w="1978" w:type="dxa"/>
            <w:shd w:val="clear" w:color="auto" w:fill="auto"/>
            <w:vAlign w:val="center"/>
          </w:tcPr>
          <w:p w14:paraId="02DEB8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82815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F46A7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3C48D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217</w:t>
            </w:r>
          </w:p>
        </w:tc>
        <w:tc>
          <w:tcPr>
            <w:tcW w:w="1639" w:type="dxa"/>
            <w:shd w:val="clear" w:color="auto" w:fill="auto"/>
            <w:vAlign w:val="center"/>
          </w:tcPr>
          <w:p w14:paraId="21BF60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451</w:t>
            </w:r>
          </w:p>
        </w:tc>
        <w:tc>
          <w:tcPr>
            <w:tcW w:w="5721" w:type="dxa"/>
            <w:shd w:val="clear" w:color="auto" w:fill="auto"/>
            <w:vAlign w:val="center"/>
          </w:tcPr>
          <w:p w14:paraId="06D5DEE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Not specified</w:t>
            </w:r>
          </w:p>
        </w:tc>
        <w:tc>
          <w:tcPr>
            <w:tcW w:w="1847" w:type="dxa"/>
            <w:shd w:val="clear" w:color="auto" w:fill="auto"/>
            <w:vAlign w:val="center"/>
          </w:tcPr>
          <w:p w14:paraId="243D9C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9DF8C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3B9E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BB84C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Kim et al. (2018)</w:t>
            </w:r>
          </w:p>
        </w:tc>
        <w:tc>
          <w:tcPr>
            <w:tcW w:w="2939" w:type="dxa"/>
            <w:shd w:val="clear" w:color="auto" w:fill="auto"/>
            <w:vAlign w:val="center"/>
          </w:tcPr>
          <w:p w14:paraId="5B0E7B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CFE29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Korea</w:t>
            </w:r>
          </w:p>
        </w:tc>
        <w:tc>
          <w:tcPr>
            <w:tcW w:w="1658" w:type="dxa"/>
            <w:shd w:val="clear" w:color="auto" w:fill="auto"/>
            <w:vAlign w:val="center"/>
          </w:tcPr>
          <w:p w14:paraId="08913C2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2004-2016</w:t>
            </w:r>
          </w:p>
        </w:tc>
        <w:tc>
          <w:tcPr>
            <w:tcW w:w="1978" w:type="dxa"/>
            <w:shd w:val="clear" w:color="auto" w:fill="auto"/>
            <w:vAlign w:val="center"/>
          </w:tcPr>
          <w:p w14:paraId="26FD1C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2579D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68C48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F6FBA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587</w:t>
            </w:r>
          </w:p>
        </w:tc>
        <w:tc>
          <w:tcPr>
            <w:tcW w:w="1639" w:type="dxa"/>
            <w:shd w:val="clear" w:color="auto" w:fill="auto"/>
            <w:vAlign w:val="center"/>
          </w:tcPr>
          <w:p w14:paraId="5C5C67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861</w:t>
            </w:r>
          </w:p>
        </w:tc>
        <w:tc>
          <w:tcPr>
            <w:tcW w:w="5721" w:type="dxa"/>
            <w:shd w:val="clear" w:color="auto" w:fill="auto"/>
            <w:vAlign w:val="center"/>
          </w:tcPr>
          <w:p w14:paraId="631003E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 score &gt;1</w:t>
            </w:r>
          </w:p>
        </w:tc>
        <w:tc>
          <w:tcPr>
            <w:tcW w:w="1847" w:type="dxa"/>
            <w:shd w:val="clear" w:color="auto" w:fill="auto"/>
            <w:vAlign w:val="center"/>
          </w:tcPr>
          <w:p w14:paraId="7B85DC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2FB7B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E0D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5A1AA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Kistler et al. (2010)</w:t>
            </w:r>
          </w:p>
        </w:tc>
        <w:tc>
          <w:tcPr>
            <w:tcW w:w="2939" w:type="dxa"/>
            <w:shd w:val="clear" w:color="auto" w:fill="auto"/>
            <w:vAlign w:val="center"/>
          </w:tcPr>
          <w:p w14:paraId="53FEB1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2F7EE0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1239E7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w:t>
            </w:r>
          </w:p>
        </w:tc>
        <w:tc>
          <w:tcPr>
            <w:tcW w:w="1978" w:type="dxa"/>
            <w:shd w:val="clear" w:color="auto" w:fill="auto"/>
            <w:vAlign w:val="center"/>
          </w:tcPr>
          <w:p w14:paraId="04CCEF3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F052B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0802B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0D46B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38</w:t>
            </w:r>
          </w:p>
        </w:tc>
        <w:tc>
          <w:tcPr>
            <w:tcW w:w="1639" w:type="dxa"/>
            <w:shd w:val="clear" w:color="auto" w:fill="auto"/>
            <w:vAlign w:val="center"/>
          </w:tcPr>
          <w:p w14:paraId="49E7ED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217</w:t>
            </w:r>
          </w:p>
        </w:tc>
        <w:tc>
          <w:tcPr>
            <w:tcW w:w="5721" w:type="dxa"/>
            <w:shd w:val="clear" w:color="auto" w:fill="auto"/>
            <w:vAlign w:val="center"/>
          </w:tcPr>
          <w:p w14:paraId="33AAE7A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54F2EE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870F5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8ACB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41424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Kodhelaj et al. (2014)</w:t>
            </w:r>
          </w:p>
        </w:tc>
        <w:tc>
          <w:tcPr>
            <w:tcW w:w="2939" w:type="dxa"/>
            <w:shd w:val="clear" w:color="auto" w:fill="auto"/>
            <w:vAlign w:val="center"/>
          </w:tcPr>
          <w:p w14:paraId="7FA046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3FEE0E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Albania</w:t>
            </w:r>
          </w:p>
        </w:tc>
        <w:tc>
          <w:tcPr>
            <w:tcW w:w="1658" w:type="dxa"/>
            <w:shd w:val="clear" w:color="auto" w:fill="auto"/>
            <w:vAlign w:val="center"/>
          </w:tcPr>
          <w:p w14:paraId="079C80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w:t>
            </w:r>
          </w:p>
        </w:tc>
        <w:tc>
          <w:tcPr>
            <w:tcW w:w="1978" w:type="dxa"/>
            <w:shd w:val="clear" w:color="auto" w:fill="auto"/>
            <w:vAlign w:val="center"/>
          </w:tcPr>
          <w:p w14:paraId="3721CC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9FCE0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School</w:t>
            </w:r>
          </w:p>
        </w:tc>
        <w:tc>
          <w:tcPr>
            <w:tcW w:w="1653" w:type="dxa"/>
            <w:shd w:val="clear" w:color="auto" w:fill="auto"/>
            <w:vAlign w:val="center"/>
          </w:tcPr>
          <w:p w14:paraId="490D2A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9478B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234</w:t>
            </w:r>
          </w:p>
        </w:tc>
        <w:tc>
          <w:tcPr>
            <w:tcW w:w="1639" w:type="dxa"/>
            <w:shd w:val="clear" w:color="auto" w:fill="auto"/>
            <w:vAlign w:val="center"/>
          </w:tcPr>
          <w:p w14:paraId="078C45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571</w:t>
            </w:r>
          </w:p>
        </w:tc>
        <w:tc>
          <w:tcPr>
            <w:tcW w:w="5721" w:type="dxa"/>
            <w:shd w:val="clear" w:color="auto" w:fill="auto"/>
            <w:vAlign w:val="center"/>
          </w:tcPr>
          <w:p w14:paraId="3E9DA43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BFDC6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04A51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3CFFC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EEAD2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Labayen et al. (2018)</w:t>
            </w:r>
          </w:p>
        </w:tc>
        <w:tc>
          <w:tcPr>
            <w:tcW w:w="2939" w:type="dxa"/>
            <w:shd w:val="clear" w:color="auto" w:fill="auto"/>
            <w:vAlign w:val="center"/>
          </w:tcPr>
          <w:p w14:paraId="4D0200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1E37AA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Spain</w:t>
            </w:r>
          </w:p>
        </w:tc>
        <w:tc>
          <w:tcPr>
            <w:tcW w:w="1658" w:type="dxa"/>
            <w:shd w:val="clear" w:color="auto" w:fill="auto"/>
            <w:vAlign w:val="center"/>
          </w:tcPr>
          <w:p w14:paraId="1E1E7F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76A4D7F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E6204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8DA95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1AD60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36</w:t>
            </w:r>
          </w:p>
        </w:tc>
        <w:tc>
          <w:tcPr>
            <w:tcW w:w="1639" w:type="dxa"/>
            <w:shd w:val="clear" w:color="auto" w:fill="auto"/>
            <w:vAlign w:val="center"/>
          </w:tcPr>
          <w:p w14:paraId="0B9B38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125</w:t>
            </w:r>
          </w:p>
        </w:tc>
        <w:tc>
          <w:tcPr>
            <w:tcW w:w="5721" w:type="dxa"/>
            <w:shd w:val="clear" w:color="auto" w:fill="auto"/>
            <w:vAlign w:val="center"/>
          </w:tcPr>
          <w:p w14:paraId="6C4AE66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35E8F2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E4EBB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E593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E53C7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Lee et al. (2017)</w:t>
            </w:r>
          </w:p>
        </w:tc>
        <w:tc>
          <w:tcPr>
            <w:tcW w:w="2939" w:type="dxa"/>
            <w:shd w:val="clear" w:color="auto" w:fill="auto"/>
            <w:vAlign w:val="center"/>
          </w:tcPr>
          <w:p w14:paraId="40DEA6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EAC99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Korea</w:t>
            </w:r>
          </w:p>
        </w:tc>
        <w:tc>
          <w:tcPr>
            <w:tcW w:w="1658" w:type="dxa"/>
            <w:shd w:val="clear" w:color="auto" w:fill="auto"/>
            <w:vAlign w:val="center"/>
          </w:tcPr>
          <w:p w14:paraId="66FE2F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w:t>
            </w:r>
          </w:p>
        </w:tc>
        <w:tc>
          <w:tcPr>
            <w:tcW w:w="1978" w:type="dxa"/>
            <w:shd w:val="clear" w:color="auto" w:fill="auto"/>
            <w:vAlign w:val="center"/>
          </w:tcPr>
          <w:p w14:paraId="2E500C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5B14B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EAB938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3E11A9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w:t>
            </w:r>
          </w:p>
        </w:tc>
        <w:tc>
          <w:tcPr>
            <w:tcW w:w="1639" w:type="dxa"/>
            <w:shd w:val="clear" w:color="auto" w:fill="auto"/>
            <w:vAlign w:val="center"/>
          </w:tcPr>
          <w:p w14:paraId="06919D2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50</w:t>
            </w:r>
          </w:p>
        </w:tc>
        <w:tc>
          <w:tcPr>
            <w:tcW w:w="5721" w:type="dxa"/>
            <w:shd w:val="clear" w:color="auto" w:fill="auto"/>
            <w:vAlign w:val="center"/>
          </w:tcPr>
          <w:p w14:paraId="66B3695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06F193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B8AB2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DFA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0A764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Liang et al. (2017)</w:t>
            </w:r>
          </w:p>
        </w:tc>
        <w:tc>
          <w:tcPr>
            <w:tcW w:w="2939" w:type="dxa"/>
            <w:shd w:val="clear" w:color="auto" w:fill="auto"/>
            <w:vAlign w:val="center"/>
          </w:tcPr>
          <w:p w14:paraId="77D671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C012B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105199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2013-2015</w:t>
            </w:r>
          </w:p>
        </w:tc>
        <w:tc>
          <w:tcPr>
            <w:tcW w:w="1978" w:type="dxa"/>
            <w:shd w:val="clear" w:color="auto" w:fill="auto"/>
            <w:vAlign w:val="center"/>
          </w:tcPr>
          <w:p w14:paraId="3E20C0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14CC4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46439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6DCF625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125</w:t>
            </w:r>
          </w:p>
        </w:tc>
        <w:tc>
          <w:tcPr>
            <w:tcW w:w="1639" w:type="dxa"/>
            <w:shd w:val="clear" w:color="auto" w:fill="auto"/>
            <w:vAlign w:val="center"/>
          </w:tcPr>
          <w:p w14:paraId="56432A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392</w:t>
            </w:r>
          </w:p>
        </w:tc>
        <w:tc>
          <w:tcPr>
            <w:tcW w:w="5721" w:type="dxa"/>
            <w:shd w:val="clear" w:color="auto" w:fill="auto"/>
            <w:vAlign w:val="center"/>
          </w:tcPr>
          <w:p w14:paraId="70929EB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D7CF2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65478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C06A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3622D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Mameli et al. (2018)</w:t>
            </w:r>
          </w:p>
        </w:tc>
        <w:tc>
          <w:tcPr>
            <w:tcW w:w="2939" w:type="dxa"/>
            <w:shd w:val="clear" w:color="auto" w:fill="auto"/>
            <w:vAlign w:val="center"/>
          </w:tcPr>
          <w:p w14:paraId="51593F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4043D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2214D9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2010-2017</w:t>
            </w:r>
          </w:p>
        </w:tc>
        <w:tc>
          <w:tcPr>
            <w:tcW w:w="1978" w:type="dxa"/>
            <w:shd w:val="clear" w:color="auto" w:fill="auto"/>
            <w:vAlign w:val="center"/>
          </w:tcPr>
          <w:p w14:paraId="58ECCC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0D060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17464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C8C0A0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37</w:t>
            </w:r>
          </w:p>
        </w:tc>
        <w:tc>
          <w:tcPr>
            <w:tcW w:w="1639" w:type="dxa"/>
            <w:shd w:val="clear" w:color="auto" w:fill="auto"/>
            <w:vAlign w:val="center"/>
          </w:tcPr>
          <w:p w14:paraId="3B7FE3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129</w:t>
            </w:r>
          </w:p>
        </w:tc>
        <w:tc>
          <w:tcPr>
            <w:tcW w:w="5721" w:type="dxa"/>
            <w:shd w:val="clear" w:color="auto" w:fill="auto"/>
            <w:vAlign w:val="center"/>
          </w:tcPr>
          <w:p w14:paraId="39654D9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 score &gt;1</w:t>
            </w:r>
          </w:p>
        </w:tc>
        <w:tc>
          <w:tcPr>
            <w:tcW w:w="1847" w:type="dxa"/>
            <w:shd w:val="clear" w:color="auto" w:fill="auto"/>
            <w:vAlign w:val="center"/>
          </w:tcPr>
          <w:p w14:paraId="4344BF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131A010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FEC9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F6B64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 piano et al. (2007)</w:t>
            </w:r>
          </w:p>
        </w:tc>
        <w:tc>
          <w:tcPr>
            <w:tcW w:w="2939" w:type="dxa"/>
            <w:shd w:val="clear" w:color="auto" w:fill="auto"/>
            <w:vAlign w:val="center"/>
          </w:tcPr>
          <w:p w14:paraId="644CAA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5693A9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7FB2050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w:t>
            </w:r>
          </w:p>
        </w:tc>
        <w:tc>
          <w:tcPr>
            <w:tcW w:w="1978" w:type="dxa"/>
            <w:shd w:val="clear" w:color="auto" w:fill="auto"/>
            <w:vAlign w:val="center"/>
          </w:tcPr>
          <w:p w14:paraId="0852FF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727D1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B44F2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37E22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65</w:t>
            </w:r>
          </w:p>
        </w:tc>
        <w:tc>
          <w:tcPr>
            <w:tcW w:w="1639" w:type="dxa"/>
            <w:shd w:val="clear" w:color="auto" w:fill="auto"/>
            <w:vAlign w:val="center"/>
          </w:tcPr>
          <w:p w14:paraId="6EF2D8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84</w:t>
            </w:r>
          </w:p>
        </w:tc>
        <w:tc>
          <w:tcPr>
            <w:tcW w:w="5721" w:type="dxa"/>
            <w:shd w:val="clear" w:color="auto" w:fill="auto"/>
            <w:vAlign w:val="center"/>
          </w:tcPr>
          <w:p w14:paraId="232D44A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BMI&gt;30</w:t>
            </w:r>
          </w:p>
        </w:tc>
        <w:tc>
          <w:tcPr>
            <w:tcW w:w="1847" w:type="dxa"/>
            <w:shd w:val="clear" w:color="auto" w:fill="auto"/>
            <w:vAlign w:val="center"/>
          </w:tcPr>
          <w:p w14:paraId="29FC3C4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A9C82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E6BB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72FAA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Mohammed et al. (2020)</w:t>
            </w:r>
          </w:p>
        </w:tc>
        <w:tc>
          <w:tcPr>
            <w:tcW w:w="2939" w:type="dxa"/>
            <w:shd w:val="clear" w:color="auto" w:fill="auto"/>
            <w:vAlign w:val="center"/>
          </w:tcPr>
          <w:p w14:paraId="5120350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33956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Malaysia</w:t>
            </w:r>
          </w:p>
        </w:tc>
        <w:tc>
          <w:tcPr>
            <w:tcW w:w="1658" w:type="dxa"/>
            <w:shd w:val="clear" w:color="auto" w:fill="auto"/>
            <w:vAlign w:val="center"/>
          </w:tcPr>
          <w:p w14:paraId="61A407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19F14F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08346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A32D7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7F6AD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43</w:t>
            </w:r>
          </w:p>
        </w:tc>
        <w:tc>
          <w:tcPr>
            <w:tcW w:w="1639" w:type="dxa"/>
            <w:shd w:val="clear" w:color="auto" w:fill="auto"/>
            <w:vAlign w:val="center"/>
          </w:tcPr>
          <w:p w14:paraId="188852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53</w:t>
            </w:r>
          </w:p>
        </w:tc>
        <w:tc>
          <w:tcPr>
            <w:tcW w:w="5721" w:type="dxa"/>
            <w:shd w:val="clear" w:color="auto" w:fill="auto"/>
            <w:vAlign w:val="center"/>
          </w:tcPr>
          <w:p w14:paraId="3CF7B07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45E8F3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6758F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E88E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2AEA2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Ardakali et al. (2014)</w:t>
            </w:r>
          </w:p>
        </w:tc>
        <w:tc>
          <w:tcPr>
            <w:tcW w:w="2939" w:type="dxa"/>
            <w:shd w:val="clear" w:color="auto" w:fill="auto"/>
            <w:vAlign w:val="center"/>
          </w:tcPr>
          <w:p w14:paraId="17B53D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69C0A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shd w:val="clear" w:color="auto" w:fill="auto"/>
            <w:vAlign w:val="center"/>
          </w:tcPr>
          <w:p w14:paraId="47C2E8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w:t>
            </w:r>
          </w:p>
        </w:tc>
        <w:tc>
          <w:tcPr>
            <w:tcW w:w="1978" w:type="dxa"/>
            <w:shd w:val="clear" w:color="auto" w:fill="auto"/>
            <w:vAlign w:val="center"/>
          </w:tcPr>
          <w:p w14:paraId="74F0BF9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525B3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EB1F4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34D49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215</w:t>
            </w:r>
          </w:p>
        </w:tc>
        <w:tc>
          <w:tcPr>
            <w:tcW w:w="1639" w:type="dxa"/>
            <w:shd w:val="clear" w:color="auto" w:fill="auto"/>
            <w:vAlign w:val="center"/>
          </w:tcPr>
          <w:p w14:paraId="47B088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961</w:t>
            </w:r>
          </w:p>
        </w:tc>
        <w:tc>
          <w:tcPr>
            <w:tcW w:w="5721" w:type="dxa"/>
            <w:shd w:val="clear" w:color="auto" w:fill="auto"/>
            <w:vAlign w:val="center"/>
          </w:tcPr>
          <w:p w14:paraId="3FB0D55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BMI&gt;18.5</w:t>
            </w:r>
          </w:p>
        </w:tc>
        <w:tc>
          <w:tcPr>
            <w:tcW w:w="1847" w:type="dxa"/>
            <w:shd w:val="clear" w:color="auto" w:fill="auto"/>
            <w:vAlign w:val="center"/>
          </w:tcPr>
          <w:p w14:paraId="69B881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21E2A8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07D6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02EC5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Navarro et al. (2013)</w:t>
            </w:r>
          </w:p>
        </w:tc>
        <w:tc>
          <w:tcPr>
            <w:tcW w:w="2939" w:type="dxa"/>
            <w:shd w:val="clear" w:color="auto" w:fill="auto"/>
            <w:vAlign w:val="center"/>
          </w:tcPr>
          <w:p w14:paraId="3CF631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0697C9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Spain</w:t>
            </w:r>
          </w:p>
        </w:tc>
        <w:tc>
          <w:tcPr>
            <w:tcW w:w="1658" w:type="dxa"/>
            <w:shd w:val="clear" w:color="auto" w:fill="auto"/>
            <w:vAlign w:val="center"/>
          </w:tcPr>
          <w:p w14:paraId="65C61E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w:t>
            </w:r>
          </w:p>
        </w:tc>
        <w:tc>
          <w:tcPr>
            <w:tcW w:w="1978" w:type="dxa"/>
            <w:shd w:val="clear" w:color="auto" w:fill="auto"/>
            <w:vAlign w:val="center"/>
          </w:tcPr>
          <w:p w14:paraId="7C2782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17161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69A3E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5A6A7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347</w:t>
            </w:r>
          </w:p>
        </w:tc>
        <w:tc>
          <w:tcPr>
            <w:tcW w:w="1639" w:type="dxa"/>
            <w:shd w:val="clear" w:color="auto" w:fill="auto"/>
            <w:vAlign w:val="center"/>
          </w:tcPr>
          <w:p w14:paraId="32E3BC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514</w:t>
            </w:r>
          </w:p>
        </w:tc>
        <w:tc>
          <w:tcPr>
            <w:tcW w:w="5721" w:type="dxa"/>
            <w:shd w:val="clear" w:color="auto" w:fill="auto"/>
            <w:vAlign w:val="center"/>
          </w:tcPr>
          <w:p w14:paraId="0D0D950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DE845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7C9F9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6C2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0BB8C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Franzese et al. (1997)</w:t>
            </w:r>
          </w:p>
        </w:tc>
        <w:tc>
          <w:tcPr>
            <w:tcW w:w="2939" w:type="dxa"/>
            <w:shd w:val="clear" w:color="auto" w:fill="auto"/>
            <w:vAlign w:val="center"/>
          </w:tcPr>
          <w:p w14:paraId="1BF4194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0FA12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7607F16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1997</w:t>
            </w:r>
          </w:p>
        </w:tc>
        <w:tc>
          <w:tcPr>
            <w:tcW w:w="1978" w:type="dxa"/>
            <w:shd w:val="clear" w:color="auto" w:fill="auto"/>
            <w:vAlign w:val="center"/>
          </w:tcPr>
          <w:p w14:paraId="35DFC6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55735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38929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6B1D0B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105</w:t>
            </w:r>
          </w:p>
        </w:tc>
        <w:tc>
          <w:tcPr>
            <w:tcW w:w="1639" w:type="dxa"/>
            <w:shd w:val="clear" w:color="auto" w:fill="auto"/>
            <w:vAlign w:val="center"/>
          </w:tcPr>
          <w:p w14:paraId="5287059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230</w:t>
            </w:r>
          </w:p>
        </w:tc>
        <w:tc>
          <w:tcPr>
            <w:tcW w:w="5721" w:type="dxa"/>
            <w:shd w:val="clear" w:color="auto" w:fill="auto"/>
            <w:vAlign w:val="center"/>
          </w:tcPr>
          <w:p w14:paraId="41436F9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1A9AF72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066AE1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0905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0E95ED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Guzzaloni et al. (2000)</w:t>
            </w:r>
          </w:p>
        </w:tc>
        <w:tc>
          <w:tcPr>
            <w:tcW w:w="2939" w:type="dxa"/>
            <w:shd w:val="clear" w:color="auto" w:fill="auto"/>
            <w:vAlign w:val="center"/>
          </w:tcPr>
          <w:p w14:paraId="359D935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22071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3B5ACE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2000</w:t>
            </w:r>
          </w:p>
        </w:tc>
        <w:tc>
          <w:tcPr>
            <w:tcW w:w="1978" w:type="dxa"/>
            <w:shd w:val="clear" w:color="auto" w:fill="auto"/>
            <w:vAlign w:val="center"/>
          </w:tcPr>
          <w:p w14:paraId="0CA57B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572B1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A48F4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9AE39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49</w:t>
            </w:r>
          </w:p>
        </w:tc>
        <w:tc>
          <w:tcPr>
            <w:tcW w:w="1639" w:type="dxa"/>
            <w:shd w:val="clear" w:color="auto" w:fill="auto"/>
            <w:vAlign w:val="center"/>
          </w:tcPr>
          <w:p w14:paraId="29315B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110</w:t>
            </w:r>
          </w:p>
        </w:tc>
        <w:tc>
          <w:tcPr>
            <w:tcW w:w="5721" w:type="dxa"/>
            <w:shd w:val="clear" w:color="auto" w:fill="auto"/>
            <w:vAlign w:val="center"/>
          </w:tcPr>
          <w:p w14:paraId="76350B0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071016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3C9F93A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1A22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09701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Oh et al. (2019)</w:t>
            </w:r>
          </w:p>
        </w:tc>
        <w:tc>
          <w:tcPr>
            <w:tcW w:w="2939" w:type="dxa"/>
            <w:shd w:val="clear" w:color="auto" w:fill="auto"/>
            <w:vAlign w:val="center"/>
          </w:tcPr>
          <w:p w14:paraId="539251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CDB17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Korea</w:t>
            </w:r>
          </w:p>
        </w:tc>
        <w:tc>
          <w:tcPr>
            <w:tcW w:w="1658" w:type="dxa"/>
            <w:shd w:val="clear" w:color="auto" w:fill="auto"/>
            <w:vAlign w:val="center"/>
          </w:tcPr>
          <w:p w14:paraId="0D2D92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1325CF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6600D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F4502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Biopsy</w:t>
            </w:r>
          </w:p>
        </w:tc>
        <w:tc>
          <w:tcPr>
            <w:tcW w:w="1300" w:type="dxa"/>
            <w:shd w:val="clear" w:color="auto" w:fill="auto"/>
            <w:vAlign w:val="center"/>
          </w:tcPr>
          <w:p w14:paraId="6ECD5E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33</w:t>
            </w:r>
          </w:p>
        </w:tc>
        <w:tc>
          <w:tcPr>
            <w:tcW w:w="1639" w:type="dxa"/>
            <w:shd w:val="clear" w:color="auto" w:fill="auto"/>
            <w:vAlign w:val="center"/>
          </w:tcPr>
          <w:p w14:paraId="2A8589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76</w:t>
            </w:r>
          </w:p>
        </w:tc>
        <w:tc>
          <w:tcPr>
            <w:tcW w:w="5721" w:type="dxa"/>
            <w:shd w:val="clear" w:color="auto" w:fill="auto"/>
            <w:vAlign w:val="center"/>
          </w:tcPr>
          <w:p w14:paraId="6590258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12FE12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E9CB4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8C34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DF931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Ozhan et al. (2016)</w:t>
            </w:r>
          </w:p>
        </w:tc>
        <w:tc>
          <w:tcPr>
            <w:tcW w:w="2939" w:type="dxa"/>
            <w:shd w:val="clear" w:color="auto" w:fill="auto"/>
            <w:vAlign w:val="center"/>
          </w:tcPr>
          <w:p w14:paraId="2A1571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DAD19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A7A2CD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w:t>
            </w:r>
          </w:p>
        </w:tc>
        <w:tc>
          <w:tcPr>
            <w:tcW w:w="1978" w:type="dxa"/>
            <w:shd w:val="clear" w:color="auto" w:fill="auto"/>
            <w:vAlign w:val="center"/>
          </w:tcPr>
          <w:p w14:paraId="667CBE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09115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BB8E1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4589F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53</w:t>
            </w:r>
          </w:p>
        </w:tc>
        <w:tc>
          <w:tcPr>
            <w:tcW w:w="1639" w:type="dxa"/>
            <w:shd w:val="clear" w:color="auto" w:fill="auto"/>
            <w:vAlign w:val="center"/>
          </w:tcPr>
          <w:p w14:paraId="426007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101</w:t>
            </w:r>
          </w:p>
        </w:tc>
        <w:tc>
          <w:tcPr>
            <w:tcW w:w="5721" w:type="dxa"/>
            <w:shd w:val="clear" w:color="auto" w:fill="auto"/>
            <w:vAlign w:val="center"/>
          </w:tcPr>
          <w:p w14:paraId="4FB823E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5FE3A07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89DE3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8375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00175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Pacifico et al. (2016)</w:t>
            </w:r>
          </w:p>
        </w:tc>
        <w:tc>
          <w:tcPr>
            <w:tcW w:w="2939" w:type="dxa"/>
            <w:shd w:val="clear" w:color="auto" w:fill="auto"/>
            <w:vAlign w:val="center"/>
          </w:tcPr>
          <w:p w14:paraId="6449FB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193C0A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2902D8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2007-2015</w:t>
            </w:r>
          </w:p>
        </w:tc>
        <w:tc>
          <w:tcPr>
            <w:tcW w:w="1978" w:type="dxa"/>
            <w:shd w:val="clear" w:color="auto" w:fill="auto"/>
            <w:vAlign w:val="center"/>
          </w:tcPr>
          <w:p w14:paraId="78A50A9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0D698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7C435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198BF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62</w:t>
            </w:r>
          </w:p>
        </w:tc>
        <w:tc>
          <w:tcPr>
            <w:tcW w:w="1639" w:type="dxa"/>
            <w:shd w:val="clear" w:color="auto" w:fill="auto"/>
            <w:vAlign w:val="center"/>
          </w:tcPr>
          <w:p w14:paraId="57A945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107</w:t>
            </w:r>
          </w:p>
        </w:tc>
        <w:tc>
          <w:tcPr>
            <w:tcW w:w="5721" w:type="dxa"/>
            <w:shd w:val="clear" w:color="auto" w:fill="auto"/>
            <w:vAlign w:val="center"/>
          </w:tcPr>
          <w:p w14:paraId="6ED9E0D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344A76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47A52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F2E0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3E587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Papandreou et al. (2012)</w:t>
            </w:r>
          </w:p>
        </w:tc>
        <w:tc>
          <w:tcPr>
            <w:tcW w:w="2939" w:type="dxa"/>
            <w:shd w:val="clear" w:color="auto" w:fill="auto"/>
            <w:vAlign w:val="center"/>
          </w:tcPr>
          <w:p w14:paraId="0F1B3D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72C6F2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Greece</w:t>
            </w:r>
          </w:p>
        </w:tc>
        <w:tc>
          <w:tcPr>
            <w:tcW w:w="1658" w:type="dxa"/>
            <w:shd w:val="clear" w:color="auto" w:fill="auto"/>
            <w:vAlign w:val="center"/>
          </w:tcPr>
          <w:p w14:paraId="5A8832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2007-2011</w:t>
            </w:r>
          </w:p>
        </w:tc>
        <w:tc>
          <w:tcPr>
            <w:tcW w:w="1978" w:type="dxa"/>
            <w:shd w:val="clear" w:color="auto" w:fill="auto"/>
            <w:vAlign w:val="center"/>
          </w:tcPr>
          <w:p w14:paraId="3790D1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D951E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18EEBD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12E2F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c>
          <w:tcPr>
            <w:tcW w:w="1639" w:type="dxa"/>
            <w:shd w:val="clear" w:color="auto" w:fill="auto"/>
            <w:vAlign w:val="center"/>
          </w:tcPr>
          <w:p w14:paraId="3524390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39</w:t>
            </w:r>
          </w:p>
        </w:tc>
        <w:tc>
          <w:tcPr>
            <w:tcW w:w="5721" w:type="dxa"/>
            <w:shd w:val="clear" w:color="auto" w:fill="auto"/>
            <w:vAlign w:val="center"/>
          </w:tcPr>
          <w:p w14:paraId="67A62EC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3BC87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8C494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618A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2AA71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Pozzato et al. (2008)</w:t>
            </w:r>
          </w:p>
        </w:tc>
        <w:tc>
          <w:tcPr>
            <w:tcW w:w="2939" w:type="dxa"/>
            <w:shd w:val="clear" w:color="auto" w:fill="auto"/>
            <w:vAlign w:val="center"/>
          </w:tcPr>
          <w:p w14:paraId="3917BB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B25C3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1634E5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2006-2007</w:t>
            </w:r>
          </w:p>
        </w:tc>
        <w:tc>
          <w:tcPr>
            <w:tcW w:w="1978" w:type="dxa"/>
            <w:shd w:val="clear" w:color="auto" w:fill="auto"/>
            <w:vAlign w:val="center"/>
          </w:tcPr>
          <w:p w14:paraId="36F9DE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ABE6D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A31A9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FLI</w:t>
            </w:r>
          </w:p>
        </w:tc>
        <w:tc>
          <w:tcPr>
            <w:tcW w:w="1300" w:type="dxa"/>
            <w:shd w:val="clear" w:color="auto" w:fill="auto"/>
            <w:vAlign w:val="center"/>
          </w:tcPr>
          <w:p w14:paraId="7EDB31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44</w:t>
            </w:r>
          </w:p>
        </w:tc>
        <w:tc>
          <w:tcPr>
            <w:tcW w:w="1639" w:type="dxa"/>
            <w:shd w:val="clear" w:color="auto" w:fill="auto"/>
            <w:vAlign w:val="center"/>
          </w:tcPr>
          <w:p w14:paraId="175D87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199</w:t>
            </w:r>
          </w:p>
        </w:tc>
        <w:tc>
          <w:tcPr>
            <w:tcW w:w="5721" w:type="dxa"/>
            <w:shd w:val="clear" w:color="auto" w:fill="auto"/>
            <w:vAlign w:val="center"/>
          </w:tcPr>
          <w:p w14:paraId="1915D68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According to the Cole criteria</w:t>
            </w:r>
          </w:p>
        </w:tc>
        <w:tc>
          <w:tcPr>
            <w:tcW w:w="1847" w:type="dxa"/>
            <w:shd w:val="clear" w:color="auto" w:fill="auto"/>
            <w:vAlign w:val="center"/>
          </w:tcPr>
          <w:p w14:paraId="151EB5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7839E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1C81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2DB25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Sagi et al. (2007)</w:t>
            </w:r>
          </w:p>
        </w:tc>
        <w:tc>
          <w:tcPr>
            <w:tcW w:w="2939" w:type="dxa"/>
            <w:shd w:val="clear" w:color="auto" w:fill="auto"/>
            <w:vAlign w:val="center"/>
          </w:tcPr>
          <w:p w14:paraId="733F1D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FF74A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Israel</w:t>
            </w:r>
          </w:p>
        </w:tc>
        <w:tc>
          <w:tcPr>
            <w:tcW w:w="1658" w:type="dxa"/>
            <w:shd w:val="clear" w:color="auto" w:fill="auto"/>
            <w:vAlign w:val="center"/>
          </w:tcPr>
          <w:p w14:paraId="22C740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2003-2004</w:t>
            </w:r>
          </w:p>
        </w:tc>
        <w:tc>
          <w:tcPr>
            <w:tcW w:w="1978" w:type="dxa"/>
            <w:shd w:val="clear" w:color="auto" w:fill="auto"/>
            <w:vAlign w:val="center"/>
          </w:tcPr>
          <w:p w14:paraId="0569D3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9468C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0556D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6AC5B4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89</w:t>
            </w:r>
          </w:p>
        </w:tc>
        <w:tc>
          <w:tcPr>
            <w:tcW w:w="1639" w:type="dxa"/>
            <w:shd w:val="clear" w:color="auto" w:fill="auto"/>
            <w:vAlign w:val="center"/>
          </w:tcPr>
          <w:p w14:paraId="0B7406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287</w:t>
            </w:r>
          </w:p>
        </w:tc>
        <w:tc>
          <w:tcPr>
            <w:tcW w:w="5721" w:type="dxa"/>
            <w:shd w:val="clear" w:color="auto" w:fill="auto"/>
            <w:vAlign w:val="center"/>
          </w:tcPr>
          <w:p w14:paraId="296E5C9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&gt;90th percentile</w:t>
            </w:r>
          </w:p>
        </w:tc>
        <w:tc>
          <w:tcPr>
            <w:tcW w:w="1847" w:type="dxa"/>
            <w:shd w:val="clear" w:color="auto" w:fill="auto"/>
            <w:vAlign w:val="center"/>
          </w:tcPr>
          <w:p w14:paraId="39D31F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F8A812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310F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627A6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Prokopowicz et al. (2018)</w:t>
            </w:r>
          </w:p>
        </w:tc>
        <w:tc>
          <w:tcPr>
            <w:tcW w:w="2939" w:type="dxa"/>
            <w:shd w:val="clear" w:color="auto" w:fill="auto"/>
            <w:vAlign w:val="center"/>
          </w:tcPr>
          <w:p w14:paraId="271D364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B4897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Poland</w:t>
            </w:r>
          </w:p>
        </w:tc>
        <w:tc>
          <w:tcPr>
            <w:tcW w:w="1658" w:type="dxa"/>
            <w:shd w:val="clear" w:color="auto" w:fill="auto"/>
            <w:vAlign w:val="center"/>
          </w:tcPr>
          <w:p w14:paraId="612A40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2012-2014</w:t>
            </w:r>
          </w:p>
        </w:tc>
        <w:tc>
          <w:tcPr>
            <w:tcW w:w="1978" w:type="dxa"/>
            <w:shd w:val="clear" w:color="auto" w:fill="auto"/>
            <w:vAlign w:val="center"/>
          </w:tcPr>
          <w:p w14:paraId="049C53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1D227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F454D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C99FC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69</w:t>
            </w:r>
          </w:p>
        </w:tc>
        <w:tc>
          <w:tcPr>
            <w:tcW w:w="1639" w:type="dxa"/>
            <w:shd w:val="clear" w:color="auto" w:fill="auto"/>
            <w:vAlign w:val="center"/>
          </w:tcPr>
          <w:p w14:paraId="504610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747</w:t>
            </w:r>
          </w:p>
        </w:tc>
        <w:tc>
          <w:tcPr>
            <w:tcW w:w="5721" w:type="dxa"/>
            <w:shd w:val="clear" w:color="auto" w:fill="auto"/>
            <w:vAlign w:val="center"/>
          </w:tcPr>
          <w:p w14:paraId="7DF6F05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LMS method based on Polish reference values</w:t>
            </w:r>
          </w:p>
        </w:tc>
        <w:tc>
          <w:tcPr>
            <w:tcW w:w="1847" w:type="dxa"/>
            <w:shd w:val="clear" w:color="auto" w:fill="auto"/>
            <w:vAlign w:val="center"/>
          </w:tcPr>
          <w:p w14:paraId="57ADA3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D55BD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0A3E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ACC87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Radetti et al. (2006)</w:t>
            </w:r>
          </w:p>
        </w:tc>
        <w:tc>
          <w:tcPr>
            <w:tcW w:w="2939" w:type="dxa"/>
            <w:shd w:val="clear" w:color="auto" w:fill="auto"/>
            <w:vAlign w:val="center"/>
          </w:tcPr>
          <w:p w14:paraId="58F5E7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7D40F33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5EC002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w:t>
            </w:r>
          </w:p>
        </w:tc>
        <w:tc>
          <w:tcPr>
            <w:tcW w:w="1978" w:type="dxa"/>
            <w:shd w:val="clear" w:color="auto" w:fill="auto"/>
            <w:vAlign w:val="center"/>
          </w:tcPr>
          <w:p w14:paraId="6B6102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16D17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C56C0C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F53CB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1639" w:type="dxa"/>
            <w:shd w:val="clear" w:color="auto" w:fill="auto"/>
            <w:vAlign w:val="center"/>
          </w:tcPr>
          <w:p w14:paraId="50C884F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50</w:t>
            </w:r>
          </w:p>
        </w:tc>
        <w:tc>
          <w:tcPr>
            <w:tcW w:w="5721" w:type="dxa"/>
            <w:shd w:val="clear" w:color="auto" w:fill="auto"/>
            <w:vAlign w:val="center"/>
          </w:tcPr>
          <w:p w14:paraId="741289D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3D695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C6C29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0D84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31272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Ruiz-Extremera et al. (2011)</w:t>
            </w:r>
          </w:p>
        </w:tc>
        <w:tc>
          <w:tcPr>
            <w:tcW w:w="2939" w:type="dxa"/>
            <w:shd w:val="clear" w:color="auto" w:fill="auto"/>
            <w:vAlign w:val="center"/>
          </w:tcPr>
          <w:p w14:paraId="647BC0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05378C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Spain</w:t>
            </w:r>
          </w:p>
        </w:tc>
        <w:tc>
          <w:tcPr>
            <w:tcW w:w="1658" w:type="dxa"/>
            <w:shd w:val="clear" w:color="auto" w:fill="auto"/>
            <w:vAlign w:val="center"/>
          </w:tcPr>
          <w:p w14:paraId="25EAE3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w:t>
            </w:r>
          </w:p>
        </w:tc>
        <w:tc>
          <w:tcPr>
            <w:tcW w:w="1978" w:type="dxa"/>
            <w:shd w:val="clear" w:color="auto" w:fill="auto"/>
            <w:vAlign w:val="center"/>
          </w:tcPr>
          <w:p w14:paraId="52AF74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02D9E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2DC7B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29880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262</w:t>
            </w:r>
          </w:p>
        </w:tc>
        <w:tc>
          <w:tcPr>
            <w:tcW w:w="1639" w:type="dxa"/>
            <w:shd w:val="clear" w:color="auto" w:fill="auto"/>
            <w:vAlign w:val="center"/>
          </w:tcPr>
          <w:p w14:paraId="24249C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620</w:t>
            </w:r>
          </w:p>
        </w:tc>
        <w:tc>
          <w:tcPr>
            <w:tcW w:w="5721" w:type="dxa"/>
            <w:shd w:val="clear" w:color="auto" w:fill="auto"/>
            <w:vAlign w:val="center"/>
          </w:tcPr>
          <w:p w14:paraId="2F6DCFA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CFD481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6275C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B813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79D66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Schlieske et al. (2014)</w:t>
            </w:r>
          </w:p>
        </w:tc>
        <w:tc>
          <w:tcPr>
            <w:tcW w:w="2939" w:type="dxa"/>
            <w:shd w:val="clear" w:color="auto" w:fill="auto"/>
            <w:vAlign w:val="center"/>
          </w:tcPr>
          <w:p w14:paraId="2A540A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F9E446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Germany</w:t>
            </w:r>
          </w:p>
        </w:tc>
        <w:tc>
          <w:tcPr>
            <w:tcW w:w="1658" w:type="dxa"/>
            <w:shd w:val="clear" w:color="auto" w:fill="auto"/>
            <w:vAlign w:val="center"/>
          </w:tcPr>
          <w:p w14:paraId="7FE207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2014</w:t>
            </w:r>
          </w:p>
        </w:tc>
        <w:tc>
          <w:tcPr>
            <w:tcW w:w="1978" w:type="dxa"/>
            <w:shd w:val="clear" w:color="auto" w:fill="auto"/>
            <w:vAlign w:val="center"/>
          </w:tcPr>
          <w:p w14:paraId="1D86E0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5B968C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5A0F5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D1417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88</w:t>
            </w:r>
          </w:p>
        </w:tc>
        <w:tc>
          <w:tcPr>
            <w:tcW w:w="1639" w:type="dxa"/>
            <w:shd w:val="clear" w:color="auto" w:fill="auto"/>
            <w:vAlign w:val="center"/>
          </w:tcPr>
          <w:p w14:paraId="043ADCE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248</w:t>
            </w:r>
          </w:p>
        </w:tc>
        <w:tc>
          <w:tcPr>
            <w:tcW w:w="5721" w:type="dxa"/>
            <w:shd w:val="clear" w:color="auto" w:fill="auto"/>
            <w:vAlign w:val="center"/>
          </w:tcPr>
          <w:p w14:paraId="4B6B0B0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4D30C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0F66B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7810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E2767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Damaso et al. (2008)</w:t>
            </w:r>
          </w:p>
        </w:tc>
        <w:tc>
          <w:tcPr>
            <w:tcW w:w="2939" w:type="dxa"/>
            <w:shd w:val="clear" w:color="auto" w:fill="auto"/>
            <w:vAlign w:val="center"/>
          </w:tcPr>
          <w:p w14:paraId="602A41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53DA8F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513CD2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w:t>
            </w:r>
          </w:p>
        </w:tc>
        <w:tc>
          <w:tcPr>
            <w:tcW w:w="1978" w:type="dxa"/>
            <w:shd w:val="clear" w:color="auto" w:fill="auto"/>
            <w:vAlign w:val="center"/>
          </w:tcPr>
          <w:p w14:paraId="330752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08E87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0F965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06711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1639" w:type="dxa"/>
            <w:shd w:val="clear" w:color="auto" w:fill="auto"/>
            <w:vAlign w:val="center"/>
          </w:tcPr>
          <w:p w14:paraId="7CDEE9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71</w:t>
            </w:r>
          </w:p>
        </w:tc>
        <w:tc>
          <w:tcPr>
            <w:tcW w:w="5721" w:type="dxa"/>
            <w:shd w:val="clear" w:color="auto" w:fill="auto"/>
            <w:vAlign w:val="center"/>
          </w:tcPr>
          <w:p w14:paraId="3CEA0C6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B1004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1D9153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71DF0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53921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Jung et al. (2015)</w:t>
            </w:r>
          </w:p>
        </w:tc>
        <w:tc>
          <w:tcPr>
            <w:tcW w:w="2939" w:type="dxa"/>
            <w:shd w:val="clear" w:color="auto" w:fill="auto"/>
            <w:vAlign w:val="center"/>
          </w:tcPr>
          <w:p w14:paraId="418575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63F13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Korea</w:t>
            </w:r>
          </w:p>
        </w:tc>
        <w:tc>
          <w:tcPr>
            <w:tcW w:w="1658" w:type="dxa"/>
            <w:shd w:val="clear" w:color="auto" w:fill="auto"/>
            <w:vAlign w:val="center"/>
          </w:tcPr>
          <w:p w14:paraId="46E458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2013-2014</w:t>
            </w:r>
          </w:p>
        </w:tc>
        <w:tc>
          <w:tcPr>
            <w:tcW w:w="1978" w:type="dxa"/>
            <w:shd w:val="clear" w:color="auto" w:fill="auto"/>
            <w:vAlign w:val="center"/>
          </w:tcPr>
          <w:p w14:paraId="262E22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Retrospective</w:t>
            </w:r>
          </w:p>
        </w:tc>
        <w:tc>
          <w:tcPr>
            <w:tcW w:w="1978" w:type="dxa"/>
            <w:shd w:val="clear" w:color="auto" w:fill="auto"/>
            <w:vAlign w:val="center"/>
          </w:tcPr>
          <w:p w14:paraId="712DD75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183889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5B5E8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82</w:t>
            </w:r>
          </w:p>
        </w:tc>
        <w:tc>
          <w:tcPr>
            <w:tcW w:w="1639" w:type="dxa"/>
            <w:shd w:val="clear" w:color="auto" w:fill="auto"/>
            <w:vAlign w:val="center"/>
          </w:tcPr>
          <w:p w14:paraId="1DFC02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97</w:t>
            </w:r>
          </w:p>
        </w:tc>
        <w:tc>
          <w:tcPr>
            <w:tcW w:w="5721" w:type="dxa"/>
            <w:shd w:val="clear" w:color="auto" w:fill="auto"/>
            <w:vAlign w:val="center"/>
          </w:tcPr>
          <w:p w14:paraId="31A775E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0DAB6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63E1C1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E5A9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CE837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Sezer et al. (2016)</w:t>
            </w:r>
          </w:p>
        </w:tc>
        <w:tc>
          <w:tcPr>
            <w:tcW w:w="2939" w:type="dxa"/>
            <w:shd w:val="clear" w:color="auto" w:fill="auto"/>
            <w:vAlign w:val="center"/>
          </w:tcPr>
          <w:p w14:paraId="50766D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EA715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6DC2A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222B76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6826B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C1657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1BE708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99</w:t>
            </w:r>
          </w:p>
        </w:tc>
        <w:tc>
          <w:tcPr>
            <w:tcW w:w="1639" w:type="dxa"/>
            <w:shd w:val="clear" w:color="auto" w:fill="auto"/>
            <w:vAlign w:val="center"/>
          </w:tcPr>
          <w:p w14:paraId="3AF4D2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332</w:t>
            </w:r>
          </w:p>
        </w:tc>
        <w:tc>
          <w:tcPr>
            <w:tcW w:w="5721" w:type="dxa"/>
            <w:shd w:val="clear" w:color="auto" w:fill="auto"/>
            <w:vAlign w:val="center"/>
          </w:tcPr>
          <w:p w14:paraId="2945770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7B306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EE448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37F1C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163BC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Yildiz et al. (2014)</w:t>
            </w:r>
          </w:p>
        </w:tc>
        <w:tc>
          <w:tcPr>
            <w:tcW w:w="2939" w:type="dxa"/>
            <w:shd w:val="clear" w:color="auto" w:fill="auto"/>
            <w:vAlign w:val="center"/>
          </w:tcPr>
          <w:p w14:paraId="39141E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628F3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70A0447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2012-2013</w:t>
            </w:r>
          </w:p>
        </w:tc>
        <w:tc>
          <w:tcPr>
            <w:tcW w:w="1978" w:type="dxa"/>
            <w:shd w:val="clear" w:color="auto" w:fill="auto"/>
            <w:vAlign w:val="center"/>
          </w:tcPr>
          <w:p w14:paraId="3910A2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FFCFE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557EB7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9D3F7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880</w:t>
            </w:r>
          </w:p>
        </w:tc>
        <w:tc>
          <w:tcPr>
            <w:tcW w:w="1639" w:type="dxa"/>
            <w:shd w:val="clear" w:color="auto" w:fill="auto"/>
            <w:vAlign w:val="center"/>
          </w:tcPr>
          <w:p w14:paraId="6180B25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10204</w:t>
            </w:r>
          </w:p>
        </w:tc>
        <w:tc>
          <w:tcPr>
            <w:tcW w:w="5721" w:type="dxa"/>
            <w:shd w:val="clear" w:color="auto" w:fill="auto"/>
            <w:vAlign w:val="center"/>
          </w:tcPr>
          <w:p w14:paraId="7D72776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&gt;90th percentile</w:t>
            </w:r>
          </w:p>
        </w:tc>
        <w:tc>
          <w:tcPr>
            <w:tcW w:w="1847" w:type="dxa"/>
            <w:shd w:val="clear" w:color="auto" w:fill="auto"/>
            <w:vAlign w:val="center"/>
          </w:tcPr>
          <w:p w14:paraId="261562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6A88F84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3045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EF04E9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Pirgon et al. (2013)</w:t>
            </w:r>
          </w:p>
        </w:tc>
        <w:tc>
          <w:tcPr>
            <w:tcW w:w="2939" w:type="dxa"/>
            <w:shd w:val="clear" w:color="auto" w:fill="auto"/>
            <w:vAlign w:val="center"/>
          </w:tcPr>
          <w:p w14:paraId="45BFC7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EB9AA4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69789B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2010-2011</w:t>
            </w:r>
          </w:p>
        </w:tc>
        <w:tc>
          <w:tcPr>
            <w:tcW w:w="1978" w:type="dxa"/>
            <w:shd w:val="clear" w:color="auto" w:fill="auto"/>
            <w:vAlign w:val="center"/>
          </w:tcPr>
          <w:p w14:paraId="79F9E0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E2361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E702A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H-MRS</w:t>
            </w:r>
          </w:p>
        </w:tc>
        <w:tc>
          <w:tcPr>
            <w:tcW w:w="1300" w:type="dxa"/>
            <w:shd w:val="clear" w:color="auto" w:fill="auto"/>
            <w:vAlign w:val="center"/>
          </w:tcPr>
          <w:p w14:paraId="3638F0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111</w:t>
            </w:r>
          </w:p>
        </w:tc>
        <w:tc>
          <w:tcPr>
            <w:tcW w:w="1639" w:type="dxa"/>
            <w:shd w:val="clear" w:color="auto" w:fill="auto"/>
            <w:vAlign w:val="center"/>
          </w:tcPr>
          <w:p w14:paraId="485501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171</w:t>
            </w:r>
          </w:p>
        </w:tc>
        <w:tc>
          <w:tcPr>
            <w:tcW w:w="5721" w:type="dxa"/>
            <w:shd w:val="clear" w:color="auto" w:fill="auto"/>
            <w:vAlign w:val="center"/>
          </w:tcPr>
          <w:p w14:paraId="09411619">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E84C2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C9FD6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5208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22562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Cali et al. (2007)</w:t>
            </w:r>
          </w:p>
        </w:tc>
        <w:tc>
          <w:tcPr>
            <w:tcW w:w="2939" w:type="dxa"/>
            <w:shd w:val="clear" w:color="auto" w:fill="auto"/>
            <w:vAlign w:val="center"/>
          </w:tcPr>
          <w:p w14:paraId="71C34B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5791E3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7B8B14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w:t>
            </w:r>
          </w:p>
        </w:tc>
        <w:tc>
          <w:tcPr>
            <w:tcW w:w="1978" w:type="dxa"/>
            <w:shd w:val="clear" w:color="auto" w:fill="auto"/>
            <w:vAlign w:val="center"/>
          </w:tcPr>
          <w:p w14:paraId="526C5C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39CF4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53889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7615C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192</w:t>
            </w:r>
          </w:p>
        </w:tc>
        <w:tc>
          <w:tcPr>
            <w:tcW w:w="1639" w:type="dxa"/>
            <w:shd w:val="clear" w:color="auto" w:fill="auto"/>
            <w:vAlign w:val="center"/>
          </w:tcPr>
          <w:p w14:paraId="508E5C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352</w:t>
            </w:r>
          </w:p>
        </w:tc>
        <w:tc>
          <w:tcPr>
            <w:tcW w:w="5721" w:type="dxa"/>
            <w:shd w:val="clear" w:color="auto" w:fill="auto"/>
            <w:vAlign w:val="center"/>
          </w:tcPr>
          <w:p w14:paraId="0183DAD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&gt;90th percentile</w:t>
            </w:r>
          </w:p>
        </w:tc>
        <w:tc>
          <w:tcPr>
            <w:tcW w:w="1847" w:type="dxa"/>
            <w:shd w:val="clear" w:color="auto" w:fill="auto"/>
            <w:vAlign w:val="center"/>
          </w:tcPr>
          <w:p w14:paraId="7978BE5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F40978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4FF0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50CD0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Shi et al. (2017)</w:t>
            </w:r>
          </w:p>
        </w:tc>
        <w:tc>
          <w:tcPr>
            <w:tcW w:w="2939" w:type="dxa"/>
            <w:shd w:val="clear" w:color="auto" w:fill="auto"/>
            <w:vAlign w:val="center"/>
          </w:tcPr>
          <w:p w14:paraId="766E2F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64267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35355A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022E6F4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61677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F436D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Biopsy</w:t>
            </w:r>
          </w:p>
        </w:tc>
        <w:tc>
          <w:tcPr>
            <w:tcW w:w="1300" w:type="dxa"/>
            <w:shd w:val="clear" w:color="auto" w:fill="auto"/>
            <w:vAlign w:val="center"/>
          </w:tcPr>
          <w:p w14:paraId="440B022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148</w:t>
            </w:r>
          </w:p>
        </w:tc>
        <w:tc>
          <w:tcPr>
            <w:tcW w:w="1639" w:type="dxa"/>
            <w:shd w:val="clear" w:color="auto" w:fill="auto"/>
            <w:vAlign w:val="center"/>
          </w:tcPr>
          <w:p w14:paraId="23F2A3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239</w:t>
            </w:r>
          </w:p>
        </w:tc>
        <w:tc>
          <w:tcPr>
            <w:tcW w:w="5721" w:type="dxa"/>
            <w:shd w:val="clear" w:color="auto" w:fill="auto"/>
            <w:vAlign w:val="center"/>
          </w:tcPr>
          <w:p w14:paraId="6A59405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21366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01595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2077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A61D8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Torun et al. (2014)</w:t>
            </w:r>
          </w:p>
        </w:tc>
        <w:tc>
          <w:tcPr>
            <w:tcW w:w="2939" w:type="dxa"/>
            <w:shd w:val="clear" w:color="auto" w:fill="auto"/>
            <w:vAlign w:val="center"/>
          </w:tcPr>
          <w:p w14:paraId="597739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2F94A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EA726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2011-2013</w:t>
            </w:r>
          </w:p>
        </w:tc>
        <w:tc>
          <w:tcPr>
            <w:tcW w:w="1978" w:type="dxa"/>
            <w:shd w:val="clear" w:color="auto" w:fill="auto"/>
            <w:vAlign w:val="center"/>
          </w:tcPr>
          <w:p w14:paraId="78C0B0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494C6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68759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DE4DE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55</w:t>
            </w:r>
          </w:p>
        </w:tc>
        <w:tc>
          <w:tcPr>
            <w:tcW w:w="1639" w:type="dxa"/>
            <w:shd w:val="clear" w:color="auto" w:fill="auto"/>
            <w:vAlign w:val="center"/>
          </w:tcPr>
          <w:p w14:paraId="3ADD7C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80</w:t>
            </w:r>
          </w:p>
        </w:tc>
        <w:tc>
          <w:tcPr>
            <w:tcW w:w="5721" w:type="dxa"/>
            <w:shd w:val="clear" w:color="auto" w:fill="auto"/>
            <w:vAlign w:val="center"/>
          </w:tcPr>
          <w:p w14:paraId="26B4BD5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715FD7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E4499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6A81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BE52D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Ustyol et al. (2017)</w:t>
            </w:r>
          </w:p>
        </w:tc>
        <w:tc>
          <w:tcPr>
            <w:tcW w:w="2939" w:type="dxa"/>
            <w:shd w:val="clear" w:color="auto" w:fill="auto"/>
            <w:vAlign w:val="center"/>
          </w:tcPr>
          <w:p w14:paraId="17C375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05DC6A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16900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2015-2016</w:t>
            </w:r>
          </w:p>
        </w:tc>
        <w:tc>
          <w:tcPr>
            <w:tcW w:w="1978" w:type="dxa"/>
            <w:shd w:val="clear" w:color="auto" w:fill="auto"/>
            <w:vAlign w:val="center"/>
          </w:tcPr>
          <w:p w14:paraId="5569ED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0A8B4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4F0D4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4102D41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41</w:t>
            </w:r>
          </w:p>
        </w:tc>
        <w:tc>
          <w:tcPr>
            <w:tcW w:w="1639" w:type="dxa"/>
            <w:shd w:val="clear" w:color="auto" w:fill="auto"/>
            <w:vAlign w:val="center"/>
          </w:tcPr>
          <w:p w14:paraId="08B1B2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115</w:t>
            </w:r>
          </w:p>
        </w:tc>
        <w:tc>
          <w:tcPr>
            <w:tcW w:w="5721" w:type="dxa"/>
            <w:shd w:val="clear" w:color="auto" w:fill="auto"/>
            <w:vAlign w:val="center"/>
          </w:tcPr>
          <w:p w14:paraId="27B705C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Not specified</w:t>
            </w:r>
          </w:p>
        </w:tc>
        <w:tc>
          <w:tcPr>
            <w:tcW w:w="1847" w:type="dxa"/>
            <w:shd w:val="clear" w:color="auto" w:fill="auto"/>
            <w:vAlign w:val="center"/>
          </w:tcPr>
          <w:p w14:paraId="478514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99ACB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7B382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BAF5D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Vakilishahrbabaki et al. (2018)</w:t>
            </w:r>
          </w:p>
        </w:tc>
        <w:tc>
          <w:tcPr>
            <w:tcW w:w="2939" w:type="dxa"/>
            <w:shd w:val="clear" w:color="auto" w:fill="auto"/>
            <w:vAlign w:val="center"/>
          </w:tcPr>
          <w:p w14:paraId="5EE92E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96090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Iran</w:t>
            </w:r>
          </w:p>
        </w:tc>
        <w:tc>
          <w:tcPr>
            <w:tcW w:w="1658" w:type="dxa"/>
            <w:shd w:val="clear" w:color="auto" w:fill="auto"/>
            <w:vAlign w:val="center"/>
          </w:tcPr>
          <w:p w14:paraId="2675B1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2016-2017</w:t>
            </w:r>
          </w:p>
        </w:tc>
        <w:tc>
          <w:tcPr>
            <w:tcW w:w="1978" w:type="dxa"/>
            <w:shd w:val="clear" w:color="auto" w:fill="auto"/>
            <w:vAlign w:val="center"/>
          </w:tcPr>
          <w:p w14:paraId="650F635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case-control</w:t>
            </w:r>
          </w:p>
        </w:tc>
        <w:tc>
          <w:tcPr>
            <w:tcW w:w="1978" w:type="dxa"/>
            <w:shd w:val="clear" w:color="auto" w:fill="auto"/>
            <w:vAlign w:val="center"/>
          </w:tcPr>
          <w:p w14:paraId="7207564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03ABC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D59E4F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144</w:t>
            </w:r>
          </w:p>
        </w:tc>
        <w:tc>
          <w:tcPr>
            <w:tcW w:w="1639" w:type="dxa"/>
            <w:shd w:val="clear" w:color="auto" w:fill="auto"/>
            <w:vAlign w:val="center"/>
          </w:tcPr>
          <w:p w14:paraId="37A58F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242</w:t>
            </w:r>
          </w:p>
        </w:tc>
        <w:tc>
          <w:tcPr>
            <w:tcW w:w="5721" w:type="dxa"/>
            <w:shd w:val="clear" w:color="auto" w:fill="auto"/>
            <w:vAlign w:val="center"/>
          </w:tcPr>
          <w:p w14:paraId="7922633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1443C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FF003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EE44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61B43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Trico et al. (2018)</w:t>
            </w:r>
          </w:p>
        </w:tc>
        <w:tc>
          <w:tcPr>
            <w:tcW w:w="2939" w:type="dxa"/>
            <w:shd w:val="clear" w:color="auto" w:fill="auto"/>
            <w:vAlign w:val="center"/>
          </w:tcPr>
          <w:p w14:paraId="54CE49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63474A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0805E4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52FE2B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86ADF0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1D8FF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553B0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90</w:t>
            </w:r>
          </w:p>
        </w:tc>
        <w:tc>
          <w:tcPr>
            <w:tcW w:w="1639" w:type="dxa"/>
            <w:shd w:val="clear" w:color="auto" w:fill="auto"/>
            <w:vAlign w:val="center"/>
          </w:tcPr>
          <w:p w14:paraId="4C51A24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168</w:t>
            </w:r>
          </w:p>
        </w:tc>
        <w:tc>
          <w:tcPr>
            <w:tcW w:w="5721" w:type="dxa"/>
            <w:shd w:val="clear" w:color="auto" w:fill="auto"/>
            <w:vAlign w:val="center"/>
          </w:tcPr>
          <w:p w14:paraId="1E5438E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F4298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6BD705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964F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18A5C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Wang et al. (2018)</w:t>
            </w:r>
          </w:p>
        </w:tc>
        <w:tc>
          <w:tcPr>
            <w:tcW w:w="2939" w:type="dxa"/>
            <w:shd w:val="clear" w:color="auto" w:fill="auto"/>
            <w:vAlign w:val="center"/>
          </w:tcPr>
          <w:p w14:paraId="673CA1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9EA2D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436B22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2015-2016</w:t>
            </w:r>
          </w:p>
        </w:tc>
        <w:tc>
          <w:tcPr>
            <w:tcW w:w="1978" w:type="dxa"/>
            <w:shd w:val="clear" w:color="auto" w:fill="auto"/>
            <w:vAlign w:val="center"/>
          </w:tcPr>
          <w:p w14:paraId="5182F4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765AF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1BD4B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9DD14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46</w:t>
            </w:r>
          </w:p>
        </w:tc>
        <w:tc>
          <w:tcPr>
            <w:tcW w:w="1639" w:type="dxa"/>
            <w:shd w:val="clear" w:color="auto" w:fill="auto"/>
            <w:vAlign w:val="center"/>
          </w:tcPr>
          <w:p w14:paraId="3AF4CB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213</w:t>
            </w:r>
          </w:p>
        </w:tc>
        <w:tc>
          <w:tcPr>
            <w:tcW w:w="5721" w:type="dxa"/>
            <w:shd w:val="clear" w:color="auto" w:fill="auto"/>
            <w:vAlign w:val="center"/>
          </w:tcPr>
          <w:p w14:paraId="3D480E2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 score &gt;1</w:t>
            </w:r>
          </w:p>
        </w:tc>
        <w:tc>
          <w:tcPr>
            <w:tcW w:w="1847" w:type="dxa"/>
            <w:shd w:val="clear" w:color="auto" w:fill="auto"/>
            <w:vAlign w:val="center"/>
          </w:tcPr>
          <w:p w14:paraId="1FBF72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D87F69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DDFF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9F86D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Yang et al. (2016)</w:t>
            </w:r>
          </w:p>
        </w:tc>
        <w:tc>
          <w:tcPr>
            <w:tcW w:w="2939" w:type="dxa"/>
            <w:shd w:val="clear" w:color="auto" w:fill="auto"/>
            <w:vAlign w:val="center"/>
          </w:tcPr>
          <w:p w14:paraId="488B216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3E27C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Korea</w:t>
            </w:r>
          </w:p>
        </w:tc>
        <w:tc>
          <w:tcPr>
            <w:tcW w:w="1658" w:type="dxa"/>
            <w:shd w:val="clear" w:color="auto" w:fill="auto"/>
            <w:vAlign w:val="center"/>
          </w:tcPr>
          <w:p w14:paraId="393AC39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2012-2014</w:t>
            </w:r>
          </w:p>
        </w:tc>
        <w:tc>
          <w:tcPr>
            <w:tcW w:w="1978" w:type="dxa"/>
            <w:shd w:val="clear" w:color="auto" w:fill="auto"/>
            <w:vAlign w:val="center"/>
          </w:tcPr>
          <w:p w14:paraId="09C5B1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F454E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E5032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5451C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13</w:t>
            </w:r>
          </w:p>
        </w:tc>
        <w:tc>
          <w:tcPr>
            <w:tcW w:w="1639" w:type="dxa"/>
            <w:shd w:val="clear" w:color="auto" w:fill="auto"/>
            <w:vAlign w:val="center"/>
          </w:tcPr>
          <w:p w14:paraId="0B7DDC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43</w:t>
            </w:r>
          </w:p>
        </w:tc>
        <w:tc>
          <w:tcPr>
            <w:tcW w:w="5721" w:type="dxa"/>
            <w:shd w:val="clear" w:color="auto" w:fill="auto"/>
            <w:vAlign w:val="center"/>
          </w:tcPr>
          <w:p w14:paraId="503409FA">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BMI&gt;30</w:t>
            </w:r>
          </w:p>
        </w:tc>
        <w:tc>
          <w:tcPr>
            <w:tcW w:w="1847" w:type="dxa"/>
            <w:shd w:val="clear" w:color="auto" w:fill="auto"/>
            <w:vAlign w:val="center"/>
          </w:tcPr>
          <w:p w14:paraId="6A0BAE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4FC95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786F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A8FF91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Silveira et al. (2013)</w:t>
            </w:r>
          </w:p>
        </w:tc>
        <w:tc>
          <w:tcPr>
            <w:tcW w:w="2939" w:type="dxa"/>
            <w:shd w:val="clear" w:color="auto" w:fill="auto"/>
            <w:vAlign w:val="center"/>
          </w:tcPr>
          <w:p w14:paraId="22B07BF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0250713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02E34A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w:t>
            </w:r>
          </w:p>
        </w:tc>
        <w:tc>
          <w:tcPr>
            <w:tcW w:w="1978" w:type="dxa"/>
            <w:shd w:val="clear" w:color="auto" w:fill="auto"/>
            <w:vAlign w:val="center"/>
          </w:tcPr>
          <w:p w14:paraId="5D9C1F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BB293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17EE2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80D30A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w:t>
            </w:r>
          </w:p>
        </w:tc>
        <w:tc>
          <w:tcPr>
            <w:tcW w:w="1639" w:type="dxa"/>
            <w:shd w:val="clear" w:color="auto" w:fill="auto"/>
            <w:vAlign w:val="center"/>
          </w:tcPr>
          <w:p w14:paraId="1A7655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33</w:t>
            </w:r>
          </w:p>
        </w:tc>
        <w:tc>
          <w:tcPr>
            <w:tcW w:w="5721" w:type="dxa"/>
            <w:shd w:val="clear" w:color="auto" w:fill="auto"/>
            <w:vAlign w:val="center"/>
          </w:tcPr>
          <w:p w14:paraId="4673697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36BDB5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1BBEC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34D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D5260F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Wasilewska et al. (2018)</w:t>
            </w:r>
          </w:p>
        </w:tc>
        <w:tc>
          <w:tcPr>
            <w:tcW w:w="2939" w:type="dxa"/>
            <w:shd w:val="clear" w:color="auto" w:fill="auto"/>
            <w:vAlign w:val="center"/>
          </w:tcPr>
          <w:p w14:paraId="458E4A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BE668A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Poland</w:t>
            </w:r>
          </w:p>
        </w:tc>
        <w:tc>
          <w:tcPr>
            <w:tcW w:w="1658" w:type="dxa"/>
            <w:shd w:val="clear" w:color="auto" w:fill="auto"/>
            <w:vAlign w:val="center"/>
          </w:tcPr>
          <w:p w14:paraId="5E66C6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47DF82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257D5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E0B61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60BED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120</w:t>
            </w:r>
          </w:p>
        </w:tc>
        <w:tc>
          <w:tcPr>
            <w:tcW w:w="1639" w:type="dxa"/>
            <w:shd w:val="clear" w:color="auto" w:fill="auto"/>
            <w:vAlign w:val="center"/>
          </w:tcPr>
          <w:p w14:paraId="73A505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w:t>
            </w:r>
          </w:p>
        </w:tc>
        <w:tc>
          <w:tcPr>
            <w:tcW w:w="5721" w:type="dxa"/>
            <w:shd w:val="clear" w:color="auto" w:fill="auto"/>
            <w:vAlign w:val="center"/>
          </w:tcPr>
          <w:p w14:paraId="20AA26B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FE6E4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4D9EF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9B1D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899D2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Yang et al. (2014)</w:t>
            </w:r>
          </w:p>
        </w:tc>
        <w:tc>
          <w:tcPr>
            <w:tcW w:w="2939" w:type="dxa"/>
            <w:shd w:val="clear" w:color="auto" w:fill="auto"/>
            <w:vAlign w:val="center"/>
          </w:tcPr>
          <w:p w14:paraId="32413A0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5B812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Korea</w:t>
            </w:r>
          </w:p>
        </w:tc>
        <w:tc>
          <w:tcPr>
            <w:tcW w:w="1658" w:type="dxa"/>
            <w:shd w:val="clear" w:color="auto" w:fill="auto"/>
            <w:vAlign w:val="center"/>
          </w:tcPr>
          <w:p w14:paraId="26671A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2006-2012</w:t>
            </w:r>
          </w:p>
        </w:tc>
        <w:tc>
          <w:tcPr>
            <w:tcW w:w="1978" w:type="dxa"/>
            <w:shd w:val="clear" w:color="auto" w:fill="auto"/>
            <w:vAlign w:val="center"/>
          </w:tcPr>
          <w:p w14:paraId="6DEECE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9A2FFB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22A45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E211A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50</w:t>
            </w:r>
          </w:p>
        </w:tc>
        <w:tc>
          <w:tcPr>
            <w:tcW w:w="1639" w:type="dxa"/>
            <w:shd w:val="clear" w:color="auto" w:fill="auto"/>
            <w:vAlign w:val="center"/>
          </w:tcPr>
          <w:p w14:paraId="39639A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144</w:t>
            </w:r>
          </w:p>
        </w:tc>
        <w:tc>
          <w:tcPr>
            <w:tcW w:w="5721" w:type="dxa"/>
            <w:shd w:val="clear" w:color="auto" w:fill="auto"/>
            <w:vAlign w:val="center"/>
          </w:tcPr>
          <w:p w14:paraId="77BA21B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559734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2D9FD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38CE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6C39F3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Grønbæk et al. (2012)</w:t>
            </w:r>
          </w:p>
        </w:tc>
        <w:tc>
          <w:tcPr>
            <w:tcW w:w="2939" w:type="dxa"/>
            <w:shd w:val="clear" w:color="auto" w:fill="auto"/>
            <w:vAlign w:val="center"/>
          </w:tcPr>
          <w:p w14:paraId="5C922E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1BAF78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Denmark</w:t>
            </w:r>
          </w:p>
        </w:tc>
        <w:tc>
          <w:tcPr>
            <w:tcW w:w="1658" w:type="dxa"/>
            <w:shd w:val="clear" w:color="auto" w:fill="auto"/>
            <w:vAlign w:val="center"/>
          </w:tcPr>
          <w:p w14:paraId="3E7507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w:t>
            </w:r>
          </w:p>
        </w:tc>
        <w:tc>
          <w:tcPr>
            <w:tcW w:w="1978" w:type="dxa"/>
            <w:shd w:val="clear" w:color="auto" w:fill="auto"/>
            <w:vAlign w:val="center"/>
          </w:tcPr>
          <w:p w14:paraId="078F10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74EAB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518D3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6B91E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38</w:t>
            </w:r>
          </w:p>
        </w:tc>
        <w:tc>
          <w:tcPr>
            <w:tcW w:w="1639" w:type="dxa"/>
            <w:shd w:val="clear" w:color="auto" w:fill="auto"/>
            <w:vAlign w:val="center"/>
          </w:tcPr>
          <w:p w14:paraId="6A938D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72</w:t>
            </w:r>
          </w:p>
        </w:tc>
        <w:tc>
          <w:tcPr>
            <w:tcW w:w="5721" w:type="dxa"/>
            <w:shd w:val="clear" w:color="auto" w:fill="auto"/>
            <w:vAlign w:val="center"/>
          </w:tcPr>
          <w:p w14:paraId="37A5ADB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An ideal body weight higher than 160% was considered as morbid obesity. All patients had an IBW over 120%.</w:t>
            </w:r>
          </w:p>
        </w:tc>
        <w:tc>
          <w:tcPr>
            <w:tcW w:w="1847" w:type="dxa"/>
            <w:shd w:val="clear" w:color="auto" w:fill="auto"/>
            <w:vAlign w:val="center"/>
          </w:tcPr>
          <w:p w14:paraId="7E7CCE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920228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66CD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48EAB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Saad et al. (2015)</w:t>
            </w:r>
          </w:p>
        </w:tc>
        <w:tc>
          <w:tcPr>
            <w:tcW w:w="2939" w:type="dxa"/>
            <w:shd w:val="clear" w:color="auto" w:fill="auto"/>
            <w:vAlign w:val="center"/>
          </w:tcPr>
          <w:p w14:paraId="4D7609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504BF6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Canada</w:t>
            </w:r>
          </w:p>
        </w:tc>
        <w:tc>
          <w:tcPr>
            <w:tcW w:w="1658" w:type="dxa"/>
            <w:shd w:val="clear" w:color="auto" w:fill="auto"/>
            <w:vAlign w:val="center"/>
          </w:tcPr>
          <w:p w14:paraId="16C88D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2008-2012</w:t>
            </w:r>
          </w:p>
        </w:tc>
        <w:tc>
          <w:tcPr>
            <w:tcW w:w="1978" w:type="dxa"/>
            <w:shd w:val="clear" w:color="auto" w:fill="auto"/>
            <w:vAlign w:val="center"/>
          </w:tcPr>
          <w:p w14:paraId="55F1BF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A3D2F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B4BA9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5F8AA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157</w:t>
            </w:r>
          </w:p>
        </w:tc>
        <w:tc>
          <w:tcPr>
            <w:tcW w:w="1639" w:type="dxa"/>
            <w:shd w:val="clear" w:color="auto" w:fill="auto"/>
            <w:vAlign w:val="center"/>
          </w:tcPr>
          <w:p w14:paraId="6A55CB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375</w:t>
            </w:r>
          </w:p>
        </w:tc>
        <w:tc>
          <w:tcPr>
            <w:tcW w:w="5721" w:type="dxa"/>
            <w:shd w:val="clear" w:color="auto" w:fill="auto"/>
            <w:vAlign w:val="center"/>
          </w:tcPr>
          <w:p w14:paraId="75DFEDB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 2 s.d. for chronological age</w:t>
            </w:r>
          </w:p>
        </w:tc>
        <w:tc>
          <w:tcPr>
            <w:tcW w:w="1847" w:type="dxa"/>
            <w:shd w:val="clear" w:color="auto" w:fill="auto"/>
            <w:vAlign w:val="center"/>
          </w:tcPr>
          <w:p w14:paraId="37160E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B69E8A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624C1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11829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Zou et al. (2005)</w:t>
            </w:r>
          </w:p>
        </w:tc>
        <w:tc>
          <w:tcPr>
            <w:tcW w:w="2939" w:type="dxa"/>
            <w:shd w:val="clear" w:color="auto" w:fill="auto"/>
            <w:vAlign w:val="center"/>
          </w:tcPr>
          <w:p w14:paraId="05D9D6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7EF7E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619A59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2005</w:t>
            </w:r>
          </w:p>
        </w:tc>
        <w:tc>
          <w:tcPr>
            <w:tcW w:w="1978" w:type="dxa"/>
            <w:shd w:val="clear" w:color="auto" w:fill="auto"/>
            <w:vAlign w:val="center"/>
          </w:tcPr>
          <w:p w14:paraId="75AD4A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C643D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6D599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010C9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41</w:t>
            </w:r>
          </w:p>
        </w:tc>
        <w:tc>
          <w:tcPr>
            <w:tcW w:w="1639" w:type="dxa"/>
            <w:shd w:val="clear" w:color="auto" w:fill="auto"/>
            <w:vAlign w:val="center"/>
          </w:tcPr>
          <w:p w14:paraId="178C1B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212</w:t>
            </w:r>
          </w:p>
        </w:tc>
        <w:tc>
          <w:tcPr>
            <w:tcW w:w="5721" w:type="dxa"/>
            <w:shd w:val="clear" w:color="auto" w:fill="auto"/>
            <w:vAlign w:val="center"/>
          </w:tcPr>
          <w:p w14:paraId="0DEC4F0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54142A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720B59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786BD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D2FBB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Bohte et al. (2011)</w:t>
            </w:r>
          </w:p>
        </w:tc>
        <w:tc>
          <w:tcPr>
            <w:tcW w:w="2939" w:type="dxa"/>
            <w:shd w:val="clear" w:color="auto" w:fill="auto"/>
            <w:vAlign w:val="center"/>
          </w:tcPr>
          <w:p w14:paraId="1999D4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26C9BC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Netherlands</w:t>
            </w:r>
          </w:p>
        </w:tc>
        <w:tc>
          <w:tcPr>
            <w:tcW w:w="1658" w:type="dxa"/>
            <w:shd w:val="clear" w:color="auto" w:fill="auto"/>
            <w:vAlign w:val="center"/>
          </w:tcPr>
          <w:p w14:paraId="22C27B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2008-2010</w:t>
            </w:r>
          </w:p>
        </w:tc>
        <w:tc>
          <w:tcPr>
            <w:tcW w:w="1978" w:type="dxa"/>
            <w:shd w:val="clear" w:color="auto" w:fill="auto"/>
            <w:vAlign w:val="center"/>
          </w:tcPr>
          <w:p w14:paraId="13B478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D61D0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0449E5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E4B86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202</w:t>
            </w:r>
          </w:p>
        </w:tc>
        <w:tc>
          <w:tcPr>
            <w:tcW w:w="1639" w:type="dxa"/>
            <w:shd w:val="clear" w:color="auto" w:fill="auto"/>
            <w:vAlign w:val="center"/>
          </w:tcPr>
          <w:p w14:paraId="371FA5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332</w:t>
            </w:r>
          </w:p>
        </w:tc>
        <w:tc>
          <w:tcPr>
            <w:tcW w:w="5721" w:type="dxa"/>
            <w:shd w:val="clear" w:color="auto" w:fill="auto"/>
            <w:vAlign w:val="center"/>
          </w:tcPr>
          <w:p w14:paraId="580A3D6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473CF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3985C1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E40D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36A956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Chiloiro et al. (2008)</w:t>
            </w:r>
          </w:p>
        </w:tc>
        <w:tc>
          <w:tcPr>
            <w:tcW w:w="2939" w:type="dxa"/>
            <w:shd w:val="clear" w:color="auto" w:fill="auto"/>
            <w:vAlign w:val="center"/>
          </w:tcPr>
          <w:p w14:paraId="5969F5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46BF72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4DCAA9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w:t>
            </w:r>
          </w:p>
        </w:tc>
        <w:tc>
          <w:tcPr>
            <w:tcW w:w="1978" w:type="dxa"/>
            <w:shd w:val="clear" w:color="auto" w:fill="auto"/>
            <w:vAlign w:val="center"/>
          </w:tcPr>
          <w:p w14:paraId="260397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D656C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A9B5E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43D970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268</w:t>
            </w:r>
          </w:p>
        </w:tc>
        <w:tc>
          <w:tcPr>
            <w:tcW w:w="1639" w:type="dxa"/>
            <w:shd w:val="clear" w:color="auto" w:fill="auto"/>
            <w:vAlign w:val="center"/>
          </w:tcPr>
          <w:p w14:paraId="61E2E6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596</w:t>
            </w:r>
          </w:p>
        </w:tc>
        <w:tc>
          <w:tcPr>
            <w:tcW w:w="5721" w:type="dxa"/>
            <w:shd w:val="clear" w:color="auto" w:fill="auto"/>
            <w:vAlign w:val="center"/>
          </w:tcPr>
          <w:p w14:paraId="34C6F12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Z-score &gt;2</w:t>
            </w:r>
          </w:p>
        </w:tc>
        <w:tc>
          <w:tcPr>
            <w:tcW w:w="1847" w:type="dxa"/>
            <w:shd w:val="clear" w:color="auto" w:fill="auto"/>
            <w:vAlign w:val="center"/>
          </w:tcPr>
          <w:p w14:paraId="5D2DE12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54404A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74E3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C8EA0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Silva et al. (2006)</w:t>
            </w:r>
          </w:p>
        </w:tc>
        <w:tc>
          <w:tcPr>
            <w:tcW w:w="2939" w:type="dxa"/>
            <w:shd w:val="clear" w:color="auto" w:fill="auto"/>
            <w:vAlign w:val="center"/>
          </w:tcPr>
          <w:p w14:paraId="109DA98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40342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Sri Lanka</w:t>
            </w:r>
          </w:p>
        </w:tc>
        <w:tc>
          <w:tcPr>
            <w:tcW w:w="1658" w:type="dxa"/>
            <w:shd w:val="clear" w:color="auto" w:fill="auto"/>
            <w:vAlign w:val="center"/>
          </w:tcPr>
          <w:p w14:paraId="7AC8B4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2004-2005</w:t>
            </w:r>
          </w:p>
        </w:tc>
        <w:tc>
          <w:tcPr>
            <w:tcW w:w="1978" w:type="dxa"/>
            <w:shd w:val="clear" w:color="auto" w:fill="auto"/>
            <w:vAlign w:val="center"/>
          </w:tcPr>
          <w:p w14:paraId="3E6A37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A96D5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B129E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6AEB2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38</w:t>
            </w:r>
          </w:p>
        </w:tc>
        <w:tc>
          <w:tcPr>
            <w:tcW w:w="1639" w:type="dxa"/>
            <w:shd w:val="clear" w:color="auto" w:fill="auto"/>
            <w:vAlign w:val="center"/>
          </w:tcPr>
          <w:p w14:paraId="7295A6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85</w:t>
            </w:r>
          </w:p>
        </w:tc>
        <w:tc>
          <w:tcPr>
            <w:tcW w:w="5721" w:type="dxa"/>
            <w:shd w:val="clear" w:color="auto" w:fill="auto"/>
            <w:vAlign w:val="center"/>
          </w:tcPr>
          <w:p w14:paraId="7CE27E3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07CA4E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B25C8A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C6E3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9CEAF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Denzer et al. (2009)</w:t>
            </w:r>
          </w:p>
        </w:tc>
        <w:tc>
          <w:tcPr>
            <w:tcW w:w="2939" w:type="dxa"/>
            <w:shd w:val="clear" w:color="auto" w:fill="auto"/>
            <w:vAlign w:val="center"/>
          </w:tcPr>
          <w:p w14:paraId="1B37FC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4208A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Germany</w:t>
            </w:r>
          </w:p>
        </w:tc>
        <w:tc>
          <w:tcPr>
            <w:tcW w:w="1658" w:type="dxa"/>
            <w:shd w:val="clear" w:color="auto" w:fill="auto"/>
            <w:vAlign w:val="center"/>
          </w:tcPr>
          <w:p w14:paraId="13AB25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2009</w:t>
            </w:r>
          </w:p>
        </w:tc>
        <w:tc>
          <w:tcPr>
            <w:tcW w:w="1978" w:type="dxa"/>
            <w:shd w:val="clear" w:color="auto" w:fill="auto"/>
            <w:vAlign w:val="center"/>
          </w:tcPr>
          <w:p w14:paraId="67A5BD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6A3054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2EDE0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77B674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w:t>
            </w:r>
          </w:p>
        </w:tc>
        <w:tc>
          <w:tcPr>
            <w:tcW w:w="1639" w:type="dxa"/>
            <w:shd w:val="clear" w:color="auto" w:fill="auto"/>
            <w:vAlign w:val="center"/>
          </w:tcPr>
          <w:p w14:paraId="22802D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60</w:t>
            </w:r>
          </w:p>
        </w:tc>
        <w:tc>
          <w:tcPr>
            <w:tcW w:w="5721" w:type="dxa"/>
            <w:shd w:val="clear" w:color="auto" w:fill="auto"/>
            <w:vAlign w:val="center"/>
          </w:tcPr>
          <w:p w14:paraId="0EFFB5E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 2 s.d. for chronological age</w:t>
            </w:r>
          </w:p>
        </w:tc>
        <w:tc>
          <w:tcPr>
            <w:tcW w:w="1847" w:type="dxa"/>
            <w:shd w:val="clear" w:color="auto" w:fill="auto"/>
            <w:vAlign w:val="center"/>
          </w:tcPr>
          <w:p w14:paraId="7B0705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AE118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72E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EE6FA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Hacihamdioglu et al. (2011)</w:t>
            </w:r>
          </w:p>
        </w:tc>
        <w:tc>
          <w:tcPr>
            <w:tcW w:w="2939" w:type="dxa"/>
            <w:shd w:val="clear" w:color="auto" w:fill="auto"/>
            <w:vAlign w:val="center"/>
          </w:tcPr>
          <w:p w14:paraId="09A33F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AA35E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747B0D7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w:t>
            </w:r>
          </w:p>
        </w:tc>
        <w:tc>
          <w:tcPr>
            <w:tcW w:w="1978" w:type="dxa"/>
            <w:shd w:val="clear" w:color="auto" w:fill="auto"/>
            <w:vAlign w:val="center"/>
          </w:tcPr>
          <w:p w14:paraId="3FBC382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D79CF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21E43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7824B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35</w:t>
            </w:r>
          </w:p>
        </w:tc>
        <w:tc>
          <w:tcPr>
            <w:tcW w:w="1639" w:type="dxa"/>
            <w:shd w:val="clear" w:color="auto" w:fill="auto"/>
            <w:vAlign w:val="center"/>
          </w:tcPr>
          <w:p w14:paraId="3CBB26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58</w:t>
            </w:r>
          </w:p>
        </w:tc>
        <w:tc>
          <w:tcPr>
            <w:tcW w:w="5721" w:type="dxa"/>
            <w:shd w:val="clear" w:color="auto" w:fill="auto"/>
            <w:vAlign w:val="center"/>
          </w:tcPr>
          <w:p w14:paraId="38B5425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7940F1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95A00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3B147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B4886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Kim et al. (2012)</w:t>
            </w:r>
          </w:p>
        </w:tc>
        <w:tc>
          <w:tcPr>
            <w:tcW w:w="2939" w:type="dxa"/>
            <w:shd w:val="clear" w:color="auto" w:fill="auto"/>
            <w:vAlign w:val="center"/>
          </w:tcPr>
          <w:p w14:paraId="55A07C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711466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6DA94C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w:t>
            </w:r>
          </w:p>
        </w:tc>
        <w:tc>
          <w:tcPr>
            <w:tcW w:w="1978" w:type="dxa"/>
            <w:shd w:val="clear" w:color="auto" w:fill="auto"/>
            <w:vAlign w:val="center"/>
          </w:tcPr>
          <w:p w14:paraId="48B38B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16574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540DA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237F1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34</w:t>
            </w:r>
          </w:p>
        </w:tc>
        <w:tc>
          <w:tcPr>
            <w:tcW w:w="1639" w:type="dxa"/>
            <w:shd w:val="clear" w:color="auto" w:fill="auto"/>
            <w:vAlign w:val="center"/>
          </w:tcPr>
          <w:p w14:paraId="0B7620F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108</w:t>
            </w:r>
          </w:p>
        </w:tc>
        <w:tc>
          <w:tcPr>
            <w:tcW w:w="5721" w:type="dxa"/>
            <w:shd w:val="clear" w:color="auto" w:fill="auto"/>
            <w:vAlign w:val="center"/>
          </w:tcPr>
          <w:p w14:paraId="5254AB4A">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&gt;97th percentile</w:t>
            </w:r>
          </w:p>
        </w:tc>
        <w:tc>
          <w:tcPr>
            <w:tcW w:w="1847" w:type="dxa"/>
            <w:shd w:val="clear" w:color="auto" w:fill="auto"/>
            <w:vAlign w:val="center"/>
          </w:tcPr>
          <w:p w14:paraId="64AF43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16297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0159C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A2F2A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El-Koofy et al. (2012)</w:t>
            </w:r>
          </w:p>
        </w:tc>
        <w:tc>
          <w:tcPr>
            <w:tcW w:w="2939" w:type="dxa"/>
            <w:shd w:val="clear" w:color="auto" w:fill="auto"/>
            <w:vAlign w:val="center"/>
          </w:tcPr>
          <w:p w14:paraId="1B4D5C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Africa</w:t>
            </w:r>
          </w:p>
        </w:tc>
        <w:tc>
          <w:tcPr>
            <w:tcW w:w="3345" w:type="dxa"/>
            <w:shd w:val="clear" w:color="auto" w:fill="auto"/>
            <w:vAlign w:val="center"/>
          </w:tcPr>
          <w:p w14:paraId="77254FF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Egypt</w:t>
            </w:r>
          </w:p>
        </w:tc>
        <w:tc>
          <w:tcPr>
            <w:tcW w:w="1658" w:type="dxa"/>
            <w:shd w:val="clear" w:color="auto" w:fill="auto"/>
            <w:vAlign w:val="center"/>
          </w:tcPr>
          <w:p w14:paraId="1287A8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w:t>
            </w:r>
          </w:p>
        </w:tc>
        <w:tc>
          <w:tcPr>
            <w:tcW w:w="1978" w:type="dxa"/>
            <w:shd w:val="clear" w:color="auto" w:fill="auto"/>
            <w:vAlign w:val="center"/>
          </w:tcPr>
          <w:p w14:paraId="0D2A318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D04D3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A12C9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770E45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w:t>
            </w:r>
          </w:p>
        </w:tc>
        <w:tc>
          <w:tcPr>
            <w:tcW w:w="1639" w:type="dxa"/>
            <w:shd w:val="clear" w:color="auto" w:fill="auto"/>
            <w:vAlign w:val="center"/>
          </w:tcPr>
          <w:p w14:paraId="14DC24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44</w:t>
            </w:r>
          </w:p>
        </w:tc>
        <w:tc>
          <w:tcPr>
            <w:tcW w:w="5721" w:type="dxa"/>
            <w:shd w:val="clear" w:color="auto" w:fill="auto"/>
            <w:vAlign w:val="center"/>
          </w:tcPr>
          <w:p w14:paraId="0AC304F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&gt;97th percentile</w:t>
            </w:r>
          </w:p>
        </w:tc>
        <w:tc>
          <w:tcPr>
            <w:tcW w:w="1847" w:type="dxa"/>
            <w:shd w:val="clear" w:color="auto" w:fill="auto"/>
            <w:vAlign w:val="center"/>
          </w:tcPr>
          <w:p w14:paraId="1C1635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19A2D1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w:t>
            </w:r>
          </w:p>
        </w:tc>
      </w:tr>
      <w:tr w14:paraId="3BC4F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5BE34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Ozkol et al. (2010)</w:t>
            </w:r>
          </w:p>
        </w:tc>
        <w:tc>
          <w:tcPr>
            <w:tcW w:w="2939" w:type="dxa"/>
            <w:shd w:val="clear" w:color="auto" w:fill="auto"/>
            <w:vAlign w:val="center"/>
          </w:tcPr>
          <w:p w14:paraId="2EF201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4D302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356A07F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w:t>
            </w:r>
          </w:p>
        </w:tc>
        <w:tc>
          <w:tcPr>
            <w:tcW w:w="1978" w:type="dxa"/>
            <w:shd w:val="clear" w:color="auto" w:fill="auto"/>
            <w:vAlign w:val="center"/>
          </w:tcPr>
          <w:p w14:paraId="3347E4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FF5B4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E2CDC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6396B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57</w:t>
            </w:r>
          </w:p>
        </w:tc>
        <w:tc>
          <w:tcPr>
            <w:tcW w:w="1639" w:type="dxa"/>
            <w:shd w:val="clear" w:color="auto" w:fill="auto"/>
            <w:vAlign w:val="center"/>
          </w:tcPr>
          <w:p w14:paraId="1A778F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127</w:t>
            </w:r>
          </w:p>
        </w:tc>
        <w:tc>
          <w:tcPr>
            <w:tcW w:w="5721" w:type="dxa"/>
            <w:shd w:val="clear" w:color="auto" w:fill="auto"/>
            <w:vAlign w:val="center"/>
          </w:tcPr>
          <w:p w14:paraId="00BD0E6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7D9F9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5F759E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E0B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6BCF6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Papandreou et al. (2008)</w:t>
            </w:r>
          </w:p>
        </w:tc>
        <w:tc>
          <w:tcPr>
            <w:tcW w:w="2939" w:type="dxa"/>
            <w:shd w:val="clear" w:color="auto" w:fill="auto"/>
            <w:vAlign w:val="center"/>
          </w:tcPr>
          <w:p w14:paraId="66ACCF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7F56B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Greece</w:t>
            </w:r>
          </w:p>
        </w:tc>
        <w:tc>
          <w:tcPr>
            <w:tcW w:w="1658" w:type="dxa"/>
            <w:shd w:val="clear" w:color="auto" w:fill="auto"/>
            <w:vAlign w:val="center"/>
          </w:tcPr>
          <w:p w14:paraId="0281E7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2005-2006</w:t>
            </w:r>
          </w:p>
        </w:tc>
        <w:tc>
          <w:tcPr>
            <w:tcW w:w="1978" w:type="dxa"/>
            <w:shd w:val="clear" w:color="auto" w:fill="auto"/>
            <w:vAlign w:val="center"/>
          </w:tcPr>
          <w:p w14:paraId="527EC2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617BF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DDF07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086DD9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121</w:t>
            </w:r>
          </w:p>
        </w:tc>
        <w:tc>
          <w:tcPr>
            <w:tcW w:w="1639" w:type="dxa"/>
            <w:shd w:val="clear" w:color="auto" w:fill="auto"/>
            <w:vAlign w:val="center"/>
          </w:tcPr>
          <w:p w14:paraId="1A4D19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447</w:t>
            </w:r>
          </w:p>
        </w:tc>
        <w:tc>
          <w:tcPr>
            <w:tcW w:w="5721" w:type="dxa"/>
            <w:shd w:val="clear" w:color="auto" w:fill="auto"/>
            <w:vAlign w:val="center"/>
          </w:tcPr>
          <w:p w14:paraId="7B726EC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&gt;90th percentile</w:t>
            </w:r>
          </w:p>
        </w:tc>
        <w:tc>
          <w:tcPr>
            <w:tcW w:w="1847" w:type="dxa"/>
            <w:shd w:val="clear" w:color="auto" w:fill="auto"/>
            <w:vAlign w:val="center"/>
          </w:tcPr>
          <w:p w14:paraId="7030B9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BB421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7B6FB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8BEF4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Perseghin et al. (2006)</w:t>
            </w:r>
          </w:p>
        </w:tc>
        <w:tc>
          <w:tcPr>
            <w:tcW w:w="2939" w:type="dxa"/>
            <w:shd w:val="clear" w:color="auto" w:fill="auto"/>
            <w:vAlign w:val="center"/>
          </w:tcPr>
          <w:p w14:paraId="155FAD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F030E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21D0BD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w:t>
            </w:r>
          </w:p>
        </w:tc>
        <w:tc>
          <w:tcPr>
            <w:tcW w:w="1978" w:type="dxa"/>
            <w:shd w:val="clear" w:color="auto" w:fill="auto"/>
            <w:vAlign w:val="center"/>
          </w:tcPr>
          <w:p w14:paraId="1B2091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AAB48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8BF65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351A4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82</w:t>
            </w:r>
          </w:p>
        </w:tc>
        <w:tc>
          <w:tcPr>
            <w:tcW w:w="1639" w:type="dxa"/>
            <w:shd w:val="clear" w:color="auto" w:fill="auto"/>
            <w:vAlign w:val="center"/>
          </w:tcPr>
          <w:p w14:paraId="3D80CB8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181</w:t>
            </w:r>
          </w:p>
        </w:tc>
        <w:tc>
          <w:tcPr>
            <w:tcW w:w="5721" w:type="dxa"/>
            <w:shd w:val="clear" w:color="auto" w:fill="auto"/>
            <w:vAlign w:val="center"/>
          </w:tcPr>
          <w:p w14:paraId="7D190A9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2C5BB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DC9473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26C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1988B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Reinehr et al. (2008)</w:t>
            </w:r>
          </w:p>
        </w:tc>
        <w:tc>
          <w:tcPr>
            <w:tcW w:w="2939" w:type="dxa"/>
            <w:shd w:val="clear" w:color="auto" w:fill="auto"/>
            <w:vAlign w:val="center"/>
          </w:tcPr>
          <w:p w14:paraId="5335336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574B85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Germany</w:t>
            </w:r>
          </w:p>
        </w:tc>
        <w:tc>
          <w:tcPr>
            <w:tcW w:w="1658" w:type="dxa"/>
            <w:shd w:val="clear" w:color="auto" w:fill="auto"/>
            <w:vAlign w:val="center"/>
          </w:tcPr>
          <w:p w14:paraId="533422F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w:t>
            </w:r>
          </w:p>
        </w:tc>
        <w:tc>
          <w:tcPr>
            <w:tcW w:w="1978" w:type="dxa"/>
            <w:shd w:val="clear" w:color="auto" w:fill="auto"/>
            <w:vAlign w:val="center"/>
          </w:tcPr>
          <w:p w14:paraId="5C1306F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BC052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0C7D3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8AEC7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28</w:t>
            </w:r>
          </w:p>
        </w:tc>
        <w:tc>
          <w:tcPr>
            <w:tcW w:w="1639" w:type="dxa"/>
            <w:shd w:val="clear" w:color="auto" w:fill="auto"/>
            <w:vAlign w:val="center"/>
          </w:tcPr>
          <w:p w14:paraId="5BBE4D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64</w:t>
            </w:r>
          </w:p>
        </w:tc>
        <w:tc>
          <w:tcPr>
            <w:tcW w:w="5721" w:type="dxa"/>
            <w:shd w:val="clear" w:color="auto" w:fill="auto"/>
            <w:vAlign w:val="center"/>
          </w:tcPr>
          <w:p w14:paraId="573F69E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48835F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C39C97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7FCA3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72824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Tock et al. (2006)</w:t>
            </w:r>
          </w:p>
        </w:tc>
        <w:tc>
          <w:tcPr>
            <w:tcW w:w="2939" w:type="dxa"/>
            <w:shd w:val="clear" w:color="auto" w:fill="auto"/>
            <w:vAlign w:val="center"/>
          </w:tcPr>
          <w:p w14:paraId="6A4CBB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01BEF8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1D4DD5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w:t>
            </w:r>
          </w:p>
        </w:tc>
        <w:tc>
          <w:tcPr>
            <w:tcW w:w="1978" w:type="dxa"/>
            <w:shd w:val="clear" w:color="auto" w:fill="auto"/>
            <w:vAlign w:val="center"/>
          </w:tcPr>
          <w:p w14:paraId="1782DE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0757C0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731BF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76C2A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58</w:t>
            </w:r>
          </w:p>
        </w:tc>
        <w:tc>
          <w:tcPr>
            <w:tcW w:w="1639" w:type="dxa"/>
            <w:shd w:val="clear" w:color="auto" w:fill="auto"/>
            <w:vAlign w:val="center"/>
          </w:tcPr>
          <w:p w14:paraId="279C12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113</w:t>
            </w:r>
          </w:p>
        </w:tc>
        <w:tc>
          <w:tcPr>
            <w:tcW w:w="5721" w:type="dxa"/>
            <w:shd w:val="clear" w:color="auto" w:fill="auto"/>
            <w:vAlign w:val="center"/>
          </w:tcPr>
          <w:p w14:paraId="5CEE78A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9A9AA2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A785F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2126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A7F65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Xanthakos et al. (2006)</w:t>
            </w:r>
          </w:p>
        </w:tc>
        <w:tc>
          <w:tcPr>
            <w:tcW w:w="2939" w:type="dxa"/>
            <w:shd w:val="clear" w:color="auto" w:fill="auto"/>
            <w:vAlign w:val="center"/>
          </w:tcPr>
          <w:p w14:paraId="232C64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4D9DC8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0F3195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2003-2005</w:t>
            </w:r>
          </w:p>
        </w:tc>
        <w:tc>
          <w:tcPr>
            <w:tcW w:w="1978" w:type="dxa"/>
            <w:shd w:val="clear" w:color="auto" w:fill="auto"/>
            <w:vAlign w:val="center"/>
          </w:tcPr>
          <w:p w14:paraId="3065A3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B919C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5C3CF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665C1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58</w:t>
            </w:r>
          </w:p>
        </w:tc>
        <w:tc>
          <w:tcPr>
            <w:tcW w:w="1639" w:type="dxa"/>
            <w:shd w:val="clear" w:color="auto" w:fill="auto"/>
            <w:vAlign w:val="center"/>
          </w:tcPr>
          <w:p w14:paraId="6893EE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101</w:t>
            </w:r>
          </w:p>
        </w:tc>
        <w:tc>
          <w:tcPr>
            <w:tcW w:w="5721" w:type="dxa"/>
            <w:shd w:val="clear" w:color="auto" w:fill="auto"/>
            <w:vAlign w:val="center"/>
          </w:tcPr>
          <w:p w14:paraId="5DAEEBC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28710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76134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46BE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1CB74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Boza et al. (2011)</w:t>
            </w:r>
          </w:p>
        </w:tc>
        <w:tc>
          <w:tcPr>
            <w:tcW w:w="2939" w:type="dxa"/>
            <w:shd w:val="clear" w:color="auto" w:fill="auto"/>
            <w:vAlign w:val="center"/>
          </w:tcPr>
          <w:p w14:paraId="5F9D59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500057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Chile</w:t>
            </w:r>
          </w:p>
        </w:tc>
        <w:tc>
          <w:tcPr>
            <w:tcW w:w="1658" w:type="dxa"/>
            <w:shd w:val="clear" w:color="auto" w:fill="auto"/>
            <w:vAlign w:val="center"/>
          </w:tcPr>
          <w:p w14:paraId="6445BD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2006-2009</w:t>
            </w:r>
          </w:p>
        </w:tc>
        <w:tc>
          <w:tcPr>
            <w:tcW w:w="1978" w:type="dxa"/>
            <w:shd w:val="clear" w:color="auto" w:fill="auto"/>
            <w:vAlign w:val="center"/>
          </w:tcPr>
          <w:p w14:paraId="7A6FE8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99585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FC23F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1AF5D8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45</w:t>
            </w:r>
          </w:p>
        </w:tc>
        <w:tc>
          <w:tcPr>
            <w:tcW w:w="1639" w:type="dxa"/>
            <w:shd w:val="clear" w:color="auto" w:fill="auto"/>
            <w:vAlign w:val="center"/>
          </w:tcPr>
          <w:p w14:paraId="39CEE6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87</w:t>
            </w:r>
          </w:p>
        </w:tc>
        <w:tc>
          <w:tcPr>
            <w:tcW w:w="5721" w:type="dxa"/>
            <w:shd w:val="clear" w:color="auto" w:fill="auto"/>
            <w:vAlign w:val="center"/>
          </w:tcPr>
          <w:p w14:paraId="35897D0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3C536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8AAF4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w:t>
            </w:r>
          </w:p>
        </w:tc>
      </w:tr>
      <w:tr w14:paraId="32C0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D74E6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Koot et al. (2011)</w:t>
            </w:r>
          </w:p>
        </w:tc>
        <w:tc>
          <w:tcPr>
            <w:tcW w:w="2939" w:type="dxa"/>
            <w:shd w:val="clear" w:color="auto" w:fill="auto"/>
            <w:vAlign w:val="center"/>
          </w:tcPr>
          <w:p w14:paraId="03733E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27CDAF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Netherlands</w:t>
            </w:r>
          </w:p>
        </w:tc>
        <w:tc>
          <w:tcPr>
            <w:tcW w:w="1658" w:type="dxa"/>
            <w:shd w:val="clear" w:color="auto" w:fill="auto"/>
            <w:vAlign w:val="center"/>
          </w:tcPr>
          <w:p w14:paraId="6DD9B7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2004-2008</w:t>
            </w:r>
          </w:p>
        </w:tc>
        <w:tc>
          <w:tcPr>
            <w:tcW w:w="1978" w:type="dxa"/>
            <w:shd w:val="clear" w:color="auto" w:fill="auto"/>
            <w:vAlign w:val="center"/>
          </w:tcPr>
          <w:p w14:paraId="50C225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A4FA0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8922C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5497F8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w:t>
            </w:r>
          </w:p>
        </w:tc>
        <w:tc>
          <w:tcPr>
            <w:tcW w:w="1639" w:type="dxa"/>
            <w:shd w:val="clear" w:color="auto" w:fill="auto"/>
            <w:vAlign w:val="center"/>
          </w:tcPr>
          <w:p w14:paraId="56ACC3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49</w:t>
            </w:r>
          </w:p>
        </w:tc>
        <w:tc>
          <w:tcPr>
            <w:tcW w:w="5721" w:type="dxa"/>
            <w:shd w:val="clear" w:color="auto" w:fill="auto"/>
            <w:vAlign w:val="center"/>
          </w:tcPr>
          <w:p w14:paraId="3BF7770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05499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361DC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4EC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FC6068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Alqahtani et al. (2017)</w:t>
            </w:r>
          </w:p>
        </w:tc>
        <w:tc>
          <w:tcPr>
            <w:tcW w:w="2939" w:type="dxa"/>
            <w:shd w:val="clear" w:color="auto" w:fill="auto"/>
            <w:vAlign w:val="center"/>
          </w:tcPr>
          <w:p w14:paraId="4437C8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A770B5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Saudi Arabia</w:t>
            </w:r>
          </w:p>
        </w:tc>
        <w:tc>
          <w:tcPr>
            <w:tcW w:w="1658" w:type="dxa"/>
            <w:shd w:val="clear" w:color="auto" w:fill="auto"/>
            <w:vAlign w:val="center"/>
          </w:tcPr>
          <w:p w14:paraId="6F42BD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w:t>
            </w:r>
          </w:p>
        </w:tc>
        <w:tc>
          <w:tcPr>
            <w:tcW w:w="1978" w:type="dxa"/>
            <w:shd w:val="clear" w:color="auto" w:fill="auto"/>
            <w:vAlign w:val="center"/>
          </w:tcPr>
          <w:p w14:paraId="02F3DB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6501A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E67C30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79222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43</w:t>
            </w:r>
          </w:p>
        </w:tc>
        <w:tc>
          <w:tcPr>
            <w:tcW w:w="1639" w:type="dxa"/>
            <w:shd w:val="clear" w:color="auto" w:fill="auto"/>
            <w:vAlign w:val="center"/>
          </w:tcPr>
          <w:p w14:paraId="4E6238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117</w:t>
            </w:r>
          </w:p>
        </w:tc>
        <w:tc>
          <w:tcPr>
            <w:tcW w:w="5721" w:type="dxa"/>
            <w:shd w:val="clear" w:color="auto" w:fill="auto"/>
            <w:vAlign w:val="center"/>
          </w:tcPr>
          <w:p w14:paraId="6174493F">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5444DC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1463B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w:t>
            </w:r>
          </w:p>
        </w:tc>
      </w:tr>
      <w:tr w14:paraId="4EF03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4DFCF9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Chociej et al. (2018)</w:t>
            </w:r>
          </w:p>
        </w:tc>
        <w:tc>
          <w:tcPr>
            <w:tcW w:w="2939" w:type="dxa"/>
            <w:shd w:val="clear" w:color="auto" w:fill="auto"/>
            <w:vAlign w:val="center"/>
          </w:tcPr>
          <w:p w14:paraId="4FD4B0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132D1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Spain</w:t>
            </w:r>
          </w:p>
        </w:tc>
        <w:tc>
          <w:tcPr>
            <w:tcW w:w="1658" w:type="dxa"/>
            <w:shd w:val="clear" w:color="auto" w:fill="auto"/>
            <w:vAlign w:val="center"/>
          </w:tcPr>
          <w:p w14:paraId="0F3340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6FFCD8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45FF4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601B6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A5CE0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85</w:t>
            </w:r>
          </w:p>
        </w:tc>
        <w:tc>
          <w:tcPr>
            <w:tcW w:w="1639" w:type="dxa"/>
            <w:shd w:val="clear" w:color="auto" w:fill="auto"/>
            <w:vAlign w:val="center"/>
          </w:tcPr>
          <w:p w14:paraId="66E30E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109</w:t>
            </w:r>
          </w:p>
        </w:tc>
        <w:tc>
          <w:tcPr>
            <w:tcW w:w="5721" w:type="dxa"/>
            <w:shd w:val="clear" w:color="auto" w:fill="auto"/>
            <w:vAlign w:val="center"/>
          </w:tcPr>
          <w:p w14:paraId="0867475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324B6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0F520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6B44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159EA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Deeb et al. (2018)</w:t>
            </w:r>
          </w:p>
        </w:tc>
        <w:tc>
          <w:tcPr>
            <w:tcW w:w="2939" w:type="dxa"/>
            <w:shd w:val="clear" w:color="auto" w:fill="auto"/>
            <w:vAlign w:val="center"/>
          </w:tcPr>
          <w:p w14:paraId="774782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33496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United Arab Emirates</w:t>
            </w:r>
          </w:p>
        </w:tc>
        <w:tc>
          <w:tcPr>
            <w:tcW w:w="1658" w:type="dxa"/>
            <w:shd w:val="clear" w:color="auto" w:fill="auto"/>
            <w:vAlign w:val="center"/>
          </w:tcPr>
          <w:p w14:paraId="3B0AAB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3130F8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F4C49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F113F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5AED2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80</w:t>
            </w:r>
          </w:p>
        </w:tc>
        <w:tc>
          <w:tcPr>
            <w:tcW w:w="1639" w:type="dxa"/>
            <w:shd w:val="clear" w:color="auto" w:fill="auto"/>
            <w:vAlign w:val="center"/>
          </w:tcPr>
          <w:p w14:paraId="77338D5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228</w:t>
            </w:r>
          </w:p>
        </w:tc>
        <w:tc>
          <w:tcPr>
            <w:tcW w:w="5721" w:type="dxa"/>
            <w:shd w:val="clear" w:color="auto" w:fill="auto"/>
            <w:vAlign w:val="center"/>
          </w:tcPr>
          <w:p w14:paraId="29AD23E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CC12F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59AD71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D88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874D6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Assuncao et al. (2017)</w:t>
            </w:r>
          </w:p>
        </w:tc>
        <w:tc>
          <w:tcPr>
            <w:tcW w:w="2939" w:type="dxa"/>
            <w:shd w:val="clear" w:color="auto" w:fill="auto"/>
            <w:vAlign w:val="center"/>
          </w:tcPr>
          <w:p w14:paraId="55C480B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73A9B4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0BE314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554CA5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6EF74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B206C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7D364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126</w:t>
            </w:r>
          </w:p>
        </w:tc>
        <w:tc>
          <w:tcPr>
            <w:tcW w:w="1639" w:type="dxa"/>
            <w:shd w:val="clear" w:color="auto" w:fill="auto"/>
            <w:vAlign w:val="center"/>
          </w:tcPr>
          <w:p w14:paraId="0B1021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358</w:t>
            </w:r>
          </w:p>
        </w:tc>
        <w:tc>
          <w:tcPr>
            <w:tcW w:w="5721" w:type="dxa"/>
            <w:shd w:val="clear" w:color="auto" w:fill="auto"/>
            <w:vAlign w:val="center"/>
          </w:tcPr>
          <w:p w14:paraId="7B8F197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02FE3A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CF0C3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6F41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E7F7D5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Goyal et al. (2018)</w:t>
            </w:r>
          </w:p>
        </w:tc>
        <w:tc>
          <w:tcPr>
            <w:tcW w:w="2939" w:type="dxa"/>
            <w:shd w:val="clear" w:color="auto" w:fill="auto"/>
            <w:vAlign w:val="center"/>
          </w:tcPr>
          <w:p w14:paraId="4961BC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50E4C5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India</w:t>
            </w:r>
          </w:p>
        </w:tc>
        <w:tc>
          <w:tcPr>
            <w:tcW w:w="1658" w:type="dxa"/>
            <w:shd w:val="clear" w:color="auto" w:fill="auto"/>
            <w:vAlign w:val="center"/>
          </w:tcPr>
          <w:p w14:paraId="059320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334768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10881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4AB0D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23BA9B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209</w:t>
            </w:r>
          </w:p>
        </w:tc>
        <w:tc>
          <w:tcPr>
            <w:tcW w:w="1639" w:type="dxa"/>
            <w:shd w:val="clear" w:color="auto" w:fill="auto"/>
            <w:vAlign w:val="center"/>
          </w:tcPr>
          <w:p w14:paraId="4552BC3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503</w:t>
            </w:r>
          </w:p>
        </w:tc>
        <w:tc>
          <w:tcPr>
            <w:tcW w:w="5721" w:type="dxa"/>
            <w:shd w:val="clear" w:color="auto" w:fill="auto"/>
            <w:vAlign w:val="center"/>
          </w:tcPr>
          <w:p w14:paraId="0BC8028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2104A6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F85DF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71BA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977D7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Kirel et al. (2012)</w:t>
            </w:r>
          </w:p>
        </w:tc>
        <w:tc>
          <w:tcPr>
            <w:tcW w:w="2939" w:type="dxa"/>
            <w:shd w:val="clear" w:color="auto" w:fill="auto"/>
            <w:vAlign w:val="center"/>
          </w:tcPr>
          <w:p w14:paraId="4B605C5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0F639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162FD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2007-2010</w:t>
            </w:r>
          </w:p>
        </w:tc>
        <w:tc>
          <w:tcPr>
            <w:tcW w:w="1978" w:type="dxa"/>
            <w:shd w:val="clear" w:color="auto" w:fill="auto"/>
            <w:vAlign w:val="center"/>
          </w:tcPr>
          <w:p w14:paraId="6578E1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E5AE6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BA0D4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A3E10E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58</w:t>
            </w:r>
          </w:p>
        </w:tc>
        <w:tc>
          <w:tcPr>
            <w:tcW w:w="1639" w:type="dxa"/>
            <w:shd w:val="clear" w:color="auto" w:fill="auto"/>
            <w:vAlign w:val="center"/>
          </w:tcPr>
          <w:p w14:paraId="36F3145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123</w:t>
            </w:r>
          </w:p>
        </w:tc>
        <w:tc>
          <w:tcPr>
            <w:tcW w:w="5721" w:type="dxa"/>
            <w:shd w:val="clear" w:color="auto" w:fill="auto"/>
            <w:vAlign w:val="center"/>
          </w:tcPr>
          <w:p w14:paraId="40ED36A2">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59E57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5A852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7124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43FD71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Martino et al. (2016)</w:t>
            </w:r>
          </w:p>
        </w:tc>
        <w:tc>
          <w:tcPr>
            <w:tcW w:w="2939" w:type="dxa"/>
            <w:shd w:val="clear" w:color="auto" w:fill="auto"/>
            <w:vAlign w:val="center"/>
          </w:tcPr>
          <w:p w14:paraId="28AA8D4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1A835F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5FBFDC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2013-2014</w:t>
            </w:r>
          </w:p>
        </w:tc>
        <w:tc>
          <w:tcPr>
            <w:tcW w:w="1978" w:type="dxa"/>
            <w:shd w:val="clear" w:color="auto" w:fill="auto"/>
            <w:vAlign w:val="center"/>
          </w:tcPr>
          <w:p w14:paraId="444192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D1E90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78614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BA378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48</w:t>
            </w:r>
          </w:p>
        </w:tc>
        <w:tc>
          <w:tcPr>
            <w:tcW w:w="1639" w:type="dxa"/>
            <w:shd w:val="clear" w:color="auto" w:fill="auto"/>
            <w:vAlign w:val="center"/>
          </w:tcPr>
          <w:p w14:paraId="538FBD4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182</w:t>
            </w:r>
          </w:p>
        </w:tc>
        <w:tc>
          <w:tcPr>
            <w:tcW w:w="5721" w:type="dxa"/>
            <w:shd w:val="clear" w:color="auto" w:fill="auto"/>
            <w:vAlign w:val="center"/>
          </w:tcPr>
          <w:p w14:paraId="19B820B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E4E98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E0FD26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344F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D2FCF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Yu et al. (2018)</w:t>
            </w:r>
          </w:p>
        </w:tc>
        <w:tc>
          <w:tcPr>
            <w:tcW w:w="2939" w:type="dxa"/>
            <w:shd w:val="clear" w:color="auto" w:fill="auto"/>
            <w:vAlign w:val="center"/>
          </w:tcPr>
          <w:p w14:paraId="437B80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3D77F40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791DF1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57FC17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037B40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62B60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6C887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31</w:t>
            </w:r>
          </w:p>
        </w:tc>
        <w:tc>
          <w:tcPr>
            <w:tcW w:w="1639" w:type="dxa"/>
            <w:shd w:val="clear" w:color="auto" w:fill="auto"/>
            <w:vAlign w:val="center"/>
          </w:tcPr>
          <w:p w14:paraId="49BF01E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80</w:t>
            </w:r>
          </w:p>
        </w:tc>
        <w:tc>
          <w:tcPr>
            <w:tcW w:w="5721" w:type="dxa"/>
            <w:shd w:val="clear" w:color="auto" w:fill="auto"/>
            <w:vAlign w:val="center"/>
          </w:tcPr>
          <w:p w14:paraId="4CED527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5C080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915582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F8F5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22DAC3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Szyboska et al. (2015)</w:t>
            </w:r>
          </w:p>
        </w:tc>
        <w:tc>
          <w:tcPr>
            <w:tcW w:w="2939" w:type="dxa"/>
            <w:shd w:val="clear" w:color="auto" w:fill="auto"/>
            <w:vAlign w:val="center"/>
          </w:tcPr>
          <w:p w14:paraId="55A1AB2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0DA7BC8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Poland</w:t>
            </w:r>
          </w:p>
        </w:tc>
        <w:tc>
          <w:tcPr>
            <w:tcW w:w="1658" w:type="dxa"/>
            <w:shd w:val="clear" w:color="auto" w:fill="auto"/>
            <w:vAlign w:val="center"/>
          </w:tcPr>
          <w:p w14:paraId="24DEBF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2B5FF8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E1CF6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2956D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C2492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147</w:t>
            </w:r>
          </w:p>
        </w:tc>
        <w:tc>
          <w:tcPr>
            <w:tcW w:w="1639" w:type="dxa"/>
            <w:shd w:val="clear" w:color="auto" w:fill="auto"/>
            <w:vAlign w:val="center"/>
          </w:tcPr>
          <w:p w14:paraId="7331C73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396</w:t>
            </w:r>
          </w:p>
        </w:tc>
        <w:tc>
          <w:tcPr>
            <w:tcW w:w="5721" w:type="dxa"/>
            <w:shd w:val="clear" w:color="auto" w:fill="auto"/>
            <w:vAlign w:val="center"/>
          </w:tcPr>
          <w:p w14:paraId="39809BC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391FAC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814AF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618B1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F9C5E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Pena-Velez et al. (2019)</w:t>
            </w:r>
          </w:p>
        </w:tc>
        <w:tc>
          <w:tcPr>
            <w:tcW w:w="2939" w:type="dxa"/>
            <w:shd w:val="clear" w:color="auto" w:fill="auto"/>
            <w:vAlign w:val="center"/>
          </w:tcPr>
          <w:p w14:paraId="1DE4B2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6E4794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Mexico</w:t>
            </w:r>
          </w:p>
        </w:tc>
        <w:tc>
          <w:tcPr>
            <w:tcW w:w="1658" w:type="dxa"/>
            <w:shd w:val="clear" w:color="auto" w:fill="auto"/>
            <w:vAlign w:val="center"/>
          </w:tcPr>
          <w:p w14:paraId="04474D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489B1F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D037B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753581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B2742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49</w:t>
            </w:r>
          </w:p>
        </w:tc>
        <w:tc>
          <w:tcPr>
            <w:tcW w:w="1639" w:type="dxa"/>
            <w:shd w:val="clear" w:color="auto" w:fill="auto"/>
            <w:vAlign w:val="center"/>
          </w:tcPr>
          <w:p w14:paraId="17E53E8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117</w:t>
            </w:r>
          </w:p>
        </w:tc>
        <w:tc>
          <w:tcPr>
            <w:tcW w:w="5721" w:type="dxa"/>
            <w:shd w:val="clear" w:color="auto" w:fill="auto"/>
            <w:vAlign w:val="center"/>
          </w:tcPr>
          <w:p w14:paraId="5DA2C8D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E1BD4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1A06CA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0530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66578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Elkabany et al. (2019)</w:t>
            </w:r>
          </w:p>
        </w:tc>
        <w:tc>
          <w:tcPr>
            <w:tcW w:w="2939" w:type="dxa"/>
            <w:shd w:val="clear" w:color="auto" w:fill="auto"/>
            <w:vAlign w:val="center"/>
          </w:tcPr>
          <w:p w14:paraId="6E1546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Africa</w:t>
            </w:r>
          </w:p>
        </w:tc>
        <w:tc>
          <w:tcPr>
            <w:tcW w:w="3345" w:type="dxa"/>
            <w:shd w:val="clear" w:color="auto" w:fill="auto"/>
            <w:vAlign w:val="center"/>
          </w:tcPr>
          <w:p w14:paraId="100F18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Egypt</w:t>
            </w:r>
          </w:p>
        </w:tc>
        <w:tc>
          <w:tcPr>
            <w:tcW w:w="1658" w:type="dxa"/>
            <w:shd w:val="clear" w:color="auto" w:fill="auto"/>
            <w:vAlign w:val="center"/>
          </w:tcPr>
          <w:p w14:paraId="104546E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039B87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8AF86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AF22C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lang w:val="en-US"/>
              </w:rPr>
            </w:pPr>
            <w:r>
              <w:rPr>
                <w:rFonts w:hint="eastAsia" w:ascii="Times New Roman" w:hAnsi="Times New Roman" w:eastAsia="微软雅黑" w:cs="Times New Roman"/>
                <w:i w:val="0"/>
                <w:iCs w:val="0"/>
                <w:color w:val="FF0000"/>
                <w:kern w:val="0"/>
                <w:sz w:val="12"/>
                <w:szCs w:val="12"/>
                <w:u w:val="none"/>
                <w:lang w:val="en-US" w:eastAsia="zh-CN" w:bidi="ar"/>
              </w:rPr>
              <w:t>CAP</w:t>
            </w:r>
          </w:p>
        </w:tc>
        <w:tc>
          <w:tcPr>
            <w:tcW w:w="1300" w:type="dxa"/>
            <w:shd w:val="clear" w:color="auto" w:fill="auto"/>
            <w:vAlign w:val="center"/>
          </w:tcPr>
          <w:p w14:paraId="5497B4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42</w:t>
            </w:r>
          </w:p>
        </w:tc>
        <w:tc>
          <w:tcPr>
            <w:tcW w:w="1639" w:type="dxa"/>
            <w:shd w:val="clear" w:color="auto" w:fill="auto"/>
            <w:vAlign w:val="center"/>
          </w:tcPr>
          <w:p w14:paraId="24EBBF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129</w:t>
            </w:r>
          </w:p>
        </w:tc>
        <w:tc>
          <w:tcPr>
            <w:tcW w:w="5721" w:type="dxa"/>
            <w:shd w:val="clear" w:color="auto" w:fill="auto"/>
            <w:vAlign w:val="center"/>
          </w:tcPr>
          <w:p w14:paraId="39DA9F5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403DD0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E7911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E5C4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BDC21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Ozsu et al. (2019)</w:t>
            </w:r>
          </w:p>
        </w:tc>
        <w:tc>
          <w:tcPr>
            <w:tcW w:w="2939" w:type="dxa"/>
            <w:shd w:val="clear" w:color="auto" w:fill="auto"/>
            <w:vAlign w:val="center"/>
          </w:tcPr>
          <w:p w14:paraId="18CA35C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35221B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66829F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2014-2015</w:t>
            </w:r>
          </w:p>
        </w:tc>
        <w:tc>
          <w:tcPr>
            <w:tcW w:w="1978" w:type="dxa"/>
            <w:shd w:val="clear" w:color="auto" w:fill="auto"/>
            <w:vAlign w:val="center"/>
          </w:tcPr>
          <w:p w14:paraId="714DC2F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B9698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B223AE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E7592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63</w:t>
            </w:r>
          </w:p>
        </w:tc>
        <w:tc>
          <w:tcPr>
            <w:tcW w:w="1639" w:type="dxa"/>
            <w:shd w:val="clear" w:color="auto" w:fill="auto"/>
            <w:vAlign w:val="center"/>
          </w:tcPr>
          <w:p w14:paraId="61152D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113</w:t>
            </w:r>
          </w:p>
        </w:tc>
        <w:tc>
          <w:tcPr>
            <w:tcW w:w="5721" w:type="dxa"/>
            <w:shd w:val="clear" w:color="auto" w:fill="auto"/>
            <w:vAlign w:val="center"/>
          </w:tcPr>
          <w:p w14:paraId="0CD03868">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Body weight exceeded 120% standard body weight</w:t>
            </w:r>
          </w:p>
        </w:tc>
        <w:tc>
          <w:tcPr>
            <w:tcW w:w="1847" w:type="dxa"/>
            <w:shd w:val="clear" w:color="auto" w:fill="auto"/>
            <w:vAlign w:val="center"/>
          </w:tcPr>
          <w:p w14:paraId="09FC967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44F1B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36C4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C7E30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Hua et al. (2019)</w:t>
            </w:r>
          </w:p>
        </w:tc>
        <w:tc>
          <w:tcPr>
            <w:tcW w:w="2939" w:type="dxa"/>
            <w:shd w:val="clear" w:color="auto" w:fill="auto"/>
            <w:vAlign w:val="center"/>
          </w:tcPr>
          <w:p w14:paraId="143DD42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567EA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1E4BF6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2015-2017</w:t>
            </w:r>
          </w:p>
        </w:tc>
        <w:tc>
          <w:tcPr>
            <w:tcW w:w="1978" w:type="dxa"/>
            <w:shd w:val="clear" w:color="auto" w:fill="auto"/>
            <w:vAlign w:val="center"/>
          </w:tcPr>
          <w:p w14:paraId="626AB5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5274B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19655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bookmarkStart w:id="20" w:name="_GoBack"/>
            <w:bookmarkEnd w:id="20"/>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1E820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48</w:t>
            </w:r>
          </w:p>
        </w:tc>
        <w:tc>
          <w:tcPr>
            <w:tcW w:w="1639" w:type="dxa"/>
            <w:shd w:val="clear" w:color="auto" w:fill="auto"/>
            <w:vAlign w:val="center"/>
          </w:tcPr>
          <w:p w14:paraId="6B2287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104</w:t>
            </w:r>
          </w:p>
        </w:tc>
        <w:tc>
          <w:tcPr>
            <w:tcW w:w="5721" w:type="dxa"/>
            <w:shd w:val="clear" w:color="auto" w:fill="auto"/>
            <w:vAlign w:val="center"/>
          </w:tcPr>
          <w:p w14:paraId="64923B1F">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 score of greater than 2 (95th percentile</w:t>
            </w:r>
          </w:p>
        </w:tc>
        <w:tc>
          <w:tcPr>
            <w:tcW w:w="1847" w:type="dxa"/>
            <w:shd w:val="clear" w:color="auto" w:fill="auto"/>
            <w:vAlign w:val="center"/>
          </w:tcPr>
          <w:p w14:paraId="0B79D3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2B078F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8DA7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7F147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Bonito et al. (2019)</w:t>
            </w:r>
          </w:p>
        </w:tc>
        <w:tc>
          <w:tcPr>
            <w:tcW w:w="2939" w:type="dxa"/>
            <w:shd w:val="clear" w:color="auto" w:fill="auto"/>
            <w:vAlign w:val="center"/>
          </w:tcPr>
          <w:p w14:paraId="229DA3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1542A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6FE32F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2003-2016</w:t>
            </w:r>
          </w:p>
        </w:tc>
        <w:tc>
          <w:tcPr>
            <w:tcW w:w="1978" w:type="dxa"/>
            <w:shd w:val="clear" w:color="auto" w:fill="auto"/>
            <w:vAlign w:val="center"/>
          </w:tcPr>
          <w:p w14:paraId="1937A6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901B0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6FC97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83F08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60</w:t>
            </w:r>
          </w:p>
        </w:tc>
        <w:tc>
          <w:tcPr>
            <w:tcW w:w="1639" w:type="dxa"/>
            <w:shd w:val="clear" w:color="auto" w:fill="auto"/>
            <w:vAlign w:val="center"/>
          </w:tcPr>
          <w:p w14:paraId="2F5F43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94</w:t>
            </w:r>
          </w:p>
        </w:tc>
        <w:tc>
          <w:tcPr>
            <w:tcW w:w="5721" w:type="dxa"/>
            <w:shd w:val="clear" w:color="auto" w:fill="auto"/>
            <w:vAlign w:val="center"/>
          </w:tcPr>
          <w:p w14:paraId="417D718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9819A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93AA7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1D38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805060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Jain et al. (2019)</w:t>
            </w:r>
          </w:p>
        </w:tc>
        <w:tc>
          <w:tcPr>
            <w:tcW w:w="2939" w:type="dxa"/>
            <w:shd w:val="clear" w:color="auto" w:fill="auto"/>
            <w:vAlign w:val="center"/>
          </w:tcPr>
          <w:p w14:paraId="44F4CF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20CA6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India</w:t>
            </w:r>
          </w:p>
        </w:tc>
        <w:tc>
          <w:tcPr>
            <w:tcW w:w="1658" w:type="dxa"/>
            <w:shd w:val="clear" w:color="auto" w:fill="auto"/>
            <w:vAlign w:val="center"/>
          </w:tcPr>
          <w:p w14:paraId="13EAD5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2012-2016</w:t>
            </w:r>
          </w:p>
        </w:tc>
        <w:tc>
          <w:tcPr>
            <w:tcW w:w="1978" w:type="dxa"/>
            <w:shd w:val="clear" w:color="auto" w:fill="auto"/>
            <w:vAlign w:val="center"/>
          </w:tcPr>
          <w:p w14:paraId="6ACB93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120D6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B5C94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60A91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60</w:t>
            </w:r>
          </w:p>
        </w:tc>
        <w:tc>
          <w:tcPr>
            <w:tcW w:w="1639" w:type="dxa"/>
            <w:shd w:val="clear" w:color="auto" w:fill="auto"/>
            <w:vAlign w:val="center"/>
          </w:tcPr>
          <w:p w14:paraId="73CECA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70</w:t>
            </w:r>
          </w:p>
        </w:tc>
        <w:tc>
          <w:tcPr>
            <w:tcW w:w="5721" w:type="dxa"/>
            <w:shd w:val="clear" w:color="auto" w:fill="auto"/>
            <w:vAlign w:val="center"/>
          </w:tcPr>
          <w:p w14:paraId="1B42349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06E5A2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4BD18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6EABA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EC8F9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Ortega et al. (2019)</w:t>
            </w:r>
          </w:p>
        </w:tc>
        <w:tc>
          <w:tcPr>
            <w:tcW w:w="2939" w:type="dxa"/>
            <w:shd w:val="clear" w:color="auto" w:fill="auto"/>
            <w:vAlign w:val="center"/>
          </w:tcPr>
          <w:p w14:paraId="1A2ACE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3C82CE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Mexico</w:t>
            </w:r>
          </w:p>
        </w:tc>
        <w:tc>
          <w:tcPr>
            <w:tcW w:w="1658" w:type="dxa"/>
            <w:shd w:val="clear" w:color="auto" w:fill="auto"/>
            <w:vAlign w:val="center"/>
          </w:tcPr>
          <w:p w14:paraId="63D792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2015-2016</w:t>
            </w:r>
          </w:p>
        </w:tc>
        <w:tc>
          <w:tcPr>
            <w:tcW w:w="1978" w:type="dxa"/>
            <w:shd w:val="clear" w:color="auto" w:fill="auto"/>
            <w:vAlign w:val="center"/>
          </w:tcPr>
          <w:p w14:paraId="3BEFD5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23677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ECA7C8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63378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149</w:t>
            </w:r>
          </w:p>
        </w:tc>
        <w:tc>
          <w:tcPr>
            <w:tcW w:w="1639" w:type="dxa"/>
            <w:shd w:val="clear" w:color="auto" w:fill="auto"/>
            <w:vAlign w:val="center"/>
          </w:tcPr>
          <w:p w14:paraId="7FC8783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532</w:t>
            </w:r>
          </w:p>
        </w:tc>
        <w:tc>
          <w:tcPr>
            <w:tcW w:w="5721" w:type="dxa"/>
            <w:shd w:val="clear" w:color="auto" w:fill="auto"/>
            <w:vAlign w:val="center"/>
          </w:tcPr>
          <w:p w14:paraId="454539F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&gt;90th percentile</w:t>
            </w:r>
          </w:p>
        </w:tc>
        <w:tc>
          <w:tcPr>
            <w:tcW w:w="1847" w:type="dxa"/>
            <w:shd w:val="clear" w:color="auto" w:fill="auto"/>
            <w:vAlign w:val="center"/>
          </w:tcPr>
          <w:p w14:paraId="741288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4F24A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303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20A1B4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Draijer et al. (2019)</w:t>
            </w:r>
          </w:p>
        </w:tc>
        <w:tc>
          <w:tcPr>
            <w:tcW w:w="2939" w:type="dxa"/>
            <w:shd w:val="clear" w:color="auto" w:fill="auto"/>
            <w:vAlign w:val="center"/>
          </w:tcPr>
          <w:p w14:paraId="36B8A9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20DAF5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Netherlands</w:t>
            </w:r>
          </w:p>
        </w:tc>
        <w:tc>
          <w:tcPr>
            <w:tcW w:w="1658" w:type="dxa"/>
            <w:shd w:val="clear" w:color="auto" w:fill="auto"/>
            <w:vAlign w:val="center"/>
          </w:tcPr>
          <w:p w14:paraId="240A982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2008-2010</w:t>
            </w:r>
          </w:p>
        </w:tc>
        <w:tc>
          <w:tcPr>
            <w:tcW w:w="1978" w:type="dxa"/>
            <w:shd w:val="clear" w:color="auto" w:fill="auto"/>
            <w:vAlign w:val="center"/>
          </w:tcPr>
          <w:p w14:paraId="3387A3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406A0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F56493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9622D3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w:t>
            </w:r>
          </w:p>
        </w:tc>
        <w:tc>
          <w:tcPr>
            <w:tcW w:w="1639" w:type="dxa"/>
            <w:shd w:val="clear" w:color="auto" w:fill="auto"/>
            <w:vAlign w:val="center"/>
          </w:tcPr>
          <w:p w14:paraId="4A54A4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104</w:t>
            </w:r>
          </w:p>
        </w:tc>
        <w:tc>
          <w:tcPr>
            <w:tcW w:w="5721" w:type="dxa"/>
            <w:shd w:val="clear" w:color="auto" w:fill="auto"/>
            <w:vAlign w:val="center"/>
          </w:tcPr>
          <w:p w14:paraId="2C588ABF">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28B67C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B5A3FE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596F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F48CA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Kurku et al. (2019)</w:t>
            </w:r>
          </w:p>
        </w:tc>
        <w:tc>
          <w:tcPr>
            <w:tcW w:w="2939" w:type="dxa"/>
            <w:shd w:val="clear" w:color="auto" w:fill="auto"/>
            <w:vAlign w:val="center"/>
          </w:tcPr>
          <w:p w14:paraId="798622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3B30C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118B3B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2016-2017</w:t>
            </w:r>
          </w:p>
        </w:tc>
        <w:tc>
          <w:tcPr>
            <w:tcW w:w="1978" w:type="dxa"/>
            <w:shd w:val="clear" w:color="auto" w:fill="auto"/>
            <w:vAlign w:val="center"/>
          </w:tcPr>
          <w:p w14:paraId="0F266C9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BB6A5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6F242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4417BE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w:t>
            </w:r>
          </w:p>
        </w:tc>
        <w:tc>
          <w:tcPr>
            <w:tcW w:w="1639" w:type="dxa"/>
            <w:shd w:val="clear" w:color="auto" w:fill="auto"/>
            <w:vAlign w:val="center"/>
          </w:tcPr>
          <w:p w14:paraId="7083CD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41</w:t>
            </w:r>
          </w:p>
        </w:tc>
        <w:tc>
          <w:tcPr>
            <w:tcW w:w="5721" w:type="dxa"/>
            <w:shd w:val="clear" w:color="auto" w:fill="auto"/>
            <w:vAlign w:val="center"/>
          </w:tcPr>
          <w:p w14:paraId="772AEE6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2C8467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E4D54E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26DC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4A6710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Velez et al. (2018)</w:t>
            </w:r>
          </w:p>
        </w:tc>
        <w:tc>
          <w:tcPr>
            <w:tcW w:w="2939" w:type="dxa"/>
            <w:shd w:val="clear" w:color="auto" w:fill="auto"/>
            <w:vAlign w:val="center"/>
          </w:tcPr>
          <w:p w14:paraId="5696C9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43F8F6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Colombia</w:t>
            </w:r>
          </w:p>
        </w:tc>
        <w:tc>
          <w:tcPr>
            <w:tcW w:w="1658" w:type="dxa"/>
            <w:shd w:val="clear" w:color="auto" w:fill="auto"/>
            <w:vAlign w:val="center"/>
          </w:tcPr>
          <w:p w14:paraId="36FB77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3958F4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D6014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8B4D3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Biopsy</w:t>
            </w:r>
          </w:p>
        </w:tc>
        <w:tc>
          <w:tcPr>
            <w:tcW w:w="1300" w:type="dxa"/>
            <w:shd w:val="clear" w:color="auto" w:fill="auto"/>
            <w:vAlign w:val="center"/>
          </w:tcPr>
          <w:p w14:paraId="754860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15</w:t>
            </w:r>
          </w:p>
        </w:tc>
        <w:tc>
          <w:tcPr>
            <w:tcW w:w="1639" w:type="dxa"/>
            <w:shd w:val="clear" w:color="auto" w:fill="auto"/>
            <w:vAlign w:val="center"/>
          </w:tcPr>
          <w:p w14:paraId="72566EA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33</w:t>
            </w:r>
          </w:p>
        </w:tc>
        <w:tc>
          <w:tcPr>
            <w:tcW w:w="5721" w:type="dxa"/>
            <w:shd w:val="clear" w:color="auto" w:fill="auto"/>
            <w:vAlign w:val="center"/>
          </w:tcPr>
          <w:p w14:paraId="7217003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5B4BBA1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E22A1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210A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9204C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Jackiewicz et al. (2018)</w:t>
            </w:r>
          </w:p>
        </w:tc>
        <w:tc>
          <w:tcPr>
            <w:tcW w:w="2939" w:type="dxa"/>
            <w:shd w:val="clear" w:color="auto" w:fill="auto"/>
            <w:vAlign w:val="center"/>
          </w:tcPr>
          <w:p w14:paraId="346ABBF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58BC7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Poland</w:t>
            </w:r>
          </w:p>
        </w:tc>
        <w:tc>
          <w:tcPr>
            <w:tcW w:w="1658" w:type="dxa"/>
            <w:shd w:val="clear" w:color="auto" w:fill="auto"/>
            <w:vAlign w:val="center"/>
          </w:tcPr>
          <w:p w14:paraId="6F0586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w:t>
            </w:r>
          </w:p>
        </w:tc>
        <w:tc>
          <w:tcPr>
            <w:tcW w:w="1978" w:type="dxa"/>
            <w:shd w:val="clear" w:color="auto" w:fill="auto"/>
            <w:vAlign w:val="center"/>
          </w:tcPr>
          <w:p w14:paraId="27F858F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420A1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CFFB1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3DCB8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30</w:t>
            </w:r>
          </w:p>
        </w:tc>
        <w:tc>
          <w:tcPr>
            <w:tcW w:w="1639" w:type="dxa"/>
            <w:shd w:val="clear" w:color="auto" w:fill="auto"/>
            <w:vAlign w:val="center"/>
          </w:tcPr>
          <w:p w14:paraId="5FD07F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59</w:t>
            </w:r>
          </w:p>
        </w:tc>
        <w:tc>
          <w:tcPr>
            <w:tcW w:w="5721" w:type="dxa"/>
            <w:shd w:val="clear" w:color="auto" w:fill="auto"/>
            <w:vAlign w:val="center"/>
          </w:tcPr>
          <w:p w14:paraId="6C8C7F0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340DC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0F4596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881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FF81B1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Bacha et al. (2017)</w:t>
            </w:r>
          </w:p>
        </w:tc>
        <w:tc>
          <w:tcPr>
            <w:tcW w:w="2939" w:type="dxa"/>
            <w:shd w:val="clear" w:color="auto" w:fill="auto"/>
            <w:vAlign w:val="center"/>
          </w:tcPr>
          <w:p w14:paraId="347BAB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5063FF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11CC37C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w:t>
            </w:r>
          </w:p>
        </w:tc>
        <w:tc>
          <w:tcPr>
            <w:tcW w:w="1978" w:type="dxa"/>
            <w:shd w:val="clear" w:color="auto" w:fill="auto"/>
            <w:vAlign w:val="center"/>
          </w:tcPr>
          <w:p w14:paraId="2EA088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C26CB1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6DDEFAA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5F535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18</w:t>
            </w:r>
          </w:p>
        </w:tc>
        <w:tc>
          <w:tcPr>
            <w:tcW w:w="1639" w:type="dxa"/>
            <w:shd w:val="clear" w:color="auto" w:fill="auto"/>
            <w:vAlign w:val="center"/>
          </w:tcPr>
          <w:p w14:paraId="38705CE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43</w:t>
            </w:r>
          </w:p>
        </w:tc>
        <w:tc>
          <w:tcPr>
            <w:tcW w:w="5721" w:type="dxa"/>
            <w:shd w:val="clear" w:color="auto" w:fill="auto"/>
            <w:vAlign w:val="center"/>
          </w:tcPr>
          <w:p w14:paraId="6F5220D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74FC0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4FBA6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C59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D804F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Balanescu et al. (2018)</w:t>
            </w:r>
          </w:p>
        </w:tc>
        <w:tc>
          <w:tcPr>
            <w:tcW w:w="2939" w:type="dxa"/>
            <w:shd w:val="clear" w:color="auto" w:fill="auto"/>
            <w:vAlign w:val="center"/>
          </w:tcPr>
          <w:p w14:paraId="720E0D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0ACF828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Romania</w:t>
            </w:r>
          </w:p>
        </w:tc>
        <w:tc>
          <w:tcPr>
            <w:tcW w:w="1658" w:type="dxa"/>
            <w:shd w:val="clear" w:color="auto" w:fill="auto"/>
            <w:vAlign w:val="center"/>
          </w:tcPr>
          <w:p w14:paraId="591637E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w:t>
            </w:r>
          </w:p>
        </w:tc>
        <w:tc>
          <w:tcPr>
            <w:tcW w:w="1978" w:type="dxa"/>
            <w:shd w:val="clear" w:color="auto" w:fill="auto"/>
            <w:vAlign w:val="center"/>
          </w:tcPr>
          <w:p w14:paraId="7A6F77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60BA2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A007B4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H-MRS</w:t>
            </w:r>
          </w:p>
        </w:tc>
        <w:tc>
          <w:tcPr>
            <w:tcW w:w="1300" w:type="dxa"/>
            <w:shd w:val="clear" w:color="auto" w:fill="auto"/>
            <w:vAlign w:val="center"/>
          </w:tcPr>
          <w:p w14:paraId="5C63B55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w:t>
            </w:r>
          </w:p>
        </w:tc>
        <w:tc>
          <w:tcPr>
            <w:tcW w:w="1639" w:type="dxa"/>
            <w:shd w:val="clear" w:color="auto" w:fill="auto"/>
            <w:vAlign w:val="center"/>
          </w:tcPr>
          <w:p w14:paraId="309E738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54</w:t>
            </w:r>
          </w:p>
        </w:tc>
        <w:tc>
          <w:tcPr>
            <w:tcW w:w="5721" w:type="dxa"/>
            <w:shd w:val="clear" w:color="auto" w:fill="auto"/>
            <w:vAlign w:val="center"/>
          </w:tcPr>
          <w:p w14:paraId="5A25856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&gt;99th percentile</w:t>
            </w:r>
          </w:p>
        </w:tc>
        <w:tc>
          <w:tcPr>
            <w:tcW w:w="1847" w:type="dxa"/>
            <w:shd w:val="clear" w:color="auto" w:fill="auto"/>
            <w:vAlign w:val="center"/>
          </w:tcPr>
          <w:p w14:paraId="1C67A1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5A7CA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F12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FA32A8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Lu et al. (2017)</w:t>
            </w:r>
          </w:p>
        </w:tc>
        <w:tc>
          <w:tcPr>
            <w:tcW w:w="2939" w:type="dxa"/>
            <w:shd w:val="clear" w:color="auto" w:fill="auto"/>
            <w:vAlign w:val="center"/>
          </w:tcPr>
          <w:p w14:paraId="0D91E2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3EB37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2A216D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2013-2015</w:t>
            </w:r>
          </w:p>
        </w:tc>
        <w:tc>
          <w:tcPr>
            <w:tcW w:w="1978" w:type="dxa"/>
            <w:shd w:val="clear" w:color="auto" w:fill="auto"/>
            <w:vAlign w:val="center"/>
          </w:tcPr>
          <w:p w14:paraId="2BA765A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23360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F26F2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6BD26A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w:t>
            </w:r>
          </w:p>
        </w:tc>
        <w:tc>
          <w:tcPr>
            <w:tcW w:w="1639" w:type="dxa"/>
            <w:shd w:val="clear" w:color="auto" w:fill="auto"/>
            <w:vAlign w:val="center"/>
          </w:tcPr>
          <w:p w14:paraId="1811F8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36</w:t>
            </w:r>
          </w:p>
        </w:tc>
        <w:tc>
          <w:tcPr>
            <w:tcW w:w="5721" w:type="dxa"/>
            <w:shd w:val="clear" w:color="auto" w:fill="auto"/>
            <w:vAlign w:val="center"/>
          </w:tcPr>
          <w:p w14:paraId="392DEC3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E5620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EE16A9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9CED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4DBFF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Chabanova et al. (2017)</w:t>
            </w:r>
          </w:p>
        </w:tc>
        <w:tc>
          <w:tcPr>
            <w:tcW w:w="2939" w:type="dxa"/>
            <w:shd w:val="clear" w:color="auto" w:fill="auto"/>
            <w:vAlign w:val="center"/>
          </w:tcPr>
          <w:p w14:paraId="321C1E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4080F9F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Denmark</w:t>
            </w:r>
          </w:p>
        </w:tc>
        <w:tc>
          <w:tcPr>
            <w:tcW w:w="1658" w:type="dxa"/>
            <w:shd w:val="clear" w:color="auto" w:fill="auto"/>
            <w:vAlign w:val="center"/>
          </w:tcPr>
          <w:p w14:paraId="5254AD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w:t>
            </w:r>
          </w:p>
        </w:tc>
        <w:tc>
          <w:tcPr>
            <w:tcW w:w="1978" w:type="dxa"/>
            <w:shd w:val="clear" w:color="auto" w:fill="auto"/>
            <w:vAlign w:val="center"/>
          </w:tcPr>
          <w:p w14:paraId="1F132CA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12E2F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AF67F8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B21362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38</w:t>
            </w:r>
          </w:p>
        </w:tc>
        <w:tc>
          <w:tcPr>
            <w:tcW w:w="1639" w:type="dxa"/>
            <w:shd w:val="clear" w:color="auto" w:fill="auto"/>
            <w:vAlign w:val="center"/>
          </w:tcPr>
          <w:p w14:paraId="784727D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73</w:t>
            </w:r>
          </w:p>
        </w:tc>
        <w:tc>
          <w:tcPr>
            <w:tcW w:w="5721" w:type="dxa"/>
            <w:shd w:val="clear" w:color="auto" w:fill="auto"/>
            <w:vAlign w:val="center"/>
          </w:tcPr>
          <w:p w14:paraId="1895548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7B461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296CDB0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3E6F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DB2B1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Lee et al. (2016)</w:t>
            </w:r>
          </w:p>
        </w:tc>
        <w:tc>
          <w:tcPr>
            <w:tcW w:w="2939" w:type="dxa"/>
            <w:shd w:val="clear" w:color="auto" w:fill="auto"/>
            <w:vAlign w:val="center"/>
          </w:tcPr>
          <w:p w14:paraId="2BDA05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29D416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36464E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w:t>
            </w:r>
          </w:p>
        </w:tc>
        <w:tc>
          <w:tcPr>
            <w:tcW w:w="1978" w:type="dxa"/>
            <w:shd w:val="clear" w:color="auto" w:fill="auto"/>
            <w:vAlign w:val="center"/>
          </w:tcPr>
          <w:p w14:paraId="582924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D4CA9E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A1D464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Biopsy</w:t>
            </w:r>
          </w:p>
        </w:tc>
        <w:tc>
          <w:tcPr>
            <w:tcW w:w="1300" w:type="dxa"/>
            <w:shd w:val="clear" w:color="auto" w:fill="auto"/>
            <w:vAlign w:val="center"/>
          </w:tcPr>
          <w:p w14:paraId="481CD0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34</w:t>
            </w:r>
          </w:p>
        </w:tc>
        <w:tc>
          <w:tcPr>
            <w:tcW w:w="1639" w:type="dxa"/>
            <w:shd w:val="clear" w:color="auto" w:fill="auto"/>
            <w:vAlign w:val="center"/>
          </w:tcPr>
          <w:p w14:paraId="634FF8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41</w:t>
            </w:r>
          </w:p>
        </w:tc>
        <w:tc>
          <w:tcPr>
            <w:tcW w:w="5721" w:type="dxa"/>
            <w:shd w:val="clear" w:color="auto" w:fill="auto"/>
            <w:vAlign w:val="center"/>
          </w:tcPr>
          <w:p w14:paraId="0D5FD0D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&gt;99th percentile</w:t>
            </w:r>
          </w:p>
        </w:tc>
        <w:tc>
          <w:tcPr>
            <w:tcW w:w="1847" w:type="dxa"/>
            <w:shd w:val="clear" w:color="auto" w:fill="auto"/>
            <w:vAlign w:val="center"/>
          </w:tcPr>
          <w:p w14:paraId="598BBE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561BB4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AF8A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2D1C5C0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Sheldon et al. (2016)</w:t>
            </w:r>
          </w:p>
        </w:tc>
        <w:tc>
          <w:tcPr>
            <w:tcW w:w="2939" w:type="dxa"/>
            <w:shd w:val="clear" w:color="auto" w:fill="auto"/>
            <w:vAlign w:val="center"/>
          </w:tcPr>
          <w:p w14:paraId="0F9112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360236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Colombia</w:t>
            </w:r>
          </w:p>
        </w:tc>
        <w:tc>
          <w:tcPr>
            <w:tcW w:w="1658" w:type="dxa"/>
            <w:shd w:val="clear" w:color="auto" w:fill="auto"/>
            <w:vAlign w:val="center"/>
          </w:tcPr>
          <w:p w14:paraId="48FB5A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w:t>
            </w:r>
          </w:p>
        </w:tc>
        <w:tc>
          <w:tcPr>
            <w:tcW w:w="1978" w:type="dxa"/>
            <w:shd w:val="clear" w:color="auto" w:fill="auto"/>
            <w:vAlign w:val="center"/>
          </w:tcPr>
          <w:p w14:paraId="27EC6A2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013BB4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B1C7BF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Biopsy</w:t>
            </w:r>
          </w:p>
        </w:tc>
        <w:tc>
          <w:tcPr>
            <w:tcW w:w="1300" w:type="dxa"/>
            <w:shd w:val="clear" w:color="auto" w:fill="auto"/>
            <w:vAlign w:val="center"/>
          </w:tcPr>
          <w:p w14:paraId="3287F79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c>
          <w:tcPr>
            <w:tcW w:w="1639" w:type="dxa"/>
            <w:shd w:val="clear" w:color="auto" w:fill="auto"/>
            <w:vAlign w:val="center"/>
          </w:tcPr>
          <w:p w14:paraId="48F48BD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51</w:t>
            </w:r>
          </w:p>
        </w:tc>
        <w:tc>
          <w:tcPr>
            <w:tcW w:w="5721" w:type="dxa"/>
            <w:shd w:val="clear" w:color="auto" w:fill="auto"/>
            <w:vAlign w:val="center"/>
          </w:tcPr>
          <w:p w14:paraId="547844BB">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Style w:val="71"/>
                <w:rFonts w:hint="default" w:ascii="Times New Roman" w:hAnsi="Times New Roman" w:cs="Times New Roman"/>
                <w:sz w:val="12"/>
                <w:szCs w:val="12"/>
                <w:lang w:val="en-US" w:eastAsia="zh-CN" w:bidi="ar"/>
              </w:rPr>
              <w:t>BMI 40 mg/kg</w:t>
            </w:r>
            <w:r>
              <w:rPr>
                <w:rFonts w:hint="default" w:ascii="Times New Roman" w:hAnsi="Times New Roman" w:eastAsia="微软雅黑" w:cs="Times New Roman"/>
                <w:i w:val="0"/>
                <w:iCs w:val="0"/>
                <w:color w:val="000000"/>
                <w:kern w:val="0"/>
                <w:sz w:val="12"/>
                <w:szCs w:val="12"/>
                <w:u w:val="none"/>
                <w:vertAlign w:val="superscript"/>
                <w:lang w:val="en-US" w:eastAsia="zh-CN" w:bidi="ar"/>
              </w:rPr>
              <w:t xml:space="preserve">2 </w:t>
            </w:r>
            <w:r>
              <w:rPr>
                <w:rStyle w:val="71"/>
                <w:rFonts w:hint="default" w:ascii="Times New Roman" w:hAnsi="Times New Roman" w:cs="Times New Roman"/>
                <w:sz w:val="12"/>
                <w:szCs w:val="12"/>
                <w:lang w:val="en-US" w:eastAsia="zh-CN" w:bidi="ar"/>
              </w:rPr>
              <w:t>or BMI 35 mg/kg</w:t>
            </w:r>
            <w:r>
              <w:rPr>
                <w:rFonts w:hint="default" w:ascii="Times New Roman" w:hAnsi="Times New Roman" w:eastAsia="微软雅黑" w:cs="Times New Roman"/>
                <w:i w:val="0"/>
                <w:iCs w:val="0"/>
                <w:color w:val="000000"/>
                <w:kern w:val="0"/>
                <w:sz w:val="12"/>
                <w:szCs w:val="12"/>
                <w:u w:val="none"/>
                <w:vertAlign w:val="superscript"/>
                <w:lang w:val="en-US" w:eastAsia="zh-CN" w:bidi="ar"/>
              </w:rPr>
              <w:t>2</w:t>
            </w:r>
            <w:r>
              <w:rPr>
                <w:rStyle w:val="71"/>
                <w:rFonts w:hint="default" w:ascii="Times New Roman" w:hAnsi="Times New Roman" w:cs="Times New Roman"/>
                <w:sz w:val="12"/>
                <w:szCs w:val="12"/>
                <w:lang w:val="en-US" w:eastAsia="zh-CN" w:bidi="ar"/>
              </w:rPr>
              <w:t xml:space="preserve"> with associated co-morbidities</w:t>
            </w:r>
          </w:p>
        </w:tc>
        <w:tc>
          <w:tcPr>
            <w:tcW w:w="1847" w:type="dxa"/>
            <w:shd w:val="clear" w:color="auto" w:fill="auto"/>
            <w:vAlign w:val="center"/>
          </w:tcPr>
          <w:p w14:paraId="549550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0899DF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w:t>
            </w:r>
          </w:p>
        </w:tc>
      </w:tr>
      <w:tr w14:paraId="381A9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2CF4B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Jin et al. (2015)</w:t>
            </w:r>
          </w:p>
        </w:tc>
        <w:tc>
          <w:tcPr>
            <w:tcW w:w="2939" w:type="dxa"/>
            <w:shd w:val="clear" w:color="auto" w:fill="auto"/>
            <w:vAlign w:val="center"/>
          </w:tcPr>
          <w:p w14:paraId="58E477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6E7A10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53C5622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4AB7AF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9FA2C7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E7F20C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8564E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45</w:t>
            </w:r>
          </w:p>
        </w:tc>
        <w:tc>
          <w:tcPr>
            <w:tcW w:w="1639" w:type="dxa"/>
            <w:shd w:val="clear" w:color="auto" w:fill="auto"/>
            <w:vAlign w:val="center"/>
          </w:tcPr>
          <w:p w14:paraId="7B70FBA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144</w:t>
            </w:r>
          </w:p>
        </w:tc>
        <w:tc>
          <w:tcPr>
            <w:tcW w:w="5721" w:type="dxa"/>
            <w:shd w:val="clear" w:color="auto" w:fill="auto"/>
            <w:vAlign w:val="center"/>
          </w:tcPr>
          <w:p w14:paraId="402D14D5">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BMI&gt;35 or BMI&gt;30 with comorbidity</w:t>
            </w:r>
          </w:p>
        </w:tc>
        <w:tc>
          <w:tcPr>
            <w:tcW w:w="1847" w:type="dxa"/>
            <w:shd w:val="clear" w:color="auto" w:fill="auto"/>
            <w:vAlign w:val="center"/>
          </w:tcPr>
          <w:p w14:paraId="49CADF6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2A552B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85A5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939" w:type="dxa"/>
            <w:shd w:val="clear" w:color="auto" w:fill="auto"/>
            <w:vAlign w:val="center"/>
          </w:tcPr>
          <w:p w14:paraId="79CB5F1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Chang et al. (2015)</w:t>
            </w:r>
          </w:p>
        </w:tc>
        <w:tc>
          <w:tcPr>
            <w:tcW w:w="2939" w:type="dxa"/>
            <w:shd w:val="clear" w:color="auto" w:fill="auto"/>
            <w:vAlign w:val="center"/>
          </w:tcPr>
          <w:p w14:paraId="5ECDF6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AF94A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Taiwan</w:t>
            </w:r>
          </w:p>
        </w:tc>
        <w:tc>
          <w:tcPr>
            <w:tcW w:w="1658" w:type="dxa"/>
            <w:shd w:val="clear" w:color="auto" w:fill="auto"/>
            <w:vAlign w:val="center"/>
          </w:tcPr>
          <w:p w14:paraId="5546E9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2010-2012</w:t>
            </w:r>
          </w:p>
        </w:tc>
        <w:tc>
          <w:tcPr>
            <w:tcW w:w="1978" w:type="dxa"/>
            <w:shd w:val="clear" w:color="auto" w:fill="auto"/>
            <w:vAlign w:val="center"/>
          </w:tcPr>
          <w:p w14:paraId="1F40AB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0A805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387AB0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Biopsy</w:t>
            </w:r>
          </w:p>
        </w:tc>
        <w:tc>
          <w:tcPr>
            <w:tcW w:w="1300" w:type="dxa"/>
            <w:shd w:val="clear" w:color="auto" w:fill="auto"/>
            <w:vAlign w:val="center"/>
          </w:tcPr>
          <w:p w14:paraId="2C9DB2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114</w:t>
            </w:r>
          </w:p>
        </w:tc>
        <w:tc>
          <w:tcPr>
            <w:tcW w:w="1639" w:type="dxa"/>
            <w:shd w:val="clear" w:color="auto" w:fill="auto"/>
            <w:vAlign w:val="center"/>
          </w:tcPr>
          <w:p w14:paraId="065729B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144</w:t>
            </w:r>
          </w:p>
        </w:tc>
        <w:tc>
          <w:tcPr>
            <w:tcW w:w="5721" w:type="dxa"/>
            <w:shd w:val="clear" w:color="auto" w:fill="auto"/>
            <w:vAlign w:val="center"/>
          </w:tcPr>
          <w:p w14:paraId="659C6C5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Style w:val="71"/>
                <w:rFonts w:hint="default" w:ascii="Times New Roman" w:hAnsi="Times New Roman" w:cs="Times New Roman"/>
                <w:sz w:val="12"/>
                <w:szCs w:val="12"/>
                <w:lang w:val="en-US" w:eastAsia="zh-CN" w:bidi="ar"/>
              </w:rPr>
              <w:t>body mass index (BMI) of 40 kg/m</w:t>
            </w:r>
            <w:r>
              <w:rPr>
                <w:rFonts w:hint="default" w:ascii="Times New Roman" w:hAnsi="Times New Roman" w:eastAsia="微软雅黑" w:cs="Times New Roman"/>
                <w:i w:val="0"/>
                <w:iCs w:val="0"/>
                <w:color w:val="000000"/>
                <w:kern w:val="0"/>
                <w:sz w:val="12"/>
                <w:szCs w:val="12"/>
                <w:u w:val="none"/>
                <w:vertAlign w:val="superscript"/>
                <w:lang w:val="en-US" w:eastAsia="zh-CN" w:bidi="ar"/>
              </w:rPr>
              <w:t>2</w:t>
            </w:r>
            <w:r>
              <w:rPr>
                <w:rStyle w:val="71"/>
                <w:rFonts w:hint="default" w:ascii="Times New Roman" w:hAnsi="Times New Roman" w:cs="Times New Roman"/>
                <w:sz w:val="12"/>
                <w:szCs w:val="12"/>
                <w:lang w:val="en-US" w:eastAsia="zh-CN" w:bidi="ar"/>
              </w:rPr>
              <w:t xml:space="preserve"> (or multiple co-morbidities with a BMI 43.5 kg/m</w:t>
            </w:r>
            <w:r>
              <w:rPr>
                <w:rFonts w:hint="default" w:ascii="Times New Roman" w:hAnsi="Times New Roman" w:eastAsia="微软雅黑" w:cs="Times New Roman"/>
                <w:i w:val="0"/>
                <w:iCs w:val="0"/>
                <w:color w:val="000000"/>
                <w:kern w:val="0"/>
                <w:sz w:val="12"/>
                <w:szCs w:val="12"/>
                <w:u w:val="none"/>
                <w:vertAlign w:val="superscript"/>
                <w:lang w:val="en-US" w:eastAsia="zh-CN" w:bidi="ar"/>
              </w:rPr>
              <w:t>2</w:t>
            </w:r>
            <w:r>
              <w:rPr>
                <w:rStyle w:val="71"/>
                <w:rFonts w:hint="default" w:ascii="Times New Roman" w:hAnsi="Times New Roman" w:cs="Times New Roman"/>
                <w:sz w:val="12"/>
                <w:szCs w:val="12"/>
                <w:lang w:val="en-US" w:eastAsia="zh-CN" w:bidi="ar"/>
              </w:rPr>
              <w:t xml:space="preserve"> or above the 99th percentile for age),</w:t>
            </w:r>
          </w:p>
        </w:tc>
        <w:tc>
          <w:tcPr>
            <w:tcW w:w="1847" w:type="dxa"/>
            <w:shd w:val="clear" w:color="auto" w:fill="auto"/>
            <w:vAlign w:val="center"/>
          </w:tcPr>
          <w:p w14:paraId="7BA549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CAB604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7C5FA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23BAAB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Oksiuta et al. (2014)</w:t>
            </w:r>
          </w:p>
        </w:tc>
        <w:tc>
          <w:tcPr>
            <w:tcW w:w="2939" w:type="dxa"/>
            <w:shd w:val="clear" w:color="auto" w:fill="auto"/>
            <w:vAlign w:val="center"/>
          </w:tcPr>
          <w:p w14:paraId="6A8274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6B4ED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Japan</w:t>
            </w:r>
          </w:p>
        </w:tc>
        <w:tc>
          <w:tcPr>
            <w:tcW w:w="1658" w:type="dxa"/>
            <w:shd w:val="clear" w:color="auto" w:fill="auto"/>
            <w:vAlign w:val="center"/>
          </w:tcPr>
          <w:p w14:paraId="546962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2011-2012</w:t>
            </w:r>
          </w:p>
        </w:tc>
        <w:tc>
          <w:tcPr>
            <w:tcW w:w="1978" w:type="dxa"/>
            <w:shd w:val="clear" w:color="auto" w:fill="auto"/>
            <w:vAlign w:val="center"/>
          </w:tcPr>
          <w:p w14:paraId="207B84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DB70E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DBC402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55BD9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38</w:t>
            </w:r>
          </w:p>
        </w:tc>
        <w:tc>
          <w:tcPr>
            <w:tcW w:w="1639" w:type="dxa"/>
            <w:shd w:val="clear" w:color="auto" w:fill="auto"/>
            <w:vAlign w:val="center"/>
          </w:tcPr>
          <w:p w14:paraId="5FE4ED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56</w:t>
            </w:r>
          </w:p>
        </w:tc>
        <w:tc>
          <w:tcPr>
            <w:tcW w:w="5721" w:type="dxa"/>
            <w:shd w:val="clear" w:color="auto" w:fill="auto"/>
            <w:vAlign w:val="center"/>
          </w:tcPr>
          <w:p w14:paraId="58F898B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C3F5E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DA342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2A1D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CEE54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O'Sullivan et al. (2013)</w:t>
            </w:r>
          </w:p>
        </w:tc>
        <w:tc>
          <w:tcPr>
            <w:tcW w:w="2939" w:type="dxa"/>
            <w:shd w:val="clear" w:color="auto" w:fill="auto"/>
            <w:vAlign w:val="center"/>
          </w:tcPr>
          <w:p w14:paraId="63D75C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Oceania</w:t>
            </w:r>
          </w:p>
        </w:tc>
        <w:tc>
          <w:tcPr>
            <w:tcW w:w="3345" w:type="dxa"/>
            <w:shd w:val="clear" w:color="auto" w:fill="auto"/>
            <w:vAlign w:val="center"/>
          </w:tcPr>
          <w:p w14:paraId="6D33BE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Australia</w:t>
            </w:r>
          </w:p>
        </w:tc>
        <w:tc>
          <w:tcPr>
            <w:tcW w:w="1658" w:type="dxa"/>
            <w:shd w:val="clear" w:color="auto" w:fill="auto"/>
            <w:vAlign w:val="center"/>
          </w:tcPr>
          <w:p w14:paraId="58BE06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2003-2005</w:t>
            </w:r>
          </w:p>
        </w:tc>
        <w:tc>
          <w:tcPr>
            <w:tcW w:w="1978" w:type="dxa"/>
            <w:shd w:val="clear" w:color="auto" w:fill="auto"/>
            <w:vAlign w:val="center"/>
          </w:tcPr>
          <w:p w14:paraId="57932D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629A8E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92B48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C1CC4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43</w:t>
            </w:r>
          </w:p>
        </w:tc>
        <w:tc>
          <w:tcPr>
            <w:tcW w:w="1639" w:type="dxa"/>
            <w:shd w:val="clear" w:color="auto" w:fill="auto"/>
            <w:vAlign w:val="center"/>
          </w:tcPr>
          <w:p w14:paraId="0FBE485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121</w:t>
            </w:r>
          </w:p>
        </w:tc>
        <w:tc>
          <w:tcPr>
            <w:tcW w:w="5721" w:type="dxa"/>
            <w:shd w:val="clear" w:color="auto" w:fill="auto"/>
            <w:vAlign w:val="center"/>
          </w:tcPr>
          <w:p w14:paraId="7A46847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704891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254D8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0219F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C888A6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Santoro et al. (2014)</w:t>
            </w:r>
          </w:p>
        </w:tc>
        <w:tc>
          <w:tcPr>
            <w:tcW w:w="2939" w:type="dxa"/>
            <w:shd w:val="clear" w:color="auto" w:fill="auto"/>
            <w:vAlign w:val="center"/>
          </w:tcPr>
          <w:p w14:paraId="73F433A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0DC7658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5D19EA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2014</w:t>
            </w:r>
          </w:p>
        </w:tc>
        <w:tc>
          <w:tcPr>
            <w:tcW w:w="1978" w:type="dxa"/>
            <w:shd w:val="clear" w:color="auto" w:fill="auto"/>
            <w:vAlign w:val="center"/>
          </w:tcPr>
          <w:p w14:paraId="07157E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333824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960B90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62836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56</w:t>
            </w:r>
          </w:p>
        </w:tc>
        <w:tc>
          <w:tcPr>
            <w:tcW w:w="1639" w:type="dxa"/>
            <w:shd w:val="clear" w:color="auto" w:fill="auto"/>
            <w:vAlign w:val="center"/>
          </w:tcPr>
          <w:p w14:paraId="710778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100</w:t>
            </w:r>
          </w:p>
        </w:tc>
        <w:tc>
          <w:tcPr>
            <w:tcW w:w="5721" w:type="dxa"/>
            <w:shd w:val="clear" w:color="auto" w:fill="auto"/>
            <w:vAlign w:val="center"/>
          </w:tcPr>
          <w:p w14:paraId="02CACF36">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BMI&gt;+2</w:t>
            </w:r>
          </w:p>
        </w:tc>
        <w:tc>
          <w:tcPr>
            <w:tcW w:w="1847" w:type="dxa"/>
            <w:shd w:val="clear" w:color="auto" w:fill="auto"/>
            <w:vAlign w:val="center"/>
          </w:tcPr>
          <w:p w14:paraId="599A2DD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E71175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EF10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6B9307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kern w:val="0"/>
                <w:sz w:val="12"/>
                <w:szCs w:val="12"/>
                <w:u w:val="none"/>
                <w:lang w:val="en-US" w:eastAsia="zh-CN" w:bidi="ar"/>
              </w:rPr>
              <w:fldChar w:fldCharType="begin"/>
            </w:r>
            <w:r>
              <w:rPr>
                <w:rFonts w:hint="default" w:ascii="Times New Roman" w:hAnsi="Times New Roman" w:eastAsia="微软雅黑" w:cs="Times New Roman"/>
                <w:i w:val="0"/>
                <w:iCs w:val="0"/>
                <w:kern w:val="0"/>
                <w:sz w:val="12"/>
                <w:szCs w:val="12"/>
                <w:u w:val="none"/>
                <w:lang w:val="en-US" w:eastAsia="zh-CN" w:bidi="ar"/>
              </w:rPr>
              <w:instrText xml:space="preserve"> HYPERLINK "https://pubmed.ncbi.nlm.nih.gov/?sort=date&amp;term=Lebensztejn+DM&amp;cauthor_id=20371430" \o "https://pubmed.ncbi.nlm.nih.gov/?sort=date&amp;term=Lebensztejn+DM&amp;cauthor_id=20371430" </w:instrText>
            </w:r>
            <w:r>
              <w:rPr>
                <w:rFonts w:hint="default" w:ascii="Times New Roman" w:hAnsi="Times New Roman" w:eastAsia="微软雅黑" w:cs="Times New Roman"/>
                <w:i w:val="0"/>
                <w:iCs w:val="0"/>
                <w:kern w:val="0"/>
                <w:sz w:val="12"/>
                <w:szCs w:val="12"/>
                <w:u w:val="none"/>
                <w:lang w:val="en-US" w:eastAsia="zh-CN" w:bidi="ar"/>
              </w:rPr>
              <w:fldChar w:fldCharType="separate"/>
            </w:r>
            <w:r>
              <w:rPr>
                <w:rStyle w:val="27"/>
                <w:rFonts w:hint="default" w:ascii="Times New Roman" w:hAnsi="Times New Roman" w:eastAsia="微软雅黑" w:cs="Times New Roman"/>
                <w:i w:val="0"/>
                <w:iCs w:val="0"/>
                <w:sz w:val="12"/>
                <w:szCs w:val="12"/>
                <w:u w:val="none"/>
              </w:rPr>
              <w:t>Lebensztejn et al. (2010)</w:t>
            </w:r>
            <w:r>
              <w:rPr>
                <w:rFonts w:hint="default" w:ascii="Times New Roman" w:hAnsi="Times New Roman" w:eastAsia="微软雅黑" w:cs="Times New Roman"/>
                <w:i w:val="0"/>
                <w:iCs w:val="0"/>
                <w:kern w:val="0"/>
                <w:sz w:val="12"/>
                <w:szCs w:val="12"/>
                <w:u w:val="none"/>
                <w:lang w:val="en-US" w:eastAsia="zh-CN" w:bidi="ar"/>
              </w:rPr>
              <w:fldChar w:fldCharType="end"/>
            </w:r>
          </w:p>
        </w:tc>
        <w:tc>
          <w:tcPr>
            <w:tcW w:w="2939" w:type="dxa"/>
            <w:shd w:val="clear" w:color="auto" w:fill="auto"/>
            <w:vAlign w:val="center"/>
          </w:tcPr>
          <w:p w14:paraId="786ACB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67C4C2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Poland</w:t>
            </w:r>
          </w:p>
        </w:tc>
        <w:tc>
          <w:tcPr>
            <w:tcW w:w="1658" w:type="dxa"/>
            <w:shd w:val="clear" w:color="auto" w:fill="auto"/>
            <w:vAlign w:val="center"/>
          </w:tcPr>
          <w:p w14:paraId="638E8D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2006-2007</w:t>
            </w:r>
          </w:p>
        </w:tc>
        <w:tc>
          <w:tcPr>
            <w:tcW w:w="1978" w:type="dxa"/>
            <w:shd w:val="clear" w:color="auto" w:fill="auto"/>
            <w:vAlign w:val="center"/>
          </w:tcPr>
          <w:p w14:paraId="7629F6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98BD9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77DD14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6DBC5F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106</w:t>
            </w:r>
          </w:p>
        </w:tc>
        <w:tc>
          <w:tcPr>
            <w:tcW w:w="1639" w:type="dxa"/>
            <w:shd w:val="clear" w:color="auto" w:fill="auto"/>
            <w:vAlign w:val="center"/>
          </w:tcPr>
          <w:p w14:paraId="7885B6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160</w:t>
            </w:r>
          </w:p>
        </w:tc>
        <w:tc>
          <w:tcPr>
            <w:tcW w:w="5721" w:type="dxa"/>
            <w:shd w:val="clear" w:color="auto" w:fill="auto"/>
            <w:vAlign w:val="center"/>
          </w:tcPr>
          <w:p w14:paraId="1277FBB3">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BMI&gt;26</w:t>
            </w:r>
          </w:p>
        </w:tc>
        <w:tc>
          <w:tcPr>
            <w:tcW w:w="1847" w:type="dxa"/>
            <w:shd w:val="clear" w:color="auto" w:fill="auto"/>
            <w:vAlign w:val="center"/>
          </w:tcPr>
          <w:p w14:paraId="51EAE59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1EBCE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7B0C8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EAE299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Demircioglu et al. (2008)</w:t>
            </w:r>
          </w:p>
        </w:tc>
        <w:tc>
          <w:tcPr>
            <w:tcW w:w="2939" w:type="dxa"/>
            <w:shd w:val="clear" w:color="auto" w:fill="auto"/>
            <w:vAlign w:val="center"/>
          </w:tcPr>
          <w:p w14:paraId="71BD9C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8EC872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421F98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w:t>
            </w:r>
          </w:p>
        </w:tc>
        <w:tc>
          <w:tcPr>
            <w:tcW w:w="1978" w:type="dxa"/>
            <w:shd w:val="clear" w:color="auto" w:fill="auto"/>
            <w:vAlign w:val="center"/>
          </w:tcPr>
          <w:p w14:paraId="44C1D20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Case-control</w:t>
            </w:r>
          </w:p>
        </w:tc>
        <w:tc>
          <w:tcPr>
            <w:tcW w:w="1978" w:type="dxa"/>
            <w:shd w:val="clear" w:color="auto" w:fill="auto"/>
            <w:vAlign w:val="center"/>
          </w:tcPr>
          <w:p w14:paraId="666FEA6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589FEB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956E8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66</w:t>
            </w:r>
          </w:p>
        </w:tc>
        <w:tc>
          <w:tcPr>
            <w:tcW w:w="1639" w:type="dxa"/>
            <w:shd w:val="clear" w:color="auto" w:fill="auto"/>
            <w:vAlign w:val="center"/>
          </w:tcPr>
          <w:p w14:paraId="348CC1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161</w:t>
            </w:r>
          </w:p>
        </w:tc>
        <w:tc>
          <w:tcPr>
            <w:tcW w:w="5721" w:type="dxa"/>
            <w:shd w:val="clear" w:color="auto" w:fill="auto"/>
            <w:vAlign w:val="center"/>
          </w:tcPr>
          <w:p w14:paraId="7B1CCEB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7685C3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07CB98D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956F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1FB0147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Osborne et al. (2008)</w:t>
            </w:r>
          </w:p>
        </w:tc>
        <w:tc>
          <w:tcPr>
            <w:tcW w:w="2939" w:type="dxa"/>
            <w:shd w:val="clear" w:color="auto" w:fill="auto"/>
            <w:vAlign w:val="center"/>
          </w:tcPr>
          <w:p w14:paraId="6013CCD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3D7A43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70A93BE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w:t>
            </w:r>
          </w:p>
        </w:tc>
        <w:tc>
          <w:tcPr>
            <w:tcW w:w="1978" w:type="dxa"/>
            <w:shd w:val="clear" w:color="auto" w:fill="auto"/>
            <w:vAlign w:val="center"/>
          </w:tcPr>
          <w:p w14:paraId="620725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D193FF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4CE85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2AE764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w:t>
            </w:r>
          </w:p>
        </w:tc>
        <w:tc>
          <w:tcPr>
            <w:tcW w:w="1639" w:type="dxa"/>
            <w:shd w:val="clear" w:color="auto" w:fill="auto"/>
            <w:vAlign w:val="center"/>
          </w:tcPr>
          <w:p w14:paraId="7B13ACD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65</w:t>
            </w:r>
          </w:p>
        </w:tc>
        <w:tc>
          <w:tcPr>
            <w:tcW w:w="5721" w:type="dxa"/>
            <w:shd w:val="clear" w:color="auto" w:fill="auto"/>
            <w:vAlign w:val="center"/>
          </w:tcPr>
          <w:p w14:paraId="1BD57B0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BMI&gt;30 or BMI &gt;95th percentile</w:t>
            </w:r>
          </w:p>
        </w:tc>
        <w:tc>
          <w:tcPr>
            <w:tcW w:w="1847" w:type="dxa"/>
            <w:shd w:val="clear" w:color="auto" w:fill="auto"/>
            <w:vAlign w:val="center"/>
          </w:tcPr>
          <w:p w14:paraId="4C28BA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8E8FF1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0DE12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2F3C02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Shalitin et al. (2008)</w:t>
            </w:r>
          </w:p>
        </w:tc>
        <w:tc>
          <w:tcPr>
            <w:tcW w:w="2939" w:type="dxa"/>
            <w:shd w:val="clear" w:color="auto" w:fill="auto"/>
            <w:vAlign w:val="center"/>
          </w:tcPr>
          <w:p w14:paraId="408FE1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67D43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Israel</w:t>
            </w:r>
          </w:p>
        </w:tc>
        <w:tc>
          <w:tcPr>
            <w:tcW w:w="1658" w:type="dxa"/>
            <w:shd w:val="clear" w:color="auto" w:fill="auto"/>
            <w:vAlign w:val="center"/>
          </w:tcPr>
          <w:p w14:paraId="5313B8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2004-2006</w:t>
            </w:r>
          </w:p>
        </w:tc>
        <w:tc>
          <w:tcPr>
            <w:tcW w:w="1978" w:type="dxa"/>
            <w:shd w:val="clear" w:color="auto" w:fill="auto"/>
            <w:vAlign w:val="center"/>
          </w:tcPr>
          <w:p w14:paraId="66C226A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ACA251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9184C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Biopsy</w:t>
            </w:r>
          </w:p>
        </w:tc>
        <w:tc>
          <w:tcPr>
            <w:tcW w:w="1300" w:type="dxa"/>
            <w:shd w:val="clear" w:color="auto" w:fill="auto"/>
            <w:vAlign w:val="center"/>
          </w:tcPr>
          <w:p w14:paraId="6D7B81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27</w:t>
            </w:r>
          </w:p>
        </w:tc>
        <w:tc>
          <w:tcPr>
            <w:tcW w:w="1639" w:type="dxa"/>
            <w:shd w:val="clear" w:color="auto" w:fill="auto"/>
            <w:vAlign w:val="center"/>
          </w:tcPr>
          <w:p w14:paraId="154336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93</w:t>
            </w:r>
          </w:p>
        </w:tc>
        <w:tc>
          <w:tcPr>
            <w:tcW w:w="5721" w:type="dxa"/>
            <w:shd w:val="clear" w:color="auto" w:fill="auto"/>
            <w:vAlign w:val="center"/>
          </w:tcPr>
          <w:p w14:paraId="61F8A85A">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0F18663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D8861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158AB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8D767D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Nichols et al. (2019)</w:t>
            </w:r>
          </w:p>
        </w:tc>
        <w:tc>
          <w:tcPr>
            <w:tcW w:w="2939" w:type="dxa"/>
            <w:shd w:val="clear" w:color="auto" w:fill="auto"/>
            <w:vAlign w:val="center"/>
          </w:tcPr>
          <w:p w14:paraId="3EBE9D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603987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230308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2010-2018</w:t>
            </w:r>
          </w:p>
        </w:tc>
        <w:tc>
          <w:tcPr>
            <w:tcW w:w="1978" w:type="dxa"/>
            <w:shd w:val="clear" w:color="auto" w:fill="auto"/>
            <w:vAlign w:val="center"/>
          </w:tcPr>
          <w:p w14:paraId="60172E9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83C70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F6EBF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34B2B63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106</w:t>
            </w:r>
          </w:p>
        </w:tc>
        <w:tc>
          <w:tcPr>
            <w:tcW w:w="1639" w:type="dxa"/>
            <w:shd w:val="clear" w:color="auto" w:fill="auto"/>
            <w:vAlign w:val="center"/>
          </w:tcPr>
          <w:p w14:paraId="786F057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408</w:t>
            </w:r>
          </w:p>
        </w:tc>
        <w:tc>
          <w:tcPr>
            <w:tcW w:w="5721" w:type="dxa"/>
            <w:shd w:val="clear" w:color="auto" w:fill="auto"/>
            <w:vAlign w:val="center"/>
          </w:tcPr>
          <w:p w14:paraId="1DAF3D7E">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066B73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B0E7D3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17CB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28160F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Barretto et al. (2020)</w:t>
            </w:r>
          </w:p>
        </w:tc>
        <w:tc>
          <w:tcPr>
            <w:tcW w:w="2939" w:type="dxa"/>
            <w:shd w:val="clear" w:color="auto" w:fill="auto"/>
            <w:vAlign w:val="center"/>
          </w:tcPr>
          <w:p w14:paraId="3B4E31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02ED6E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0BA02D2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27B5B3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9EE96F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D353A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EB3205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w:t>
            </w:r>
          </w:p>
        </w:tc>
        <w:tc>
          <w:tcPr>
            <w:tcW w:w="1639" w:type="dxa"/>
            <w:shd w:val="clear" w:color="auto" w:fill="auto"/>
            <w:vAlign w:val="center"/>
          </w:tcPr>
          <w:p w14:paraId="12BC02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58</w:t>
            </w:r>
          </w:p>
        </w:tc>
        <w:tc>
          <w:tcPr>
            <w:tcW w:w="5721" w:type="dxa"/>
            <w:shd w:val="clear" w:color="auto" w:fill="auto"/>
            <w:vAlign w:val="center"/>
          </w:tcPr>
          <w:p w14:paraId="49710D6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Z-score &gt;1</w:t>
            </w:r>
          </w:p>
        </w:tc>
        <w:tc>
          <w:tcPr>
            <w:tcW w:w="1847" w:type="dxa"/>
            <w:shd w:val="clear" w:color="auto" w:fill="auto"/>
            <w:vAlign w:val="center"/>
          </w:tcPr>
          <w:p w14:paraId="1250BC9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74AA1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269EE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EDD47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Zusi et al. (2021)</w:t>
            </w:r>
          </w:p>
        </w:tc>
        <w:tc>
          <w:tcPr>
            <w:tcW w:w="2939" w:type="dxa"/>
            <w:shd w:val="clear" w:color="auto" w:fill="auto"/>
            <w:vAlign w:val="center"/>
          </w:tcPr>
          <w:p w14:paraId="74394C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31D504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019168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w:t>
            </w:r>
          </w:p>
        </w:tc>
        <w:tc>
          <w:tcPr>
            <w:tcW w:w="1978" w:type="dxa"/>
            <w:shd w:val="clear" w:color="auto" w:fill="auto"/>
            <w:vAlign w:val="center"/>
          </w:tcPr>
          <w:p w14:paraId="0FE7973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2391118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FA315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2D8FC3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1131</w:t>
            </w:r>
          </w:p>
        </w:tc>
        <w:tc>
          <w:tcPr>
            <w:tcW w:w="1639" w:type="dxa"/>
            <w:shd w:val="clear" w:color="auto" w:fill="auto"/>
            <w:vAlign w:val="center"/>
          </w:tcPr>
          <w:p w14:paraId="41F5C44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1760</w:t>
            </w:r>
          </w:p>
        </w:tc>
        <w:tc>
          <w:tcPr>
            <w:tcW w:w="5721" w:type="dxa"/>
            <w:shd w:val="clear" w:color="auto" w:fill="auto"/>
            <w:vAlign w:val="center"/>
          </w:tcPr>
          <w:p w14:paraId="356D623A">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Z-score= 3.2±0.9</w:t>
            </w:r>
          </w:p>
        </w:tc>
        <w:tc>
          <w:tcPr>
            <w:tcW w:w="1847" w:type="dxa"/>
            <w:shd w:val="clear" w:color="auto" w:fill="auto"/>
            <w:vAlign w:val="center"/>
          </w:tcPr>
          <w:p w14:paraId="40FB3C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C794A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937A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AA47A4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Wang et al. (2022)</w:t>
            </w:r>
          </w:p>
        </w:tc>
        <w:tc>
          <w:tcPr>
            <w:tcW w:w="2939" w:type="dxa"/>
            <w:shd w:val="clear" w:color="auto" w:fill="auto"/>
            <w:vAlign w:val="center"/>
          </w:tcPr>
          <w:p w14:paraId="22A8B9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38593D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7F1642C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2008–2017</w:t>
            </w:r>
          </w:p>
        </w:tc>
        <w:tc>
          <w:tcPr>
            <w:tcW w:w="1978" w:type="dxa"/>
            <w:shd w:val="clear" w:color="auto" w:fill="auto"/>
            <w:vAlign w:val="center"/>
          </w:tcPr>
          <w:p w14:paraId="615DCD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5D6DDC6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8E7A78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C6D9F8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1681</w:t>
            </w:r>
          </w:p>
        </w:tc>
        <w:tc>
          <w:tcPr>
            <w:tcW w:w="1639" w:type="dxa"/>
            <w:shd w:val="clear" w:color="auto" w:fill="auto"/>
            <w:vAlign w:val="center"/>
          </w:tcPr>
          <w:p w14:paraId="0ED6B6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2916</w:t>
            </w:r>
          </w:p>
        </w:tc>
        <w:tc>
          <w:tcPr>
            <w:tcW w:w="5721" w:type="dxa"/>
            <w:shd w:val="clear" w:color="auto" w:fill="auto"/>
            <w:vAlign w:val="center"/>
          </w:tcPr>
          <w:p w14:paraId="6D3E222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49BCAEA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C4244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34001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4AD22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Slusher et al. (2023)</w:t>
            </w:r>
          </w:p>
        </w:tc>
        <w:tc>
          <w:tcPr>
            <w:tcW w:w="2939" w:type="dxa"/>
            <w:shd w:val="clear" w:color="auto" w:fill="auto"/>
            <w:vAlign w:val="center"/>
          </w:tcPr>
          <w:p w14:paraId="38B936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28A299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USA</w:t>
            </w:r>
          </w:p>
        </w:tc>
        <w:tc>
          <w:tcPr>
            <w:tcW w:w="1658" w:type="dxa"/>
            <w:shd w:val="clear" w:color="auto" w:fill="auto"/>
            <w:vAlign w:val="center"/>
          </w:tcPr>
          <w:p w14:paraId="23D33A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2017-2020</w:t>
            </w:r>
          </w:p>
        </w:tc>
        <w:tc>
          <w:tcPr>
            <w:tcW w:w="1978" w:type="dxa"/>
            <w:shd w:val="clear" w:color="auto" w:fill="auto"/>
            <w:vAlign w:val="center"/>
          </w:tcPr>
          <w:p w14:paraId="6A616E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50806B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219771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75E314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64</w:t>
            </w:r>
          </w:p>
        </w:tc>
        <w:tc>
          <w:tcPr>
            <w:tcW w:w="1639" w:type="dxa"/>
            <w:shd w:val="clear" w:color="auto" w:fill="auto"/>
            <w:vAlign w:val="center"/>
          </w:tcPr>
          <w:p w14:paraId="24BEE0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105</w:t>
            </w:r>
          </w:p>
        </w:tc>
        <w:tc>
          <w:tcPr>
            <w:tcW w:w="5721" w:type="dxa"/>
            <w:shd w:val="clear" w:color="auto" w:fill="auto"/>
            <w:vAlign w:val="center"/>
          </w:tcPr>
          <w:p w14:paraId="28C3BA2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 85th percentile</w:t>
            </w:r>
          </w:p>
        </w:tc>
        <w:tc>
          <w:tcPr>
            <w:tcW w:w="1847" w:type="dxa"/>
            <w:shd w:val="clear" w:color="auto" w:fill="auto"/>
            <w:vAlign w:val="center"/>
          </w:tcPr>
          <w:p w14:paraId="5B7054E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101B19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4C0B9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625BC5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Silveira et al. (2022)</w:t>
            </w:r>
          </w:p>
        </w:tc>
        <w:tc>
          <w:tcPr>
            <w:tcW w:w="2939" w:type="dxa"/>
            <w:shd w:val="clear" w:color="auto" w:fill="auto"/>
            <w:vAlign w:val="center"/>
          </w:tcPr>
          <w:p w14:paraId="70C5E6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South America</w:t>
            </w:r>
          </w:p>
        </w:tc>
        <w:tc>
          <w:tcPr>
            <w:tcW w:w="3345" w:type="dxa"/>
            <w:shd w:val="clear" w:color="auto" w:fill="auto"/>
            <w:vAlign w:val="center"/>
          </w:tcPr>
          <w:p w14:paraId="60E0836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Brazil</w:t>
            </w:r>
          </w:p>
        </w:tc>
        <w:tc>
          <w:tcPr>
            <w:tcW w:w="1658" w:type="dxa"/>
            <w:shd w:val="clear" w:color="auto" w:fill="auto"/>
            <w:vAlign w:val="center"/>
          </w:tcPr>
          <w:p w14:paraId="0201218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2017-2018</w:t>
            </w:r>
          </w:p>
        </w:tc>
        <w:tc>
          <w:tcPr>
            <w:tcW w:w="1978" w:type="dxa"/>
            <w:shd w:val="clear" w:color="auto" w:fill="auto"/>
            <w:vAlign w:val="center"/>
          </w:tcPr>
          <w:p w14:paraId="7C423C2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123B27E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FA94B7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5300E5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24</w:t>
            </w:r>
          </w:p>
        </w:tc>
        <w:tc>
          <w:tcPr>
            <w:tcW w:w="1639" w:type="dxa"/>
            <w:shd w:val="clear" w:color="auto" w:fill="auto"/>
            <w:vAlign w:val="center"/>
          </w:tcPr>
          <w:p w14:paraId="00BE9A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28</w:t>
            </w:r>
          </w:p>
        </w:tc>
        <w:tc>
          <w:tcPr>
            <w:tcW w:w="5721" w:type="dxa"/>
            <w:shd w:val="clear" w:color="auto" w:fill="auto"/>
            <w:vAlign w:val="center"/>
          </w:tcPr>
          <w:p w14:paraId="59473E1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 score &gt;1</w:t>
            </w:r>
          </w:p>
        </w:tc>
        <w:tc>
          <w:tcPr>
            <w:tcW w:w="1847" w:type="dxa"/>
            <w:shd w:val="clear" w:color="auto" w:fill="auto"/>
            <w:vAlign w:val="center"/>
          </w:tcPr>
          <w:p w14:paraId="0E6A739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63DF31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1BD28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61C087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Janejira et al. (2020)</w:t>
            </w:r>
          </w:p>
        </w:tc>
        <w:tc>
          <w:tcPr>
            <w:tcW w:w="2939" w:type="dxa"/>
            <w:shd w:val="clear" w:color="auto" w:fill="auto"/>
            <w:vAlign w:val="center"/>
          </w:tcPr>
          <w:p w14:paraId="132ADE2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6AFD2D8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Thailand</w:t>
            </w:r>
          </w:p>
        </w:tc>
        <w:tc>
          <w:tcPr>
            <w:tcW w:w="1658" w:type="dxa"/>
            <w:shd w:val="clear" w:color="auto" w:fill="auto"/>
            <w:vAlign w:val="center"/>
          </w:tcPr>
          <w:p w14:paraId="592CD96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6444D47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D1392D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023D38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MRI</w:t>
            </w:r>
          </w:p>
        </w:tc>
        <w:tc>
          <w:tcPr>
            <w:tcW w:w="1300" w:type="dxa"/>
            <w:shd w:val="clear" w:color="auto" w:fill="auto"/>
            <w:vAlign w:val="center"/>
          </w:tcPr>
          <w:p w14:paraId="1DF9364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4</w:t>
            </w:r>
          </w:p>
        </w:tc>
        <w:tc>
          <w:tcPr>
            <w:tcW w:w="1639" w:type="dxa"/>
            <w:shd w:val="clear" w:color="auto" w:fill="auto"/>
            <w:vAlign w:val="center"/>
          </w:tcPr>
          <w:p w14:paraId="7CC9D29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13</w:t>
            </w:r>
          </w:p>
        </w:tc>
        <w:tc>
          <w:tcPr>
            <w:tcW w:w="5721" w:type="dxa"/>
            <w:shd w:val="clear" w:color="auto" w:fill="auto"/>
            <w:vAlign w:val="center"/>
          </w:tcPr>
          <w:p w14:paraId="1CC6F1C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BMI-SDS was calculated and categorized as overweight and obesity</w:t>
            </w:r>
          </w:p>
        </w:tc>
        <w:tc>
          <w:tcPr>
            <w:tcW w:w="1847" w:type="dxa"/>
            <w:shd w:val="clear" w:color="auto" w:fill="auto"/>
            <w:vAlign w:val="center"/>
          </w:tcPr>
          <w:p w14:paraId="1770D8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4BE730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5E33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AB95F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Peña-Vélez et al. (2020)</w:t>
            </w:r>
          </w:p>
        </w:tc>
        <w:tc>
          <w:tcPr>
            <w:tcW w:w="2939" w:type="dxa"/>
            <w:shd w:val="clear" w:color="auto" w:fill="auto"/>
            <w:vAlign w:val="center"/>
          </w:tcPr>
          <w:p w14:paraId="2E0605D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North America</w:t>
            </w:r>
          </w:p>
        </w:tc>
        <w:tc>
          <w:tcPr>
            <w:tcW w:w="3345" w:type="dxa"/>
            <w:shd w:val="clear" w:color="auto" w:fill="auto"/>
            <w:vAlign w:val="center"/>
          </w:tcPr>
          <w:p w14:paraId="609CB1C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Mexico</w:t>
            </w:r>
          </w:p>
        </w:tc>
        <w:tc>
          <w:tcPr>
            <w:tcW w:w="1658" w:type="dxa"/>
            <w:shd w:val="clear" w:color="auto" w:fill="auto"/>
            <w:vAlign w:val="center"/>
          </w:tcPr>
          <w:p w14:paraId="5E92573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w:t>
            </w:r>
          </w:p>
        </w:tc>
        <w:tc>
          <w:tcPr>
            <w:tcW w:w="1978" w:type="dxa"/>
            <w:shd w:val="clear" w:color="auto" w:fill="auto"/>
            <w:vAlign w:val="center"/>
          </w:tcPr>
          <w:p w14:paraId="0E6D21A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DA9869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E95F9F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0D5E8B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65</w:t>
            </w:r>
          </w:p>
        </w:tc>
        <w:tc>
          <w:tcPr>
            <w:tcW w:w="1639" w:type="dxa"/>
            <w:shd w:val="clear" w:color="auto" w:fill="auto"/>
            <w:vAlign w:val="center"/>
          </w:tcPr>
          <w:p w14:paraId="2648E26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112</w:t>
            </w:r>
          </w:p>
        </w:tc>
        <w:tc>
          <w:tcPr>
            <w:tcW w:w="5721" w:type="dxa"/>
            <w:shd w:val="clear" w:color="auto" w:fill="auto"/>
            <w:vAlign w:val="center"/>
          </w:tcPr>
          <w:p w14:paraId="2BF9F39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136AA8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734A5A3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619D5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027D43D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Mohamed et al. (2020)</w:t>
            </w:r>
          </w:p>
        </w:tc>
        <w:tc>
          <w:tcPr>
            <w:tcW w:w="2939" w:type="dxa"/>
            <w:shd w:val="clear" w:color="auto" w:fill="auto"/>
            <w:vAlign w:val="center"/>
          </w:tcPr>
          <w:p w14:paraId="488953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0C74D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Malaysia</w:t>
            </w:r>
          </w:p>
        </w:tc>
        <w:tc>
          <w:tcPr>
            <w:tcW w:w="1658" w:type="dxa"/>
            <w:shd w:val="clear" w:color="auto" w:fill="auto"/>
            <w:vAlign w:val="center"/>
          </w:tcPr>
          <w:p w14:paraId="1173647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2015</w:t>
            </w:r>
          </w:p>
        </w:tc>
        <w:tc>
          <w:tcPr>
            <w:tcW w:w="1978" w:type="dxa"/>
            <w:shd w:val="clear" w:color="auto" w:fill="auto"/>
            <w:vAlign w:val="center"/>
          </w:tcPr>
          <w:p w14:paraId="5FFE966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1DCE6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AC1FAE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4C623C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21</w:t>
            </w:r>
          </w:p>
        </w:tc>
        <w:tc>
          <w:tcPr>
            <w:tcW w:w="1639" w:type="dxa"/>
            <w:shd w:val="clear" w:color="auto" w:fill="auto"/>
            <w:vAlign w:val="center"/>
          </w:tcPr>
          <w:p w14:paraId="47845B5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33</w:t>
            </w:r>
          </w:p>
        </w:tc>
        <w:tc>
          <w:tcPr>
            <w:tcW w:w="5721" w:type="dxa"/>
            <w:shd w:val="clear" w:color="auto" w:fill="auto"/>
            <w:vAlign w:val="center"/>
          </w:tcPr>
          <w:p w14:paraId="720174AC">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&gt;85th percentile</w:t>
            </w:r>
          </w:p>
        </w:tc>
        <w:tc>
          <w:tcPr>
            <w:tcW w:w="1847" w:type="dxa"/>
            <w:shd w:val="clear" w:color="auto" w:fill="auto"/>
            <w:vAlign w:val="center"/>
          </w:tcPr>
          <w:p w14:paraId="6EA8B3E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14E634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24FFD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6C928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Mburu et al. (2023)</w:t>
            </w:r>
          </w:p>
        </w:tc>
        <w:tc>
          <w:tcPr>
            <w:tcW w:w="2939" w:type="dxa"/>
            <w:shd w:val="clear" w:color="auto" w:fill="auto"/>
            <w:vAlign w:val="center"/>
          </w:tcPr>
          <w:p w14:paraId="4A495E8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Africa</w:t>
            </w:r>
          </w:p>
        </w:tc>
        <w:tc>
          <w:tcPr>
            <w:tcW w:w="3345" w:type="dxa"/>
            <w:shd w:val="clear" w:color="auto" w:fill="auto"/>
            <w:vAlign w:val="center"/>
          </w:tcPr>
          <w:p w14:paraId="2133680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Kenya</w:t>
            </w:r>
          </w:p>
        </w:tc>
        <w:tc>
          <w:tcPr>
            <w:tcW w:w="1658" w:type="dxa"/>
            <w:shd w:val="clear" w:color="auto" w:fill="auto"/>
            <w:vAlign w:val="center"/>
          </w:tcPr>
          <w:p w14:paraId="55AB39C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2016-2017</w:t>
            </w:r>
          </w:p>
        </w:tc>
        <w:tc>
          <w:tcPr>
            <w:tcW w:w="1978" w:type="dxa"/>
            <w:shd w:val="clear" w:color="auto" w:fill="auto"/>
            <w:vAlign w:val="center"/>
          </w:tcPr>
          <w:p w14:paraId="52D6D50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2DA032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EE466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DD571C8">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27</w:t>
            </w:r>
          </w:p>
        </w:tc>
        <w:tc>
          <w:tcPr>
            <w:tcW w:w="1639" w:type="dxa"/>
            <w:shd w:val="clear" w:color="auto" w:fill="auto"/>
            <w:vAlign w:val="center"/>
          </w:tcPr>
          <w:p w14:paraId="1B76AF6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103</w:t>
            </w:r>
          </w:p>
        </w:tc>
        <w:tc>
          <w:tcPr>
            <w:tcW w:w="5721" w:type="dxa"/>
            <w:shd w:val="clear" w:color="auto" w:fill="auto"/>
            <w:vAlign w:val="center"/>
          </w:tcPr>
          <w:p w14:paraId="02094D90">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 score &gt;1</w:t>
            </w:r>
          </w:p>
        </w:tc>
        <w:tc>
          <w:tcPr>
            <w:tcW w:w="1847" w:type="dxa"/>
            <w:shd w:val="clear" w:color="auto" w:fill="auto"/>
            <w:vAlign w:val="center"/>
          </w:tcPr>
          <w:p w14:paraId="042899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186D4D9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17E11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A425B7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de Silva et al. (2022)</w:t>
            </w:r>
          </w:p>
        </w:tc>
        <w:tc>
          <w:tcPr>
            <w:tcW w:w="2939" w:type="dxa"/>
            <w:shd w:val="clear" w:color="auto" w:fill="auto"/>
            <w:vAlign w:val="center"/>
          </w:tcPr>
          <w:p w14:paraId="22DE7F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9ED670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Sri Lanka</w:t>
            </w:r>
          </w:p>
        </w:tc>
        <w:tc>
          <w:tcPr>
            <w:tcW w:w="1658" w:type="dxa"/>
            <w:shd w:val="clear" w:color="auto" w:fill="auto"/>
            <w:vAlign w:val="center"/>
          </w:tcPr>
          <w:p w14:paraId="205EAD2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2022</w:t>
            </w:r>
          </w:p>
        </w:tc>
        <w:tc>
          <w:tcPr>
            <w:tcW w:w="1978" w:type="dxa"/>
            <w:shd w:val="clear" w:color="auto" w:fill="auto"/>
            <w:vAlign w:val="center"/>
          </w:tcPr>
          <w:p w14:paraId="09B316C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6220A62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1CB2E5E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5227A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36</w:t>
            </w:r>
          </w:p>
        </w:tc>
        <w:tc>
          <w:tcPr>
            <w:tcW w:w="1639" w:type="dxa"/>
            <w:shd w:val="clear" w:color="auto" w:fill="auto"/>
            <w:vAlign w:val="center"/>
          </w:tcPr>
          <w:p w14:paraId="5B3180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95</w:t>
            </w:r>
          </w:p>
        </w:tc>
        <w:tc>
          <w:tcPr>
            <w:tcW w:w="5721" w:type="dxa"/>
            <w:shd w:val="clear" w:color="auto" w:fill="auto"/>
            <w:vAlign w:val="center"/>
          </w:tcPr>
          <w:p w14:paraId="39253B1F">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 85th percentile</w:t>
            </w:r>
          </w:p>
        </w:tc>
        <w:tc>
          <w:tcPr>
            <w:tcW w:w="1847" w:type="dxa"/>
            <w:shd w:val="clear" w:color="auto" w:fill="auto"/>
            <w:vAlign w:val="center"/>
          </w:tcPr>
          <w:p w14:paraId="4769554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DE91BD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6C99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939" w:type="dxa"/>
            <w:shd w:val="clear" w:color="auto" w:fill="auto"/>
            <w:vAlign w:val="center"/>
          </w:tcPr>
          <w:p w14:paraId="633C01D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 xml:space="preserve">Dai, W et al. (2023) </w:t>
            </w:r>
          </w:p>
        </w:tc>
        <w:tc>
          <w:tcPr>
            <w:tcW w:w="2939" w:type="dxa"/>
            <w:shd w:val="clear" w:color="auto" w:fill="auto"/>
            <w:vAlign w:val="center"/>
          </w:tcPr>
          <w:p w14:paraId="159E067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1F77371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25D0632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2019-2021</w:t>
            </w:r>
          </w:p>
        </w:tc>
        <w:tc>
          <w:tcPr>
            <w:tcW w:w="1978" w:type="dxa"/>
            <w:shd w:val="clear" w:color="auto" w:fill="auto"/>
            <w:vAlign w:val="center"/>
          </w:tcPr>
          <w:p w14:paraId="4DE940B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16CF0C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3FB59D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5184935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322</w:t>
            </w:r>
          </w:p>
        </w:tc>
        <w:tc>
          <w:tcPr>
            <w:tcW w:w="1639" w:type="dxa"/>
            <w:shd w:val="clear" w:color="auto" w:fill="auto"/>
            <w:vAlign w:val="center"/>
          </w:tcPr>
          <w:p w14:paraId="27B5D29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844</w:t>
            </w:r>
          </w:p>
        </w:tc>
        <w:tc>
          <w:tcPr>
            <w:tcW w:w="5721" w:type="dxa"/>
            <w:shd w:val="clear" w:color="auto" w:fill="auto"/>
            <w:vAlign w:val="center"/>
          </w:tcPr>
          <w:p w14:paraId="77E9F75A">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Reference the growth curves of body mass index for Chinese children and adolescents aged 0 to 18 years to determine the thresholds for overweight and obesity among children of different ages and genders</w:t>
            </w:r>
          </w:p>
        </w:tc>
        <w:tc>
          <w:tcPr>
            <w:tcW w:w="1847" w:type="dxa"/>
            <w:shd w:val="clear" w:color="auto" w:fill="auto"/>
            <w:vAlign w:val="center"/>
          </w:tcPr>
          <w:p w14:paraId="028254B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92D965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2023C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939" w:type="dxa"/>
            <w:shd w:val="clear" w:color="auto" w:fill="auto"/>
            <w:vAlign w:val="center"/>
          </w:tcPr>
          <w:p w14:paraId="6141BE7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Basarir et al. (2021)</w:t>
            </w:r>
          </w:p>
        </w:tc>
        <w:tc>
          <w:tcPr>
            <w:tcW w:w="2939" w:type="dxa"/>
            <w:shd w:val="clear" w:color="auto" w:fill="auto"/>
            <w:vAlign w:val="center"/>
          </w:tcPr>
          <w:p w14:paraId="781F292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4F96986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Turkey</w:t>
            </w:r>
          </w:p>
        </w:tc>
        <w:tc>
          <w:tcPr>
            <w:tcW w:w="1658" w:type="dxa"/>
            <w:shd w:val="clear" w:color="auto" w:fill="auto"/>
            <w:vAlign w:val="center"/>
          </w:tcPr>
          <w:p w14:paraId="199FA05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w:t>
            </w:r>
          </w:p>
        </w:tc>
        <w:tc>
          <w:tcPr>
            <w:tcW w:w="1978" w:type="dxa"/>
            <w:shd w:val="clear" w:color="auto" w:fill="auto"/>
            <w:vAlign w:val="center"/>
          </w:tcPr>
          <w:p w14:paraId="67A8162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42164E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56C4B59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123629D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94</w:t>
            </w:r>
          </w:p>
        </w:tc>
        <w:tc>
          <w:tcPr>
            <w:tcW w:w="1639" w:type="dxa"/>
            <w:shd w:val="clear" w:color="auto" w:fill="auto"/>
            <w:vAlign w:val="center"/>
          </w:tcPr>
          <w:p w14:paraId="278AC4C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208</w:t>
            </w:r>
          </w:p>
        </w:tc>
        <w:tc>
          <w:tcPr>
            <w:tcW w:w="5721" w:type="dxa"/>
            <w:shd w:val="clear" w:color="auto" w:fill="auto"/>
            <w:vAlign w:val="center"/>
          </w:tcPr>
          <w:p w14:paraId="77BEDBE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035F4A5C">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7FEEDDF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51B37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BD87A9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Ahmed et al. (2021)</w:t>
            </w:r>
          </w:p>
        </w:tc>
        <w:tc>
          <w:tcPr>
            <w:tcW w:w="2939" w:type="dxa"/>
            <w:shd w:val="clear" w:color="auto" w:fill="auto"/>
            <w:vAlign w:val="center"/>
          </w:tcPr>
          <w:p w14:paraId="3E82661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2E7847A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Qatar</w:t>
            </w:r>
          </w:p>
        </w:tc>
        <w:tc>
          <w:tcPr>
            <w:tcW w:w="1658" w:type="dxa"/>
            <w:shd w:val="clear" w:color="auto" w:fill="auto"/>
            <w:vAlign w:val="center"/>
          </w:tcPr>
          <w:p w14:paraId="735D58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2018-2020</w:t>
            </w:r>
          </w:p>
        </w:tc>
        <w:tc>
          <w:tcPr>
            <w:tcW w:w="1978" w:type="dxa"/>
            <w:shd w:val="clear" w:color="auto" w:fill="auto"/>
            <w:vAlign w:val="center"/>
          </w:tcPr>
          <w:p w14:paraId="78BD9E3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Prospective</w:t>
            </w:r>
          </w:p>
        </w:tc>
        <w:tc>
          <w:tcPr>
            <w:tcW w:w="1978" w:type="dxa"/>
            <w:shd w:val="clear" w:color="auto" w:fill="auto"/>
            <w:vAlign w:val="center"/>
          </w:tcPr>
          <w:p w14:paraId="661628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77ED966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07BBB97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55</w:t>
            </w:r>
          </w:p>
        </w:tc>
        <w:tc>
          <w:tcPr>
            <w:tcW w:w="1639" w:type="dxa"/>
            <w:shd w:val="clear" w:color="auto" w:fill="auto"/>
            <w:vAlign w:val="center"/>
          </w:tcPr>
          <w:p w14:paraId="4D67495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104</w:t>
            </w:r>
          </w:p>
        </w:tc>
        <w:tc>
          <w:tcPr>
            <w:tcW w:w="5721" w:type="dxa"/>
            <w:shd w:val="clear" w:color="auto" w:fill="auto"/>
            <w:vAlign w:val="center"/>
          </w:tcPr>
          <w:p w14:paraId="77414451">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Z-score &gt;1</w:t>
            </w:r>
          </w:p>
        </w:tc>
        <w:tc>
          <w:tcPr>
            <w:tcW w:w="1847" w:type="dxa"/>
            <w:shd w:val="clear" w:color="auto" w:fill="auto"/>
            <w:vAlign w:val="center"/>
          </w:tcPr>
          <w:p w14:paraId="0CCC6C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1DCC62A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4AAF5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79B2CB6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Jin et al. (2024)</w:t>
            </w:r>
          </w:p>
        </w:tc>
        <w:tc>
          <w:tcPr>
            <w:tcW w:w="2939" w:type="dxa"/>
            <w:shd w:val="clear" w:color="auto" w:fill="auto"/>
            <w:vAlign w:val="center"/>
          </w:tcPr>
          <w:p w14:paraId="7AA7D2A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shd w:val="clear" w:color="auto" w:fill="auto"/>
            <w:vAlign w:val="center"/>
          </w:tcPr>
          <w:p w14:paraId="7BE193B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China</w:t>
            </w:r>
          </w:p>
        </w:tc>
        <w:tc>
          <w:tcPr>
            <w:tcW w:w="1658" w:type="dxa"/>
            <w:shd w:val="clear" w:color="auto" w:fill="auto"/>
            <w:vAlign w:val="center"/>
          </w:tcPr>
          <w:p w14:paraId="2D8F0F4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2003-2021</w:t>
            </w:r>
          </w:p>
        </w:tc>
        <w:tc>
          <w:tcPr>
            <w:tcW w:w="1978" w:type="dxa"/>
            <w:shd w:val="clear" w:color="auto" w:fill="auto"/>
            <w:vAlign w:val="center"/>
          </w:tcPr>
          <w:p w14:paraId="0BCF0CE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4C9F1CC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2D60662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360E5F2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1776</w:t>
            </w:r>
          </w:p>
        </w:tc>
        <w:tc>
          <w:tcPr>
            <w:tcW w:w="1639" w:type="dxa"/>
            <w:shd w:val="clear" w:color="auto" w:fill="auto"/>
            <w:vAlign w:val="center"/>
          </w:tcPr>
          <w:p w14:paraId="4219F04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2999</w:t>
            </w:r>
          </w:p>
        </w:tc>
        <w:tc>
          <w:tcPr>
            <w:tcW w:w="5721" w:type="dxa"/>
            <w:shd w:val="clear" w:color="auto" w:fill="auto"/>
            <w:vAlign w:val="center"/>
          </w:tcPr>
          <w:p w14:paraId="6DD5B547">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68157CB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37AE31BB">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w:t>
            </w:r>
          </w:p>
        </w:tc>
      </w:tr>
      <w:tr w14:paraId="69448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35FF6E5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Di Bonito et al. (2022)</w:t>
            </w:r>
          </w:p>
        </w:tc>
        <w:tc>
          <w:tcPr>
            <w:tcW w:w="2939" w:type="dxa"/>
            <w:shd w:val="clear" w:color="auto" w:fill="auto"/>
            <w:vAlign w:val="center"/>
          </w:tcPr>
          <w:p w14:paraId="11F4C33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Europe</w:t>
            </w:r>
          </w:p>
        </w:tc>
        <w:tc>
          <w:tcPr>
            <w:tcW w:w="3345" w:type="dxa"/>
            <w:shd w:val="clear" w:color="auto" w:fill="auto"/>
            <w:vAlign w:val="center"/>
          </w:tcPr>
          <w:p w14:paraId="3DB0F5B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Italy</w:t>
            </w:r>
          </w:p>
        </w:tc>
        <w:tc>
          <w:tcPr>
            <w:tcW w:w="1658" w:type="dxa"/>
            <w:shd w:val="clear" w:color="auto" w:fill="auto"/>
            <w:vAlign w:val="center"/>
          </w:tcPr>
          <w:p w14:paraId="45A4F8AA">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2003-2016</w:t>
            </w:r>
          </w:p>
        </w:tc>
        <w:tc>
          <w:tcPr>
            <w:tcW w:w="1978" w:type="dxa"/>
            <w:shd w:val="clear" w:color="auto" w:fill="auto"/>
            <w:vAlign w:val="center"/>
          </w:tcPr>
          <w:p w14:paraId="51CC67B1">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shd w:val="clear" w:color="auto" w:fill="auto"/>
            <w:vAlign w:val="center"/>
          </w:tcPr>
          <w:p w14:paraId="759C2D3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4BE8BDC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40E151EE">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1366</w:t>
            </w:r>
          </w:p>
        </w:tc>
        <w:tc>
          <w:tcPr>
            <w:tcW w:w="1639" w:type="dxa"/>
            <w:shd w:val="clear" w:color="auto" w:fill="auto"/>
            <w:vAlign w:val="center"/>
          </w:tcPr>
          <w:p w14:paraId="0AC96C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3104</w:t>
            </w:r>
          </w:p>
        </w:tc>
        <w:tc>
          <w:tcPr>
            <w:tcW w:w="5721" w:type="dxa"/>
            <w:shd w:val="clear" w:color="auto" w:fill="auto"/>
            <w:vAlign w:val="center"/>
          </w:tcPr>
          <w:p w14:paraId="4AE6728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&gt;95th percentile</w:t>
            </w:r>
          </w:p>
        </w:tc>
        <w:tc>
          <w:tcPr>
            <w:tcW w:w="1847" w:type="dxa"/>
            <w:shd w:val="clear" w:color="auto" w:fill="auto"/>
            <w:vAlign w:val="center"/>
          </w:tcPr>
          <w:p w14:paraId="34D8C87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Fatty liver</w:t>
            </w:r>
          </w:p>
        </w:tc>
        <w:tc>
          <w:tcPr>
            <w:tcW w:w="1282" w:type="dxa"/>
            <w:shd w:val="clear" w:color="auto" w:fill="auto"/>
            <w:vAlign w:val="center"/>
          </w:tcPr>
          <w:p w14:paraId="17A9201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6</w:t>
            </w:r>
          </w:p>
        </w:tc>
      </w:tr>
      <w:tr w14:paraId="503E9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shd w:val="clear" w:color="auto" w:fill="auto"/>
            <w:vAlign w:val="center"/>
          </w:tcPr>
          <w:p w14:paraId="5D0F795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Al Azzouny et al. (2021)</w:t>
            </w:r>
          </w:p>
        </w:tc>
        <w:tc>
          <w:tcPr>
            <w:tcW w:w="2939" w:type="dxa"/>
            <w:shd w:val="clear" w:color="auto" w:fill="auto"/>
            <w:vAlign w:val="center"/>
          </w:tcPr>
          <w:p w14:paraId="6DA8C7F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Africa</w:t>
            </w:r>
          </w:p>
        </w:tc>
        <w:tc>
          <w:tcPr>
            <w:tcW w:w="3345" w:type="dxa"/>
            <w:shd w:val="clear" w:color="auto" w:fill="auto"/>
            <w:vAlign w:val="center"/>
          </w:tcPr>
          <w:p w14:paraId="6ADBBF29">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Egypt</w:t>
            </w:r>
          </w:p>
        </w:tc>
        <w:tc>
          <w:tcPr>
            <w:tcW w:w="1658" w:type="dxa"/>
            <w:shd w:val="clear" w:color="auto" w:fill="auto"/>
            <w:vAlign w:val="center"/>
          </w:tcPr>
          <w:p w14:paraId="32EB70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2019-2019</w:t>
            </w:r>
          </w:p>
        </w:tc>
        <w:tc>
          <w:tcPr>
            <w:tcW w:w="1978" w:type="dxa"/>
            <w:shd w:val="clear" w:color="auto" w:fill="auto"/>
            <w:vAlign w:val="center"/>
          </w:tcPr>
          <w:p w14:paraId="44A46650">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Case-control</w:t>
            </w:r>
          </w:p>
        </w:tc>
        <w:tc>
          <w:tcPr>
            <w:tcW w:w="1978" w:type="dxa"/>
            <w:shd w:val="clear" w:color="auto" w:fill="auto"/>
            <w:vAlign w:val="center"/>
          </w:tcPr>
          <w:p w14:paraId="2F0ADE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shd w:val="clear" w:color="auto" w:fill="auto"/>
            <w:vAlign w:val="center"/>
          </w:tcPr>
          <w:p w14:paraId="0FBA5A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shd w:val="clear" w:color="auto" w:fill="auto"/>
            <w:vAlign w:val="center"/>
          </w:tcPr>
          <w:p w14:paraId="77027E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27</w:t>
            </w:r>
          </w:p>
        </w:tc>
        <w:tc>
          <w:tcPr>
            <w:tcW w:w="1639" w:type="dxa"/>
            <w:shd w:val="clear" w:color="auto" w:fill="auto"/>
            <w:vAlign w:val="center"/>
          </w:tcPr>
          <w:p w14:paraId="11331DB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100</w:t>
            </w:r>
          </w:p>
        </w:tc>
        <w:tc>
          <w:tcPr>
            <w:tcW w:w="5721" w:type="dxa"/>
            <w:shd w:val="clear" w:color="auto" w:fill="auto"/>
            <w:vAlign w:val="center"/>
          </w:tcPr>
          <w:p w14:paraId="29829F54">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&gt; 85th percentile</w:t>
            </w:r>
          </w:p>
        </w:tc>
        <w:tc>
          <w:tcPr>
            <w:tcW w:w="1847" w:type="dxa"/>
            <w:shd w:val="clear" w:color="auto" w:fill="auto"/>
            <w:vAlign w:val="center"/>
          </w:tcPr>
          <w:p w14:paraId="26DE1E4F">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shd w:val="clear" w:color="auto" w:fill="auto"/>
            <w:vAlign w:val="center"/>
          </w:tcPr>
          <w:p w14:paraId="45870F06">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r w14:paraId="77941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939" w:type="dxa"/>
            <w:tcBorders>
              <w:bottom w:val="single" w:color="auto" w:sz="8" w:space="0"/>
            </w:tcBorders>
            <w:shd w:val="clear" w:color="auto" w:fill="auto"/>
            <w:vAlign w:val="center"/>
          </w:tcPr>
          <w:p w14:paraId="280C9D8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Thiagarajan, S. et al. (2022)</w:t>
            </w:r>
          </w:p>
        </w:tc>
        <w:tc>
          <w:tcPr>
            <w:tcW w:w="2939" w:type="dxa"/>
            <w:tcBorders>
              <w:bottom w:val="single" w:color="auto" w:sz="8" w:space="0"/>
            </w:tcBorders>
            <w:shd w:val="clear" w:color="auto" w:fill="auto"/>
            <w:vAlign w:val="center"/>
          </w:tcPr>
          <w:p w14:paraId="2FB25B7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Asia</w:t>
            </w:r>
          </w:p>
        </w:tc>
        <w:tc>
          <w:tcPr>
            <w:tcW w:w="3345" w:type="dxa"/>
            <w:tcBorders>
              <w:bottom w:val="single" w:color="auto" w:sz="8" w:space="0"/>
            </w:tcBorders>
            <w:shd w:val="clear" w:color="auto" w:fill="auto"/>
            <w:vAlign w:val="center"/>
          </w:tcPr>
          <w:p w14:paraId="51FDA0A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India</w:t>
            </w:r>
          </w:p>
        </w:tc>
        <w:tc>
          <w:tcPr>
            <w:tcW w:w="1658" w:type="dxa"/>
            <w:tcBorders>
              <w:bottom w:val="single" w:color="auto" w:sz="8" w:space="0"/>
            </w:tcBorders>
            <w:shd w:val="clear" w:color="auto" w:fill="auto"/>
            <w:vAlign w:val="center"/>
          </w:tcPr>
          <w:p w14:paraId="5D8B047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w:t>
            </w:r>
          </w:p>
        </w:tc>
        <w:tc>
          <w:tcPr>
            <w:tcW w:w="1978" w:type="dxa"/>
            <w:tcBorders>
              <w:bottom w:val="single" w:color="auto" w:sz="8" w:space="0"/>
            </w:tcBorders>
            <w:shd w:val="clear" w:color="auto" w:fill="auto"/>
            <w:vAlign w:val="center"/>
          </w:tcPr>
          <w:p w14:paraId="3A1705A2">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Cross-sectional</w:t>
            </w:r>
          </w:p>
        </w:tc>
        <w:tc>
          <w:tcPr>
            <w:tcW w:w="1978" w:type="dxa"/>
            <w:tcBorders>
              <w:bottom w:val="single" w:color="auto" w:sz="8" w:space="0"/>
            </w:tcBorders>
            <w:shd w:val="clear" w:color="auto" w:fill="auto"/>
            <w:vAlign w:val="center"/>
          </w:tcPr>
          <w:p w14:paraId="415EB3C4">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Hospital</w:t>
            </w:r>
          </w:p>
        </w:tc>
        <w:tc>
          <w:tcPr>
            <w:tcW w:w="1653" w:type="dxa"/>
            <w:tcBorders>
              <w:bottom w:val="single" w:color="auto" w:sz="8" w:space="0"/>
            </w:tcBorders>
            <w:shd w:val="clear" w:color="auto" w:fill="auto"/>
            <w:vAlign w:val="center"/>
          </w:tcPr>
          <w:p w14:paraId="78D01CF7">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US</w:t>
            </w:r>
          </w:p>
        </w:tc>
        <w:tc>
          <w:tcPr>
            <w:tcW w:w="1300" w:type="dxa"/>
            <w:tcBorders>
              <w:bottom w:val="single" w:color="auto" w:sz="8" w:space="0"/>
            </w:tcBorders>
            <w:shd w:val="clear" w:color="auto" w:fill="auto"/>
            <w:vAlign w:val="center"/>
          </w:tcPr>
          <w:p w14:paraId="7B01C3B3">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79</w:t>
            </w:r>
          </w:p>
        </w:tc>
        <w:tc>
          <w:tcPr>
            <w:tcW w:w="1639" w:type="dxa"/>
            <w:tcBorders>
              <w:bottom w:val="single" w:color="auto" w:sz="8" w:space="0"/>
            </w:tcBorders>
            <w:shd w:val="clear" w:color="auto" w:fill="auto"/>
            <w:vAlign w:val="center"/>
          </w:tcPr>
          <w:p w14:paraId="59AD1C3D">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154</w:t>
            </w:r>
          </w:p>
        </w:tc>
        <w:tc>
          <w:tcPr>
            <w:tcW w:w="5721" w:type="dxa"/>
            <w:tcBorders>
              <w:bottom w:val="single" w:color="auto" w:sz="8" w:space="0"/>
            </w:tcBorders>
            <w:shd w:val="clear" w:color="auto" w:fill="auto"/>
            <w:vAlign w:val="center"/>
          </w:tcPr>
          <w:p w14:paraId="021AFE2D">
            <w:pPr>
              <w:keepNext w:val="0"/>
              <w:keepLines w:val="0"/>
              <w:widowControl/>
              <w:suppressLineNumbers w:val="0"/>
              <w:jc w:val="left"/>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BMI z score &gt;1</w:t>
            </w:r>
          </w:p>
        </w:tc>
        <w:tc>
          <w:tcPr>
            <w:tcW w:w="1847" w:type="dxa"/>
            <w:tcBorders>
              <w:bottom w:val="single" w:color="auto" w:sz="8" w:space="0"/>
            </w:tcBorders>
            <w:shd w:val="clear" w:color="auto" w:fill="auto"/>
            <w:vAlign w:val="center"/>
          </w:tcPr>
          <w:p w14:paraId="1CE013B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NAFLD</w:t>
            </w:r>
          </w:p>
        </w:tc>
        <w:tc>
          <w:tcPr>
            <w:tcW w:w="1282" w:type="dxa"/>
            <w:tcBorders>
              <w:bottom w:val="single" w:color="auto" w:sz="8" w:space="0"/>
            </w:tcBorders>
            <w:shd w:val="clear" w:color="auto" w:fill="auto"/>
            <w:vAlign w:val="center"/>
          </w:tcPr>
          <w:p w14:paraId="6A04C055">
            <w:pPr>
              <w:keepNext w:val="0"/>
              <w:keepLines w:val="0"/>
              <w:widowControl/>
              <w:suppressLineNumbers w:val="0"/>
              <w:jc w:val="center"/>
              <w:textAlignment w:val="center"/>
              <w:rPr>
                <w:rFonts w:hint="default" w:ascii="Times New Roman" w:hAnsi="Times New Roman" w:eastAsia="微软雅黑" w:cs="Times New Roman"/>
                <w:i w:val="0"/>
                <w:iCs w:val="0"/>
                <w:color w:val="000000"/>
                <w:sz w:val="12"/>
                <w:szCs w:val="12"/>
                <w:u w:val="none"/>
              </w:rPr>
            </w:pPr>
            <w:r>
              <w:rPr>
                <w:rFonts w:hint="default" w:ascii="Times New Roman" w:hAnsi="Times New Roman" w:eastAsia="微软雅黑" w:cs="Times New Roman"/>
                <w:i w:val="0"/>
                <w:iCs w:val="0"/>
                <w:color w:val="000000"/>
                <w:kern w:val="0"/>
                <w:sz w:val="12"/>
                <w:szCs w:val="12"/>
                <w:u w:val="none"/>
                <w:lang w:val="en-US" w:eastAsia="zh-CN" w:bidi="ar"/>
              </w:rPr>
              <w:t>8</w:t>
            </w:r>
          </w:p>
        </w:tc>
      </w:tr>
    </w:tbl>
    <w:p w14:paraId="53C2771D">
      <w:pPr>
        <w:rPr>
          <w:rFonts w:ascii="Times New Roman" w:hAnsi="Times New Roman" w:cs="Times New Roman"/>
          <w:sz w:val="20"/>
          <w:szCs w:val="20"/>
        </w:rPr>
      </w:pPr>
      <w:r>
        <w:rPr>
          <w:rFonts w:hint="eastAsia" w:ascii="Times New Roman" w:hAnsi="Times New Roman" w:cs="Times New Roman"/>
          <w:sz w:val="20"/>
          <w:szCs w:val="20"/>
        </w:rPr>
        <w:t>US, ultrasound; CT, computed tomography; MRI, magnetic resonance imaging; FLI, fatty liver index; H-MRS, proton magnetic resonance spectroscopy; BMI, body mass index.</w:t>
      </w:r>
    </w:p>
    <w:p w14:paraId="0270E8DC"/>
    <w:p w14:paraId="12307AEA">
      <w:pPr>
        <w:rPr>
          <w:rFonts w:hint="default" w:ascii="Times New Roman" w:hAnsi="Times New Roman" w:cs="Times New Roman"/>
          <w:sz w:val="20"/>
          <w:szCs w:val="20"/>
          <w:lang w:val="en-US" w:eastAsia="zh-CN"/>
        </w:rPr>
      </w:pPr>
    </w:p>
    <w:p w14:paraId="779D6CCD">
      <w:pPr>
        <w:rPr>
          <w:rFonts w:hint="eastAsia" w:ascii="Times New Roman" w:hAnsi="Times New Roman" w:cs="Times New Roman"/>
          <w:sz w:val="20"/>
          <w:szCs w:val="20"/>
        </w:rPr>
      </w:pPr>
      <w:r>
        <w:rPr>
          <w:rFonts w:ascii="Times New Roman" w:hAnsi="Times New Roman" w:cs="Times New Roman"/>
          <w:b/>
          <w:bCs/>
          <w:sz w:val="20"/>
          <w:szCs w:val="20"/>
        </w:rPr>
        <w:t>List of included studies:</w:t>
      </w:r>
      <w:bookmarkEnd w:id="9"/>
      <w:bookmarkEnd w:id="10"/>
      <w:bookmarkEnd w:id="11"/>
      <w:bookmarkEnd w:id="12"/>
    </w:p>
    <w:p w14:paraId="20AC5D87">
      <w:pPr>
        <w:jc w:val="both"/>
        <w:rPr>
          <w:rFonts w:hint="eastAsia" w:ascii="Times New Roman" w:hAnsi="Times New Roman" w:cs="Times New Roman"/>
          <w:sz w:val="20"/>
          <w:szCs w:val="20"/>
        </w:rPr>
      </w:pPr>
      <w:r>
        <w:rPr>
          <w:rFonts w:hint="eastAsia" w:ascii="Times New Roman" w:hAnsi="Times New Roman" w:cs="Times New Roman"/>
          <w:sz w:val="20"/>
          <w:szCs w:val="20"/>
        </w:rPr>
        <w:t>1. Adibi A, Kelishadi R, Beihaghi A, Salehi H, Talaei M. Sonographic fatty liver in overweight and obese children, a cross sectional study in Isfahan. Endokrynol Pol 2009; 60(1): 14-9.</w:t>
      </w:r>
    </w:p>
    <w:p w14:paraId="162458E5">
      <w:pPr>
        <w:jc w:val="both"/>
        <w:rPr>
          <w:rFonts w:hint="eastAsia" w:ascii="Times New Roman" w:hAnsi="Times New Roman" w:cs="Times New Roman"/>
          <w:sz w:val="20"/>
          <w:szCs w:val="20"/>
        </w:rPr>
      </w:pPr>
      <w:r>
        <w:rPr>
          <w:rFonts w:hint="eastAsia" w:ascii="Times New Roman" w:hAnsi="Times New Roman" w:cs="Times New Roman"/>
          <w:sz w:val="20"/>
          <w:szCs w:val="20"/>
        </w:rPr>
        <w:t>2. Alavian SM, Mohammad-Alizadeh AH, Esna-Ashari F, Ardalan G, Hajarizadeh B. Non-alcoholic fatty liver disease prevalence among school-aged children and adolescents in Iran and its association with biochemical and anthropometric measures. Liver Int 2009; 29(2): 159-63.</w:t>
      </w:r>
    </w:p>
    <w:p w14:paraId="785EA45A">
      <w:pPr>
        <w:jc w:val="both"/>
        <w:rPr>
          <w:rFonts w:hint="eastAsia" w:ascii="Times New Roman" w:hAnsi="Times New Roman" w:cs="Times New Roman"/>
          <w:sz w:val="20"/>
          <w:szCs w:val="20"/>
        </w:rPr>
      </w:pPr>
      <w:r>
        <w:rPr>
          <w:rFonts w:hint="eastAsia" w:ascii="Times New Roman" w:hAnsi="Times New Roman" w:cs="Times New Roman"/>
          <w:sz w:val="20"/>
          <w:szCs w:val="20"/>
        </w:rPr>
        <w:t>3. Parray IA, Shah D, Bhat P, et al. Ultrasonographic Prevalence of Non Alcoholic Fatty Liver Disease (NAFLD) in Kashmir Valley School Children. Int J Sci 2013; 2(3): 229-301.</w:t>
      </w:r>
    </w:p>
    <w:p w14:paraId="08BC18B0">
      <w:pPr>
        <w:jc w:val="both"/>
        <w:rPr>
          <w:rFonts w:hint="eastAsia" w:ascii="Times New Roman" w:hAnsi="Times New Roman" w:cs="Times New Roman"/>
          <w:sz w:val="20"/>
          <w:szCs w:val="20"/>
        </w:rPr>
      </w:pPr>
      <w:r>
        <w:rPr>
          <w:rFonts w:hint="eastAsia" w:ascii="Times New Roman" w:hAnsi="Times New Roman" w:cs="Times New Roman"/>
          <w:sz w:val="20"/>
          <w:szCs w:val="20"/>
        </w:rPr>
        <w:t>4. Pawar SV, Zanwar VG, Choksey AS, et al. Most overweight and obese Indian children have nonalcoholic fatty liver disease. Ann Hepatol 2016; 15(6): 853-61.</w:t>
      </w:r>
    </w:p>
    <w:p w14:paraId="01B39162">
      <w:pPr>
        <w:jc w:val="both"/>
        <w:rPr>
          <w:rFonts w:hint="eastAsia" w:ascii="Times New Roman" w:hAnsi="Times New Roman" w:cs="Times New Roman"/>
          <w:sz w:val="20"/>
          <w:szCs w:val="20"/>
        </w:rPr>
      </w:pPr>
      <w:r>
        <w:rPr>
          <w:rFonts w:hint="eastAsia" w:ascii="Times New Roman" w:hAnsi="Times New Roman" w:cs="Times New Roman"/>
          <w:sz w:val="20"/>
          <w:szCs w:val="20"/>
        </w:rPr>
        <w:t>5. Geurtsen ML, Santos S, Felix JF, et al. Liver Fat and Cardiometabolic Risk Factors Among School-Age Children. Hepatology 2019.</w:t>
      </w:r>
    </w:p>
    <w:p w14:paraId="1EA861D5">
      <w:pPr>
        <w:jc w:val="both"/>
        <w:rPr>
          <w:rFonts w:hint="eastAsia" w:ascii="Times New Roman" w:hAnsi="Times New Roman" w:cs="Times New Roman"/>
          <w:sz w:val="20"/>
          <w:szCs w:val="20"/>
        </w:rPr>
      </w:pPr>
      <w:r>
        <w:rPr>
          <w:rFonts w:hint="eastAsia" w:ascii="Times New Roman" w:hAnsi="Times New Roman" w:cs="Times New Roman"/>
          <w:sz w:val="20"/>
          <w:szCs w:val="20"/>
        </w:rPr>
        <w:t>6. Kazemi SA, Kargar M, Alizadeh M, et al. Assessment of the Relationship Between Prevalence of Reporting Fatty Liver Disease by Ultrasound and Body Mass Index in Children. Iran J Pediatr 2017; 27(1): 1-4.</w:t>
      </w:r>
    </w:p>
    <w:p w14:paraId="1F71AEDB">
      <w:pPr>
        <w:jc w:val="both"/>
        <w:rPr>
          <w:rFonts w:hint="eastAsia" w:ascii="Times New Roman" w:hAnsi="Times New Roman" w:cs="Times New Roman"/>
          <w:sz w:val="20"/>
          <w:szCs w:val="20"/>
        </w:rPr>
      </w:pPr>
      <w:r>
        <w:rPr>
          <w:rFonts w:hint="eastAsia" w:ascii="Times New Roman" w:hAnsi="Times New Roman" w:cs="Times New Roman"/>
          <w:sz w:val="20"/>
          <w:szCs w:val="20"/>
        </w:rPr>
        <w:t>7. Fu CC, Chen MC, Li YM, Liu TT, Wang LY. The risk factors for ultrasound-diagnosed non-alcoholic fatty liver disease among adolescents. Ann Acad Med Singapore 2009; 38(1): 15-7.</w:t>
      </w:r>
    </w:p>
    <w:p w14:paraId="7E30012D">
      <w:pPr>
        <w:jc w:val="both"/>
        <w:rPr>
          <w:rFonts w:hint="eastAsia" w:ascii="Times New Roman" w:hAnsi="Times New Roman" w:cs="Times New Roman"/>
          <w:sz w:val="20"/>
          <w:szCs w:val="20"/>
        </w:rPr>
      </w:pPr>
      <w:r>
        <w:rPr>
          <w:rFonts w:hint="eastAsia" w:ascii="Times New Roman" w:hAnsi="Times New Roman" w:cs="Times New Roman"/>
          <w:sz w:val="20"/>
          <w:szCs w:val="20"/>
        </w:rPr>
        <w:t>8. Khalkhali HR, Rostami Nejad M, Ebrahimi A, et al. Estimating Steatosis Prevalence in Overweight and Obese Children: Comparison of Bayesian Small Area and Direct Methods. Int J Pediatr 2016; 4(9): 3391-97.</w:t>
      </w:r>
    </w:p>
    <w:p w14:paraId="402924EC">
      <w:pPr>
        <w:jc w:val="both"/>
        <w:rPr>
          <w:rFonts w:hint="eastAsia" w:ascii="Times New Roman" w:hAnsi="Times New Roman" w:cs="Times New Roman"/>
          <w:sz w:val="20"/>
          <w:szCs w:val="20"/>
        </w:rPr>
      </w:pPr>
      <w:r>
        <w:rPr>
          <w:rFonts w:hint="eastAsia" w:ascii="Times New Roman" w:hAnsi="Times New Roman" w:cs="Times New Roman"/>
          <w:sz w:val="20"/>
          <w:szCs w:val="20"/>
        </w:rPr>
        <w:t>9. Lin MS, Lin TH, Guo SE, et al. Waist-to-height ratio is a useful index for nonalcoholic fatty liver disease in children and adolescents: a secondary data analysis. BMC Public Health 2017; 17(1): 851.</w:t>
      </w:r>
    </w:p>
    <w:p w14:paraId="0BFBF4E0">
      <w:pPr>
        <w:jc w:val="both"/>
        <w:rPr>
          <w:rFonts w:hint="eastAsia" w:ascii="Times New Roman" w:hAnsi="Times New Roman" w:cs="Times New Roman"/>
          <w:sz w:val="20"/>
          <w:szCs w:val="20"/>
        </w:rPr>
      </w:pPr>
      <w:r>
        <w:rPr>
          <w:rFonts w:hint="eastAsia" w:ascii="Times New Roman" w:hAnsi="Times New Roman" w:cs="Times New Roman"/>
          <w:sz w:val="20"/>
          <w:szCs w:val="20"/>
        </w:rPr>
        <w:t>10. Lin YC, Chang PF, Chang MH, Ni YH. A common variant in the peroxisome proliferator-activated receptor-gamma coactivator-1alpha gene is associated with nonalcoholic fatty liver disease in obese children. Am J Clin Nutr 2013; 97(2): 326-31.</w:t>
      </w:r>
    </w:p>
    <w:p w14:paraId="47108C98">
      <w:pPr>
        <w:jc w:val="both"/>
        <w:rPr>
          <w:rFonts w:hint="eastAsia" w:ascii="Times New Roman" w:hAnsi="Times New Roman" w:cs="Times New Roman"/>
          <w:sz w:val="20"/>
          <w:szCs w:val="20"/>
        </w:rPr>
      </w:pPr>
      <w:r>
        <w:rPr>
          <w:rFonts w:hint="eastAsia" w:ascii="Times New Roman" w:hAnsi="Times New Roman" w:cs="Times New Roman"/>
          <w:sz w:val="20"/>
          <w:szCs w:val="20"/>
        </w:rPr>
        <w:t>11. Tominaga K, Kurata JH, Chen YK, et al. Prevalence of fatty liver in Japanese children and relationship to obesity. An epidemiological ultrasonographic survey. Dig Dis Sci 1995; 40(9): 2002-9.</w:t>
      </w:r>
    </w:p>
    <w:p w14:paraId="06773231">
      <w:pPr>
        <w:jc w:val="both"/>
        <w:rPr>
          <w:rFonts w:hint="eastAsia" w:ascii="Times New Roman" w:hAnsi="Times New Roman" w:cs="Times New Roman"/>
          <w:sz w:val="20"/>
          <w:szCs w:val="20"/>
        </w:rPr>
      </w:pPr>
      <w:r>
        <w:rPr>
          <w:rFonts w:hint="eastAsia" w:ascii="Times New Roman" w:hAnsi="Times New Roman" w:cs="Times New Roman"/>
          <w:sz w:val="20"/>
          <w:szCs w:val="20"/>
        </w:rPr>
        <w:t>12. Monteiro PA, de Moura Mello Antunes B, Silveira LS, et al. Body composition variables as predictors of NAFLD by ultrasound in obese children and adolescents. BMC Pediatr 2014; 14(1).</w:t>
      </w:r>
    </w:p>
    <w:p w14:paraId="2BAC05D8">
      <w:pPr>
        <w:jc w:val="both"/>
        <w:rPr>
          <w:rFonts w:hint="eastAsia" w:ascii="Times New Roman" w:hAnsi="Times New Roman" w:cs="Times New Roman"/>
          <w:sz w:val="20"/>
          <w:szCs w:val="20"/>
        </w:rPr>
      </w:pPr>
      <w:r>
        <w:rPr>
          <w:rFonts w:hint="eastAsia" w:ascii="Times New Roman" w:hAnsi="Times New Roman" w:cs="Times New Roman"/>
          <w:sz w:val="20"/>
          <w:szCs w:val="20"/>
        </w:rPr>
        <w:t>13. Namakin K, et al. Prevalence of Non-Alcoholic Fatty Liver Disease (NAFLD) and its Clinical Characteristics in Overweight and Obese Children in the South East of Iran, 2017. Hepat Mon 2018; 18(12): e83525.</w:t>
      </w:r>
    </w:p>
    <w:p w14:paraId="101D60F2">
      <w:pPr>
        <w:jc w:val="both"/>
        <w:rPr>
          <w:rFonts w:hint="eastAsia" w:ascii="Times New Roman" w:hAnsi="Times New Roman" w:cs="Times New Roman"/>
          <w:sz w:val="20"/>
          <w:szCs w:val="20"/>
        </w:rPr>
      </w:pPr>
      <w:r>
        <w:rPr>
          <w:rFonts w:hint="eastAsia" w:ascii="Times New Roman" w:hAnsi="Times New Roman" w:cs="Times New Roman"/>
          <w:sz w:val="20"/>
          <w:szCs w:val="20"/>
        </w:rPr>
        <w:t>14. Nier A, Brandt A, Conzelmann IB, Ozel Y, Bergheim I. Non-Alcoholic Fatty Liver Disease in Overweight Children: Role of Fructose Intake and Dietary Pattern. Nutrients 2018; 10(9).</w:t>
      </w:r>
    </w:p>
    <w:p w14:paraId="73BFE9EF">
      <w:pPr>
        <w:jc w:val="both"/>
        <w:rPr>
          <w:rFonts w:hint="eastAsia" w:ascii="Times New Roman" w:hAnsi="Times New Roman" w:cs="Times New Roman"/>
          <w:sz w:val="20"/>
          <w:szCs w:val="20"/>
        </w:rPr>
      </w:pPr>
      <w:r>
        <w:rPr>
          <w:rFonts w:hint="eastAsia" w:ascii="Times New Roman" w:hAnsi="Times New Roman" w:cs="Times New Roman"/>
          <w:sz w:val="20"/>
          <w:szCs w:val="20"/>
        </w:rPr>
        <w:t>15. Ramzan M, et al. Sonographic Assessment of Hepatic Steatosis (Fatty Liver) in School Children of Dera Ismail Khan City (NWFP) Pakistan. Pak J Nutr 2009; 8(6): 797-9.</w:t>
      </w:r>
    </w:p>
    <w:p w14:paraId="3138AE06">
      <w:pPr>
        <w:jc w:val="both"/>
        <w:rPr>
          <w:rFonts w:hint="eastAsia" w:ascii="Times New Roman" w:hAnsi="Times New Roman" w:cs="Times New Roman"/>
          <w:sz w:val="20"/>
          <w:szCs w:val="20"/>
        </w:rPr>
      </w:pPr>
      <w:r>
        <w:rPr>
          <w:rFonts w:hint="eastAsia" w:ascii="Times New Roman" w:hAnsi="Times New Roman" w:cs="Times New Roman"/>
          <w:sz w:val="20"/>
          <w:szCs w:val="20"/>
        </w:rPr>
        <w:t>16. Fernandes MT, Ferraro AA, de Azevedo RA, Fagundes Neto U. Metabolic differences between male and female adolescents with non-alcoholic fatty liver disease, as detected by ultrasound. Acta Paediatr 2010; 99(8): 1218-23.</w:t>
      </w:r>
    </w:p>
    <w:p w14:paraId="06B6CA73">
      <w:pPr>
        <w:jc w:val="both"/>
        <w:rPr>
          <w:rFonts w:hint="eastAsia" w:ascii="Times New Roman" w:hAnsi="Times New Roman" w:cs="Times New Roman"/>
          <w:sz w:val="20"/>
          <w:szCs w:val="20"/>
        </w:rPr>
      </w:pPr>
      <w:r>
        <w:rPr>
          <w:rFonts w:hint="eastAsia" w:ascii="Times New Roman" w:hAnsi="Times New Roman" w:cs="Times New Roman"/>
          <w:sz w:val="20"/>
          <w:szCs w:val="20"/>
        </w:rPr>
        <w:t>17. Black LJ, Jacoby P, She Ping-Delfos WC, et al. Low serum 25-hydroxyvitamin D concentrations associate with non-alcoholic fatty liver disease in adolescents independent of adiposity. J Gastroenterol Hepatol 2014; 29(6): 1215-22.</w:t>
      </w:r>
    </w:p>
    <w:p w14:paraId="7280BF22">
      <w:pPr>
        <w:jc w:val="both"/>
        <w:rPr>
          <w:rFonts w:hint="eastAsia" w:ascii="Times New Roman" w:hAnsi="Times New Roman" w:cs="Times New Roman"/>
          <w:sz w:val="20"/>
          <w:szCs w:val="20"/>
        </w:rPr>
      </w:pPr>
      <w:r>
        <w:rPr>
          <w:rFonts w:hint="eastAsia" w:ascii="Times New Roman" w:hAnsi="Times New Roman" w:cs="Times New Roman"/>
          <w:sz w:val="20"/>
          <w:szCs w:val="20"/>
        </w:rPr>
        <w:t>18. Walker RW, Sinatra F, Hartiala J, et al. Genetic and clinical markers of elevated liver fat content in overweight and obese Hispanic children. Obesity (Silver Spring) 2013; 21(12): E790-7.</w:t>
      </w:r>
    </w:p>
    <w:p w14:paraId="34C67161">
      <w:pPr>
        <w:jc w:val="both"/>
        <w:rPr>
          <w:rFonts w:hint="eastAsia" w:ascii="Times New Roman" w:hAnsi="Times New Roman" w:cs="Times New Roman"/>
          <w:sz w:val="20"/>
          <w:szCs w:val="20"/>
        </w:rPr>
      </w:pPr>
      <w:r>
        <w:rPr>
          <w:rFonts w:hint="eastAsia" w:ascii="Times New Roman" w:hAnsi="Times New Roman" w:cs="Times New Roman"/>
          <w:sz w:val="20"/>
          <w:szCs w:val="20"/>
        </w:rPr>
        <w:t>19. Zhang X, Wan Y, Zhang S, et al. Nonalcoholic fatty liver disease prevalence in urban school-aged children and adolescents from the Yangtze River delta region: a cross-sectional study. Asia Pac J Clin Nutr 2015; 24(2): 281-8.</w:t>
      </w:r>
    </w:p>
    <w:p w14:paraId="2BC12D58">
      <w:pPr>
        <w:jc w:val="both"/>
        <w:rPr>
          <w:rFonts w:hint="eastAsia" w:ascii="Times New Roman" w:hAnsi="Times New Roman" w:cs="Times New Roman"/>
          <w:sz w:val="20"/>
          <w:szCs w:val="20"/>
        </w:rPr>
      </w:pPr>
      <w:r>
        <w:rPr>
          <w:rFonts w:hint="eastAsia" w:ascii="Times New Roman" w:hAnsi="Times New Roman" w:cs="Times New Roman"/>
          <w:sz w:val="20"/>
          <w:szCs w:val="20"/>
        </w:rPr>
        <w:t>20. Tsuruta G, Tanaka N, Hongo M, et al. Nonalcoholic fatty liver disease in Japanese junior high school students: its prevalence and relationship to lifestyle habits. J Gastroenterol 2010; 45(6): 666-72.</w:t>
      </w:r>
    </w:p>
    <w:p w14:paraId="57EC259D">
      <w:pPr>
        <w:jc w:val="both"/>
        <w:rPr>
          <w:rFonts w:hint="eastAsia" w:ascii="Times New Roman" w:hAnsi="Times New Roman" w:cs="Times New Roman"/>
          <w:sz w:val="20"/>
          <w:szCs w:val="20"/>
        </w:rPr>
      </w:pPr>
      <w:r>
        <w:rPr>
          <w:rFonts w:hint="eastAsia" w:ascii="Times New Roman" w:hAnsi="Times New Roman" w:cs="Times New Roman"/>
          <w:sz w:val="20"/>
          <w:szCs w:val="20"/>
        </w:rPr>
        <w:t>21. Zhao YZ, Gan YG, Zhou JL, et al. Accuracy of multi-echo Dixon sequence in quantification of hepatic steatosis in Chinese children and adolescents. World J Gastroenterol 2019; 25(12): 1513-23.</w:t>
      </w:r>
    </w:p>
    <w:p w14:paraId="2DF507FD">
      <w:pPr>
        <w:jc w:val="both"/>
        <w:rPr>
          <w:rFonts w:hint="eastAsia" w:ascii="Times New Roman" w:hAnsi="Times New Roman" w:cs="Times New Roman"/>
          <w:sz w:val="20"/>
          <w:szCs w:val="20"/>
        </w:rPr>
      </w:pPr>
      <w:r>
        <w:rPr>
          <w:rFonts w:hint="eastAsia" w:ascii="Times New Roman" w:hAnsi="Times New Roman" w:cs="Times New Roman"/>
          <w:sz w:val="20"/>
          <w:szCs w:val="20"/>
        </w:rPr>
        <w:t>22. Dai D, Wen F, Zhou S, et al. Association of MTTP gene variants with pediatric NAFLD: A candidate-gene-based analysis of single nucleotide variations in obese children. PLoS One 2017; 12(9): e0185396.</w:t>
      </w:r>
    </w:p>
    <w:p w14:paraId="3F5CC07F">
      <w:pPr>
        <w:jc w:val="both"/>
        <w:rPr>
          <w:rFonts w:hint="eastAsia" w:ascii="Times New Roman" w:hAnsi="Times New Roman" w:cs="Times New Roman"/>
          <w:sz w:val="20"/>
          <w:szCs w:val="20"/>
        </w:rPr>
      </w:pPr>
      <w:r>
        <w:rPr>
          <w:rFonts w:hint="eastAsia" w:ascii="Times New Roman" w:hAnsi="Times New Roman" w:cs="Times New Roman"/>
          <w:sz w:val="20"/>
          <w:szCs w:val="20"/>
        </w:rPr>
        <w:t>23. Huang SC, Yang YJ. Serum retinol-binding protein 4 is independently associated with pediatric NAFLD and fasting triglyceride level. J Pediatr Gastroenterol Nutr 2013; 56(2): 145-50.</w:t>
      </w:r>
    </w:p>
    <w:p w14:paraId="1CFDFF40">
      <w:pPr>
        <w:jc w:val="both"/>
        <w:rPr>
          <w:rFonts w:hint="eastAsia" w:ascii="Times New Roman" w:hAnsi="Times New Roman" w:cs="Times New Roman"/>
          <w:sz w:val="20"/>
          <w:szCs w:val="20"/>
        </w:rPr>
      </w:pPr>
      <w:r>
        <w:rPr>
          <w:rFonts w:hint="eastAsia" w:ascii="Times New Roman" w:hAnsi="Times New Roman" w:cs="Times New Roman"/>
          <w:sz w:val="20"/>
          <w:szCs w:val="20"/>
        </w:rPr>
        <w:t>24. Kim IK, Kim J, Kang JH, Song J. Serum leptin as a predictor of fatty liver in 7-year-old Korean children. Ann Nutr Metab 2008; 53(2): 109-16.</w:t>
      </w:r>
    </w:p>
    <w:p w14:paraId="4AB37555">
      <w:pPr>
        <w:jc w:val="both"/>
        <w:rPr>
          <w:rFonts w:hint="eastAsia" w:ascii="Times New Roman" w:hAnsi="Times New Roman" w:cs="Times New Roman"/>
          <w:sz w:val="20"/>
          <w:szCs w:val="20"/>
        </w:rPr>
      </w:pPr>
      <w:r>
        <w:rPr>
          <w:rFonts w:hint="eastAsia" w:ascii="Times New Roman" w:hAnsi="Times New Roman" w:cs="Times New Roman"/>
          <w:sz w:val="20"/>
          <w:szCs w:val="20"/>
        </w:rPr>
        <w:t>25. Lin YC, Chang PF, Hu FC, Chang MH, Ni YH. Variants in the UGT1A1 gene and the risk of pediatric nonalcoholic fatty liver disease. Pediatrics 2009; 124(6): e1221-7.</w:t>
      </w:r>
    </w:p>
    <w:p w14:paraId="49AACE5E">
      <w:pPr>
        <w:jc w:val="both"/>
        <w:rPr>
          <w:rFonts w:hint="eastAsia" w:ascii="Times New Roman" w:hAnsi="Times New Roman" w:cs="Times New Roman"/>
          <w:sz w:val="20"/>
          <w:szCs w:val="20"/>
        </w:rPr>
      </w:pPr>
      <w:r>
        <w:rPr>
          <w:rFonts w:hint="eastAsia" w:ascii="Times New Roman" w:hAnsi="Times New Roman" w:cs="Times New Roman"/>
          <w:sz w:val="20"/>
          <w:szCs w:val="20"/>
        </w:rPr>
        <w:t>26. Monteiro PA, Mota J, Silveira LS, et al. Morphological and metabolic determinants of nonalcoholic fatty liver disease in obese youth: a pilot study. BMC Res Notes 2013; 6: 89.</w:t>
      </w:r>
    </w:p>
    <w:p w14:paraId="38FDEEB8">
      <w:pPr>
        <w:jc w:val="both"/>
        <w:rPr>
          <w:rFonts w:hint="eastAsia" w:ascii="Times New Roman" w:hAnsi="Times New Roman" w:cs="Times New Roman"/>
          <w:sz w:val="20"/>
          <w:szCs w:val="20"/>
        </w:rPr>
      </w:pPr>
      <w:r>
        <w:rPr>
          <w:rFonts w:hint="eastAsia" w:ascii="Times New Roman" w:hAnsi="Times New Roman" w:cs="Times New Roman"/>
          <w:sz w:val="20"/>
          <w:szCs w:val="20"/>
        </w:rPr>
        <w:t>27. Berna-Serna JD, Sanchez-Jimenez R, Velazquez-Marin F, et al. Acoustic radiation force impulse imaging for detection of liver fibrosis in overweight and obese children. Acta Radiol 2018; 59(2): 247-53.</w:t>
      </w:r>
    </w:p>
    <w:p w14:paraId="1153AEA0">
      <w:pPr>
        <w:jc w:val="both"/>
        <w:rPr>
          <w:rFonts w:hint="eastAsia" w:ascii="Times New Roman" w:hAnsi="Times New Roman" w:cs="Times New Roman"/>
          <w:sz w:val="20"/>
          <w:szCs w:val="20"/>
        </w:rPr>
      </w:pPr>
      <w:r>
        <w:rPr>
          <w:rFonts w:hint="eastAsia" w:ascii="Times New Roman" w:hAnsi="Times New Roman" w:cs="Times New Roman"/>
          <w:sz w:val="20"/>
          <w:szCs w:val="20"/>
        </w:rPr>
        <w:t>28. Shashaj B, Bedogni G, Graziani MP, et al. Origin of cardiovascular risk in overweight preschool children: a cohort study of cardiometabolic risk factors at the onset of obesity. JAMA Pediatr 2014; 168(10): 917-24.</w:t>
      </w:r>
    </w:p>
    <w:p w14:paraId="4AF1F6E6">
      <w:pPr>
        <w:jc w:val="both"/>
        <w:rPr>
          <w:rFonts w:hint="eastAsia" w:ascii="Times New Roman" w:hAnsi="Times New Roman" w:cs="Times New Roman"/>
          <w:sz w:val="20"/>
          <w:szCs w:val="20"/>
        </w:rPr>
      </w:pPr>
      <w:r>
        <w:rPr>
          <w:rFonts w:hint="eastAsia" w:ascii="Times New Roman" w:hAnsi="Times New Roman" w:cs="Times New Roman"/>
          <w:sz w:val="20"/>
          <w:szCs w:val="20"/>
        </w:rPr>
        <w:t>29. Kao JT, Wang JH, Hung CH, et al. Changing aetiology of liver dysfunction in the new generation of a hepatitis B and C-endemic area: cross-sectional studies on adolescents born in the first 10 years after universal hepatitis B vaccination. Liver Int 2008; 28(9): 1298-304.</w:t>
      </w:r>
    </w:p>
    <w:p w14:paraId="19DE993D">
      <w:pPr>
        <w:jc w:val="both"/>
        <w:rPr>
          <w:rFonts w:hint="eastAsia" w:ascii="Times New Roman" w:hAnsi="Times New Roman" w:cs="Times New Roman"/>
          <w:sz w:val="20"/>
          <w:szCs w:val="20"/>
        </w:rPr>
      </w:pPr>
      <w:r>
        <w:rPr>
          <w:rFonts w:hint="eastAsia" w:ascii="Times New Roman" w:hAnsi="Times New Roman" w:cs="Times New Roman"/>
          <w:sz w:val="20"/>
          <w:szCs w:val="20"/>
        </w:rPr>
        <w:t>30. Akcam M, Boyaci A, Pirgon O, Koroglu M, Dundar BN. Importance of the liver ultrasound scores in pubertal obese children with nonalcoholic fatty liver disease. Clin Imaging 2013; 37(3): 504-8.</w:t>
      </w:r>
    </w:p>
    <w:p w14:paraId="46D948B7">
      <w:pPr>
        <w:jc w:val="both"/>
        <w:rPr>
          <w:rFonts w:hint="eastAsia" w:ascii="Times New Roman" w:hAnsi="Times New Roman" w:cs="Times New Roman"/>
          <w:sz w:val="20"/>
          <w:szCs w:val="20"/>
        </w:rPr>
      </w:pPr>
      <w:r>
        <w:rPr>
          <w:rFonts w:hint="eastAsia" w:ascii="Times New Roman" w:hAnsi="Times New Roman" w:cs="Times New Roman"/>
          <w:sz w:val="20"/>
          <w:szCs w:val="20"/>
        </w:rPr>
        <w:t>31. Alp H, Karaarslan S, Selver Eklioglu B, Atabek ME, Altin H, Baysal T. Association between nonalcoholic fatty liver disease and cardiovascular risk in obese children and adolescents. Can J Cardiol 2013; 29(9): 1118-25.</w:t>
      </w:r>
    </w:p>
    <w:p w14:paraId="7F3845A0">
      <w:pPr>
        <w:jc w:val="both"/>
        <w:rPr>
          <w:rFonts w:hint="eastAsia" w:ascii="Times New Roman" w:hAnsi="Times New Roman" w:cs="Times New Roman"/>
          <w:sz w:val="20"/>
          <w:szCs w:val="20"/>
        </w:rPr>
      </w:pPr>
      <w:r>
        <w:rPr>
          <w:rFonts w:hint="eastAsia" w:ascii="Times New Roman" w:hAnsi="Times New Roman" w:cs="Times New Roman"/>
          <w:sz w:val="20"/>
          <w:szCs w:val="20"/>
        </w:rPr>
        <w:t>32. Arenaza L, Medrano M, Oses M, et al. Dietary determinants of hepatic fat content and insulin resistance in overweight/obese children: a cross-sectional analysis of the Prevention of Diabetes in Kids (PREDIKID) study. Br J Nutr 2019; 121(10): 1158-65.</w:t>
      </w:r>
    </w:p>
    <w:p w14:paraId="46480F8F">
      <w:pPr>
        <w:jc w:val="both"/>
        <w:rPr>
          <w:rFonts w:hint="eastAsia" w:ascii="Times New Roman" w:hAnsi="Times New Roman" w:cs="Times New Roman"/>
          <w:sz w:val="20"/>
          <w:szCs w:val="20"/>
        </w:rPr>
      </w:pPr>
      <w:r>
        <w:rPr>
          <w:rFonts w:hint="eastAsia" w:ascii="Times New Roman" w:hAnsi="Times New Roman" w:cs="Times New Roman"/>
          <w:sz w:val="20"/>
          <w:szCs w:val="20"/>
        </w:rPr>
        <w:t>33. Arslan N, Buyukgebiz B, OzturkY, Cakmakci H. Fatty liver in obese children: prevalence and correlation with anthropometric measurements and hyperlipidemia. Turk J Pediatr 2005; 47(1): 23-7.</w:t>
      </w:r>
    </w:p>
    <w:p w14:paraId="66E18AED">
      <w:pPr>
        <w:jc w:val="both"/>
        <w:rPr>
          <w:rFonts w:hint="eastAsia" w:ascii="Times New Roman" w:hAnsi="Times New Roman" w:cs="Times New Roman"/>
          <w:sz w:val="20"/>
          <w:szCs w:val="20"/>
        </w:rPr>
      </w:pPr>
      <w:r>
        <w:rPr>
          <w:rFonts w:hint="eastAsia" w:ascii="Times New Roman" w:hAnsi="Times New Roman" w:cs="Times New Roman"/>
          <w:sz w:val="20"/>
          <w:szCs w:val="20"/>
        </w:rPr>
        <w:t>34. Boyraz M, Hatipoglu N, Sari E, et al. Non-alcoholic fatty liver disease in obese children and the relationship between metabolic syndrome criteria. Obes Res Clin Pract 2014; 8(4): e356-63.</w:t>
      </w:r>
    </w:p>
    <w:p w14:paraId="4EF38AC9">
      <w:pPr>
        <w:jc w:val="both"/>
        <w:rPr>
          <w:rFonts w:hint="eastAsia" w:ascii="Times New Roman" w:hAnsi="Times New Roman" w:cs="Times New Roman"/>
          <w:sz w:val="20"/>
          <w:szCs w:val="20"/>
        </w:rPr>
      </w:pPr>
      <w:r>
        <w:rPr>
          <w:rFonts w:hint="eastAsia" w:ascii="Times New Roman" w:hAnsi="Times New Roman" w:cs="Times New Roman"/>
          <w:sz w:val="20"/>
          <w:szCs w:val="20"/>
        </w:rPr>
        <w:t>35. Fu JF, Shi HB, Liu LR, et al. Non-alcoholic fatty liver disease: An early mediator predicting metabolic syndrome in obese children? World J Gastroenterol 2011; 17(6): 735-42.</w:t>
      </w:r>
    </w:p>
    <w:p w14:paraId="3429E6FA">
      <w:pPr>
        <w:jc w:val="both"/>
        <w:rPr>
          <w:rFonts w:hint="eastAsia" w:ascii="Times New Roman" w:hAnsi="Times New Roman" w:cs="Times New Roman"/>
          <w:sz w:val="20"/>
          <w:szCs w:val="20"/>
        </w:rPr>
      </w:pPr>
      <w:r>
        <w:rPr>
          <w:rFonts w:hint="eastAsia" w:ascii="Times New Roman" w:hAnsi="Times New Roman" w:cs="Times New Roman"/>
          <w:sz w:val="20"/>
          <w:szCs w:val="20"/>
        </w:rPr>
        <w:t>36. Atabek ME, Selver Eklioglu B, Akyurek N. Which metabolic syndrome criteria best predict non-alcoholic fatty liver disease in children? Eat Weight Disord 2014; 19(4): 495-501.</w:t>
      </w:r>
    </w:p>
    <w:p w14:paraId="29D0664E">
      <w:pPr>
        <w:jc w:val="both"/>
        <w:rPr>
          <w:rFonts w:hint="eastAsia" w:ascii="Times New Roman" w:hAnsi="Times New Roman" w:cs="Times New Roman"/>
          <w:sz w:val="20"/>
          <w:szCs w:val="20"/>
        </w:rPr>
      </w:pPr>
      <w:r>
        <w:rPr>
          <w:rFonts w:hint="eastAsia" w:ascii="Times New Roman" w:hAnsi="Times New Roman" w:cs="Times New Roman"/>
          <w:sz w:val="20"/>
          <w:szCs w:val="20"/>
        </w:rPr>
        <w:t>37. Bedogni G, Gastaldelli A, Manco M, et al. Relationship between fatty liver and glucose metabolism: a cross-sectional study in 571 obese children. Nutr Metab Cardiovasc Dis 2012; 22(2): 120-6.</w:t>
      </w:r>
    </w:p>
    <w:p w14:paraId="445FF555">
      <w:pPr>
        <w:jc w:val="both"/>
        <w:rPr>
          <w:rFonts w:hint="eastAsia" w:ascii="Times New Roman" w:hAnsi="Times New Roman" w:cs="Times New Roman"/>
          <w:sz w:val="20"/>
          <w:szCs w:val="20"/>
        </w:rPr>
      </w:pPr>
      <w:r>
        <w:rPr>
          <w:rFonts w:hint="eastAsia" w:ascii="Times New Roman" w:hAnsi="Times New Roman" w:cs="Times New Roman"/>
          <w:sz w:val="20"/>
          <w:szCs w:val="20"/>
        </w:rPr>
        <w:t>38. Belei O, Olariu L, Dobrescu A, Marcovici T, Marginean O. The relationship between non-alcoholic fatty liver disease and small intestinal bacterial overgrowth among overweight and obese children and adolescents. J Pediatr Endocrinol Metab 2017; 30(11): 1161-8.</w:t>
      </w:r>
    </w:p>
    <w:p w14:paraId="2AB79B20">
      <w:pPr>
        <w:jc w:val="both"/>
        <w:rPr>
          <w:rFonts w:hint="eastAsia" w:ascii="Times New Roman" w:hAnsi="Times New Roman" w:cs="Times New Roman"/>
          <w:sz w:val="20"/>
          <w:szCs w:val="20"/>
        </w:rPr>
      </w:pPr>
      <w:r>
        <w:rPr>
          <w:rFonts w:hint="eastAsia" w:ascii="Times New Roman" w:hAnsi="Times New Roman" w:cs="Times New Roman"/>
          <w:sz w:val="20"/>
          <w:szCs w:val="20"/>
        </w:rPr>
        <w:t>39. Benetolo PO, Fernandes MIM, Ciampo I, Elias-Junior J, Sawamura R. Evaluation of nonalcoholic fatty liver disease using magnetic resonance in obese children and adolescents. J Pediatr (Rio J) 2019; 95(1): 34-40.</w:t>
      </w:r>
    </w:p>
    <w:p w14:paraId="1405E2B7">
      <w:pPr>
        <w:jc w:val="both"/>
        <w:rPr>
          <w:rFonts w:hint="eastAsia" w:ascii="Times New Roman" w:hAnsi="Times New Roman" w:cs="Times New Roman"/>
          <w:sz w:val="20"/>
          <w:szCs w:val="20"/>
        </w:rPr>
      </w:pPr>
      <w:r>
        <w:rPr>
          <w:rFonts w:hint="eastAsia" w:ascii="Times New Roman" w:hAnsi="Times New Roman" w:cs="Times New Roman"/>
          <w:sz w:val="20"/>
          <w:szCs w:val="20"/>
        </w:rPr>
        <w:t>40. Burgert TS, Taksali SE, Dziura J, et al. Alanine aminotransferase levels and fatty liver in childhood obesity: associations with insulin resistance, adiponectin, and visceral fat. J Clin Endocrinol Metab 2006; 91(11): 4287-94.</w:t>
      </w:r>
    </w:p>
    <w:p w14:paraId="79474A01">
      <w:pPr>
        <w:jc w:val="both"/>
        <w:rPr>
          <w:rFonts w:hint="eastAsia" w:ascii="Times New Roman" w:hAnsi="Times New Roman" w:cs="Times New Roman"/>
          <w:sz w:val="20"/>
          <w:szCs w:val="20"/>
        </w:rPr>
      </w:pPr>
      <w:r>
        <w:rPr>
          <w:rFonts w:hint="eastAsia" w:ascii="Times New Roman" w:hAnsi="Times New Roman" w:cs="Times New Roman"/>
          <w:sz w:val="20"/>
          <w:szCs w:val="20"/>
        </w:rPr>
        <w:t>41. Cardoso AS, Gonzaga NC, Medeiros CC, Carvalho DF. Association of uric acid levels with components of metabolic syndrome and non-alcoholic fatty liver disease in overweight or obese children and adolescents. J Pediatr (Rio J) 2013; 89(4): 412-8.</w:t>
      </w:r>
    </w:p>
    <w:p w14:paraId="32E6C709">
      <w:pPr>
        <w:jc w:val="both"/>
        <w:rPr>
          <w:rFonts w:hint="eastAsia" w:ascii="Times New Roman" w:hAnsi="Times New Roman" w:cs="Times New Roman"/>
          <w:sz w:val="20"/>
          <w:szCs w:val="20"/>
        </w:rPr>
      </w:pPr>
      <w:r>
        <w:rPr>
          <w:rFonts w:hint="eastAsia" w:ascii="Times New Roman" w:hAnsi="Times New Roman" w:cs="Times New Roman"/>
          <w:sz w:val="20"/>
          <w:szCs w:val="20"/>
        </w:rPr>
        <w:t>42. Chan DF, Li AM, Chu WC, et al. Hepatic steatosis in obese Chinese children. Int J Obes Relat Metab Disord 2004; 28(10): 1257-63.</w:t>
      </w:r>
    </w:p>
    <w:p w14:paraId="63852DD4">
      <w:pPr>
        <w:jc w:val="both"/>
        <w:rPr>
          <w:rFonts w:hint="eastAsia" w:ascii="Times New Roman" w:hAnsi="Times New Roman" w:cs="Times New Roman"/>
          <w:sz w:val="20"/>
          <w:szCs w:val="20"/>
        </w:rPr>
      </w:pPr>
      <w:r>
        <w:rPr>
          <w:rFonts w:hint="eastAsia" w:ascii="Times New Roman" w:hAnsi="Times New Roman" w:cs="Times New Roman"/>
          <w:sz w:val="20"/>
          <w:szCs w:val="20"/>
        </w:rPr>
        <w:t>43. Daar G, Serin HI, Ede H, Husrevsahi H. Association between the corrected QT interval, carotid artery intima-media thickness, and hepatic steatosis in obese children. Anatol J Cardiol 2016; 16(7): 524-8.</w:t>
      </w:r>
    </w:p>
    <w:p w14:paraId="68E44E1A">
      <w:pPr>
        <w:jc w:val="both"/>
        <w:rPr>
          <w:rFonts w:hint="eastAsia" w:ascii="Times New Roman" w:hAnsi="Times New Roman" w:cs="Times New Roman"/>
          <w:sz w:val="20"/>
          <w:szCs w:val="20"/>
        </w:rPr>
      </w:pPr>
      <w:r>
        <w:rPr>
          <w:rFonts w:hint="eastAsia" w:ascii="Times New Roman" w:hAnsi="Times New Roman" w:cs="Times New Roman"/>
          <w:sz w:val="20"/>
          <w:szCs w:val="20"/>
        </w:rPr>
        <w:t>44. Das MK, Bhatia V, Sibal A, et al. Prevalence of Nonalcoholic Fatty Liver Disease in Normal-weight and Overweight Preadolescent Children in Haryana, India. Indian Pediatr 2017; 54(12): 1012-6.</w:t>
      </w:r>
    </w:p>
    <w:p w14:paraId="2FE6055D">
      <w:pPr>
        <w:jc w:val="both"/>
        <w:rPr>
          <w:rFonts w:hint="eastAsia" w:ascii="Times New Roman" w:hAnsi="Times New Roman" w:cs="Times New Roman"/>
          <w:sz w:val="20"/>
          <w:szCs w:val="20"/>
        </w:rPr>
      </w:pPr>
      <w:r>
        <w:rPr>
          <w:rFonts w:hint="eastAsia" w:ascii="Times New Roman" w:hAnsi="Times New Roman" w:cs="Times New Roman"/>
          <w:sz w:val="20"/>
          <w:szCs w:val="20"/>
        </w:rPr>
        <w:t>45. Zusi C, Mantovani A, Olivieri F, et al. Contribution of a genetic risk score to clinical prediction of hepatic steatosis in obese children and adolescents. Dig Liver Dis 2019; 51(11): 1586-92.</w:t>
      </w:r>
    </w:p>
    <w:p w14:paraId="159C7074">
      <w:pPr>
        <w:jc w:val="both"/>
        <w:rPr>
          <w:rFonts w:hint="eastAsia" w:ascii="Times New Roman" w:hAnsi="Times New Roman" w:cs="Times New Roman"/>
          <w:sz w:val="20"/>
          <w:szCs w:val="20"/>
        </w:rPr>
      </w:pPr>
      <w:r>
        <w:rPr>
          <w:rFonts w:hint="eastAsia" w:ascii="Times New Roman" w:hAnsi="Times New Roman" w:cs="Times New Roman"/>
          <w:sz w:val="20"/>
          <w:szCs w:val="20"/>
        </w:rPr>
        <w:t>46. Di Costanzo A, Pacifico L, Chiesa C, et al. Genetic and metabolic predictors of hepatic fat content in a cohort of Italian children with obesity. Pediatr Res 2019; 85(5): 671-7.</w:t>
      </w:r>
    </w:p>
    <w:p w14:paraId="20F94B88">
      <w:pPr>
        <w:jc w:val="both"/>
        <w:rPr>
          <w:rFonts w:hint="eastAsia" w:ascii="Times New Roman" w:hAnsi="Times New Roman" w:cs="Times New Roman"/>
          <w:sz w:val="20"/>
          <w:szCs w:val="20"/>
        </w:rPr>
      </w:pPr>
      <w:r>
        <w:rPr>
          <w:rFonts w:hint="eastAsia" w:ascii="Times New Roman" w:hAnsi="Times New Roman" w:cs="Times New Roman"/>
          <w:sz w:val="20"/>
          <w:szCs w:val="20"/>
        </w:rPr>
        <w:t>47. Dursun F GN, Su Dur SM, Kirmizibekmez H. The relation between vitamin D level and hepatosteatosis in obese children. North Clin Istanb 2019; 6(1): 28-32.</w:t>
      </w:r>
    </w:p>
    <w:p w14:paraId="2D0015CB">
      <w:pPr>
        <w:jc w:val="both"/>
        <w:rPr>
          <w:rFonts w:hint="eastAsia" w:ascii="Times New Roman" w:hAnsi="Times New Roman" w:cs="Times New Roman"/>
          <w:sz w:val="20"/>
          <w:szCs w:val="20"/>
        </w:rPr>
      </w:pPr>
      <w:r>
        <w:rPr>
          <w:rFonts w:hint="eastAsia" w:ascii="Times New Roman" w:hAnsi="Times New Roman" w:cs="Times New Roman"/>
          <w:sz w:val="20"/>
          <w:szCs w:val="20"/>
        </w:rPr>
        <w:t>48. el-Karaksy HM, el-Koofy NM, Anwar GM, el-Mougy FM, el-Hennawy A, Fahmy ME. Predictors of non-alcoholic fatty liver disease in obese and overweight Egyptian children: single center study. Saudi J Gastroenterol 2011; 17(1): 40-6.</w:t>
      </w:r>
    </w:p>
    <w:p w14:paraId="7AFF82A6">
      <w:pPr>
        <w:jc w:val="both"/>
        <w:rPr>
          <w:rFonts w:hint="eastAsia" w:ascii="Times New Roman" w:hAnsi="Times New Roman" w:cs="Times New Roman"/>
          <w:sz w:val="20"/>
          <w:szCs w:val="20"/>
        </w:rPr>
      </w:pPr>
      <w:r>
        <w:rPr>
          <w:rFonts w:hint="eastAsia" w:ascii="Times New Roman" w:hAnsi="Times New Roman" w:cs="Times New Roman"/>
          <w:sz w:val="20"/>
          <w:szCs w:val="20"/>
        </w:rPr>
        <w:t>49. Eminoglu TF, Camurdan OM, Oktar SO, Bideci A, Dalgic B. Factors related to non-alcoholic fatty liver disease in obese children. Turk J Gastroenterol 2008; 19(2): 85-91.</w:t>
      </w:r>
    </w:p>
    <w:p w14:paraId="49A8FDF1">
      <w:pPr>
        <w:jc w:val="both"/>
        <w:rPr>
          <w:rFonts w:hint="eastAsia" w:ascii="Times New Roman" w:hAnsi="Times New Roman" w:cs="Times New Roman"/>
          <w:sz w:val="20"/>
          <w:szCs w:val="20"/>
        </w:rPr>
      </w:pPr>
      <w:r>
        <w:rPr>
          <w:rFonts w:hint="eastAsia" w:ascii="Times New Roman" w:hAnsi="Times New Roman" w:cs="Times New Roman"/>
          <w:sz w:val="20"/>
          <w:szCs w:val="20"/>
        </w:rPr>
        <w:t>50. Erol M, Bostan Gayret O, Tekin Nacaroglu H, et al. Association of Osteoprotegerin with Obesity, Insulin Resistance and Non-Alcoholic Fatty Liver Disease in Children. Iran Red Crescent Med J 2016; 18(11): e41873.</w:t>
      </w:r>
    </w:p>
    <w:p w14:paraId="3FAC00C5">
      <w:pPr>
        <w:jc w:val="both"/>
        <w:rPr>
          <w:rFonts w:hint="eastAsia" w:ascii="Times New Roman" w:hAnsi="Times New Roman" w:cs="Times New Roman"/>
          <w:sz w:val="20"/>
          <w:szCs w:val="20"/>
        </w:rPr>
      </w:pPr>
      <w:r>
        <w:rPr>
          <w:rFonts w:hint="eastAsia" w:ascii="Times New Roman" w:hAnsi="Times New Roman" w:cs="Times New Roman"/>
          <w:sz w:val="20"/>
          <w:szCs w:val="20"/>
        </w:rPr>
        <w:t>51. Felix DR, Costenaro F, Gottschall CB, Coral GP. Non-alcoholic fatty liver disease (Nafld) in obese children- effect of refined carbohydrates in diet. BMC Pediatr 2016; 16(1): 187.</w:t>
      </w:r>
    </w:p>
    <w:p w14:paraId="66863FC1">
      <w:pPr>
        <w:jc w:val="both"/>
        <w:rPr>
          <w:rFonts w:hint="eastAsia" w:ascii="Times New Roman" w:hAnsi="Times New Roman" w:cs="Times New Roman"/>
          <w:sz w:val="20"/>
          <w:szCs w:val="20"/>
          <w:highlight w:val="none"/>
        </w:rPr>
      </w:pPr>
      <w:r>
        <w:rPr>
          <w:rFonts w:hint="eastAsia" w:ascii="Times New Roman" w:hAnsi="Times New Roman" w:cs="Times New Roman"/>
          <w:sz w:val="20"/>
          <w:szCs w:val="20"/>
          <w:highlight w:val="none"/>
        </w:rPr>
        <w:t>52. Ferraioli G, Calcaterra V, Lissandrin R, et al. Noninvasive assessment of liver steatosis in children: the clinical value of controlled attenuation parameter. BMC Gastroenterol 2017; 17(1): 61.</w:t>
      </w:r>
    </w:p>
    <w:p w14:paraId="160D37F2">
      <w:pPr>
        <w:jc w:val="both"/>
        <w:rPr>
          <w:rFonts w:hint="eastAsia" w:ascii="Times New Roman" w:hAnsi="Times New Roman" w:cs="Times New Roman"/>
          <w:sz w:val="20"/>
          <w:szCs w:val="20"/>
        </w:rPr>
      </w:pPr>
      <w:r>
        <w:rPr>
          <w:rFonts w:hint="eastAsia" w:ascii="Times New Roman" w:hAnsi="Times New Roman" w:cs="Times New Roman"/>
          <w:sz w:val="20"/>
          <w:szCs w:val="20"/>
        </w:rPr>
        <w:t>53. Fonvig CE, Chabanova E, Andersson EA, et al. 1H-MRS Measured Ectopic Fat in Liver and Muscle in Danish Lean and Obese Children and Adolescents. PLoS One 2015; 10(8): e0135018.</w:t>
      </w:r>
    </w:p>
    <w:p w14:paraId="23D62E3E">
      <w:pPr>
        <w:jc w:val="both"/>
        <w:rPr>
          <w:rFonts w:hint="eastAsia" w:ascii="Times New Roman" w:hAnsi="Times New Roman" w:cs="Times New Roman"/>
          <w:sz w:val="20"/>
          <w:szCs w:val="20"/>
        </w:rPr>
      </w:pPr>
      <w:r>
        <w:rPr>
          <w:rFonts w:hint="eastAsia" w:ascii="Times New Roman" w:hAnsi="Times New Roman" w:cs="Times New Roman"/>
          <w:sz w:val="20"/>
          <w:szCs w:val="20"/>
        </w:rPr>
        <w:t>54. Gheibi S. Prevalence and Predictors of Non-Alcoholic Fatty Liver Disease in Obese and Overweight Children in the Northwest of Iran. Hepat Mon 2019; 19(10): e92199.</w:t>
      </w:r>
    </w:p>
    <w:p w14:paraId="5445AF98">
      <w:pPr>
        <w:jc w:val="both"/>
        <w:rPr>
          <w:rFonts w:hint="eastAsia" w:ascii="Times New Roman" w:hAnsi="Times New Roman" w:cs="Times New Roman"/>
          <w:sz w:val="20"/>
          <w:szCs w:val="20"/>
        </w:rPr>
      </w:pPr>
      <w:r>
        <w:rPr>
          <w:rFonts w:hint="eastAsia" w:ascii="Times New Roman" w:hAnsi="Times New Roman" w:cs="Times New Roman"/>
          <w:sz w:val="20"/>
          <w:szCs w:val="20"/>
        </w:rPr>
        <w:t>55. Hamza RT, Elfaramawy AA, Mahmoud NH. Serum Pentraxin 3 Fragment as a Noninvasive Marker of Nonalcoholic Fatty Liver Disease in Obese Children and Adolescents. Horm Res Paediatr 2016; 86(1): 11-20.</w:t>
      </w:r>
    </w:p>
    <w:p w14:paraId="521AE74A">
      <w:pPr>
        <w:jc w:val="both"/>
        <w:rPr>
          <w:rFonts w:hint="eastAsia" w:ascii="Times New Roman" w:hAnsi="Times New Roman" w:cs="Times New Roman"/>
          <w:sz w:val="20"/>
          <w:szCs w:val="20"/>
        </w:rPr>
      </w:pPr>
      <w:r>
        <w:rPr>
          <w:rFonts w:hint="eastAsia" w:ascii="Times New Roman" w:hAnsi="Times New Roman" w:cs="Times New Roman"/>
          <w:sz w:val="20"/>
          <w:szCs w:val="20"/>
        </w:rPr>
        <w:t>56. Han X, Xu P, Zhou J, Liu Y, Xu H. Fasting C-peptide is a significant indicator of nonalcoholic fatty liver disease in obese children. Diabetes Res Clin Pract 2020; 160: 108027.</w:t>
      </w:r>
    </w:p>
    <w:p w14:paraId="0385CF68">
      <w:pPr>
        <w:jc w:val="both"/>
        <w:rPr>
          <w:rFonts w:hint="eastAsia" w:ascii="Times New Roman" w:hAnsi="Times New Roman" w:cs="Times New Roman"/>
          <w:sz w:val="20"/>
          <w:szCs w:val="20"/>
        </w:rPr>
      </w:pPr>
      <w:r>
        <w:rPr>
          <w:rFonts w:hint="eastAsia" w:ascii="Times New Roman" w:hAnsi="Times New Roman" w:cs="Times New Roman"/>
          <w:sz w:val="20"/>
          <w:szCs w:val="20"/>
        </w:rPr>
        <w:t>57. Hatipoglu N, Dogan S, Mazicioglu MM, Kurtoglu S. Relationship between Neck Circumference and Non-Alcoholic Fatty Liver Disease in Childhood Obesity. J Clin Res Pediatr Endocrinol 2016; 8(1): 32-9.</w:t>
      </w:r>
    </w:p>
    <w:p w14:paraId="52FDDEA9">
      <w:pPr>
        <w:jc w:val="both"/>
        <w:rPr>
          <w:rFonts w:hint="eastAsia" w:ascii="Times New Roman" w:hAnsi="Times New Roman" w:cs="Times New Roman"/>
          <w:sz w:val="20"/>
          <w:szCs w:val="20"/>
        </w:rPr>
      </w:pPr>
      <w:r>
        <w:rPr>
          <w:rFonts w:hint="eastAsia" w:ascii="Times New Roman" w:hAnsi="Times New Roman" w:cs="Times New Roman"/>
          <w:sz w:val="20"/>
          <w:szCs w:val="20"/>
        </w:rPr>
        <w:t>58. Hu W, Wang M, Yin C, Li S, Liu Y, Xiao Y. Serum complement factor 5a levels are associated with nonalcoholic fatty liver disease in obese children. Acta Paediatr 2018; 107(2): 322-7.</w:t>
      </w:r>
    </w:p>
    <w:p w14:paraId="1A0C1954">
      <w:pPr>
        <w:jc w:val="both"/>
        <w:rPr>
          <w:rFonts w:hint="eastAsia" w:ascii="Times New Roman" w:hAnsi="Times New Roman" w:cs="Times New Roman"/>
          <w:sz w:val="20"/>
          <w:szCs w:val="20"/>
        </w:rPr>
      </w:pPr>
      <w:r>
        <w:rPr>
          <w:rFonts w:hint="eastAsia" w:ascii="Times New Roman" w:hAnsi="Times New Roman" w:cs="Times New Roman"/>
          <w:sz w:val="20"/>
          <w:szCs w:val="20"/>
        </w:rPr>
        <w:t>59. Jimenez-Rivera C, Hadjiyannakis S, Davila J, et al. Prevalence and risk factors for non-alcoholic fatty liver in children and youth with obesity. BMC Pediatr 2017; 17(1): 113.</w:t>
      </w:r>
    </w:p>
    <w:p w14:paraId="106CF47A">
      <w:pPr>
        <w:jc w:val="both"/>
        <w:rPr>
          <w:rFonts w:hint="eastAsia" w:ascii="Times New Roman" w:hAnsi="Times New Roman" w:cs="Times New Roman"/>
          <w:sz w:val="20"/>
          <w:szCs w:val="20"/>
        </w:rPr>
      </w:pPr>
      <w:r>
        <w:rPr>
          <w:rFonts w:hint="eastAsia" w:ascii="Times New Roman" w:hAnsi="Times New Roman" w:cs="Times New Roman"/>
          <w:sz w:val="20"/>
          <w:szCs w:val="20"/>
        </w:rPr>
        <w:t>60. Kaltenbach TE, Graeter T, Oeztuerk S, et al. Thyroid dysfunction and hepatic steatosis in overweight children and adolescents. Pediatr Obes 2017; 12(1): 67-74.</w:t>
      </w:r>
    </w:p>
    <w:p w14:paraId="5428B786">
      <w:pPr>
        <w:jc w:val="both"/>
        <w:rPr>
          <w:rFonts w:hint="eastAsia" w:ascii="Times New Roman" w:hAnsi="Times New Roman" w:cs="Times New Roman"/>
          <w:sz w:val="20"/>
          <w:szCs w:val="20"/>
        </w:rPr>
      </w:pPr>
      <w:r>
        <w:rPr>
          <w:rFonts w:hint="eastAsia" w:ascii="Times New Roman" w:hAnsi="Times New Roman" w:cs="Times New Roman"/>
          <w:sz w:val="20"/>
          <w:szCs w:val="20"/>
        </w:rPr>
        <w:t>61. Wiegand S, Keller KM, Robl M, et al. Obese boys at increased risk for nonalcoholic liver disease: evaluation of 16,390 overweight or obese children and adolescents. Int J Obes (Lond) 2010; 34(10): 1468-74.</w:t>
      </w:r>
    </w:p>
    <w:p w14:paraId="4D8603D9">
      <w:pPr>
        <w:jc w:val="both"/>
        <w:rPr>
          <w:rFonts w:hint="eastAsia" w:ascii="Times New Roman" w:hAnsi="Times New Roman" w:cs="Times New Roman"/>
          <w:sz w:val="20"/>
          <w:szCs w:val="20"/>
        </w:rPr>
      </w:pPr>
      <w:r>
        <w:rPr>
          <w:rFonts w:hint="eastAsia" w:ascii="Times New Roman" w:hAnsi="Times New Roman" w:cs="Times New Roman"/>
          <w:sz w:val="20"/>
          <w:szCs w:val="20"/>
        </w:rPr>
        <w:t>62. Zhang HX, Xu XQ, Fu JF, Lai C, Chen XF. Predicting hepatic steatosis and liver fat content in obese children based on biochemical parameters and anthropometry. Pediatr Obes 2015; 10(2): 112-7.</w:t>
      </w:r>
    </w:p>
    <w:p w14:paraId="04A46226">
      <w:pPr>
        <w:jc w:val="both"/>
        <w:rPr>
          <w:rFonts w:hint="eastAsia" w:ascii="Times New Roman" w:hAnsi="Times New Roman" w:cs="Times New Roman"/>
          <w:sz w:val="20"/>
          <w:szCs w:val="20"/>
        </w:rPr>
      </w:pPr>
      <w:r>
        <w:rPr>
          <w:rFonts w:hint="eastAsia" w:ascii="Times New Roman" w:hAnsi="Times New Roman" w:cs="Times New Roman"/>
          <w:sz w:val="20"/>
          <w:szCs w:val="20"/>
        </w:rPr>
        <w:t>63. Kim JY, Cho J, Yang HR. Biochemical Predictors of Early Onset Non-Alcoholic Fatty Liver Disease in Young Children with Obesity. J Korean Med Sci 2018; 33(16): e122.</w:t>
      </w:r>
    </w:p>
    <w:p w14:paraId="0E05A1E0">
      <w:pPr>
        <w:jc w:val="both"/>
        <w:rPr>
          <w:rFonts w:hint="eastAsia" w:ascii="Times New Roman" w:hAnsi="Times New Roman" w:cs="Times New Roman"/>
          <w:sz w:val="20"/>
          <w:szCs w:val="20"/>
        </w:rPr>
      </w:pPr>
      <w:r>
        <w:rPr>
          <w:rFonts w:hint="eastAsia" w:ascii="Times New Roman" w:hAnsi="Times New Roman" w:cs="Times New Roman"/>
          <w:sz w:val="20"/>
          <w:szCs w:val="20"/>
        </w:rPr>
        <w:t>64. Kistler KD, Molleston J, Unalp A, et al. Symptoms and quality of life in obese children and adolescents with non-alcoholic fatty liver disease. Aliment Pharmacol Ther 2010; 31(3): 396-406.</w:t>
      </w:r>
    </w:p>
    <w:p w14:paraId="63ED0A29">
      <w:pPr>
        <w:jc w:val="both"/>
        <w:rPr>
          <w:rFonts w:hint="eastAsia" w:ascii="Times New Roman" w:hAnsi="Times New Roman" w:cs="Times New Roman"/>
          <w:sz w:val="20"/>
          <w:szCs w:val="20"/>
        </w:rPr>
      </w:pPr>
      <w:r>
        <w:rPr>
          <w:rFonts w:hint="eastAsia" w:ascii="Times New Roman" w:hAnsi="Times New Roman" w:cs="Times New Roman"/>
          <w:sz w:val="20"/>
          <w:szCs w:val="20"/>
        </w:rPr>
        <w:t>65. Kodhelaj K, Resuli B,</w:t>
      </w:r>
      <w:r>
        <w:rPr>
          <w:rFonts w:hint="eastAsia" w:ascii="Times New Roman" w:hAnsi="Times New Roman" w:cs="Times New Roman"/>
          <w:sz w:val="20"/>
          <w:szCs w:val="20"/>
          <w:lang w:val="en-US" w:eastAsia="zh-CN"/>
        </w:rPr>
        <w:t xml:space="preserve"> </w:t>
      </w:r>
      <w:r>
        <w:rPr>
          <w:rFonts w:hint="eastAsia" w:ascii="Times New Roman" w:hAnsi="Times New Roman" w:cs="Times New Roman"/>
          <w:sz w:val="20"/>
          <w:szCs w:val="20"/>
        </w:rPr>
        <w:t>Petrela E, Malaj V, Jaze H. Non-alcoholic fatty liver disease and non-alcoholic steatohepatitis in Albanian overweight children. Minerva Pediatr 2014; 66(1): 23-30.</w:t>
      </w:r>
    </w:p>
    <w:p w14:paraId="17CBDA98">
      <w:pPr>
        <w:jc w:val="both"/>
        <w:rPr>
          <w:rFonts w:hint="eastAsia" w:ascii="Times New Roman" w:hAnsi="Times New Roman" w:cs="Times New Roman"/>
          <w:sz w:val="20"/>
          <w:szCs w:val="20"/>
        </w:rPr>
      </w:pPr>
      <w:r>
        <w:rPr>
          <w:rFonts w:hint="eastAsia" w:ascii="Times New Roman" w:hAnsi="Times New Roman" w:cs="Times New Roman"/>
          <w:sz w:val="20"/>
          <w:szCs w:val="20"/>
        </w:rPr>
        <w:t>66. Labayen I, Ruiz JR, Arenaza L, et al. Hepatic fat content and bone mineral density in children with overweight/obesity. Pediatr Res 2018; 84(5): 684-8.</w:t>
      </w:r>
    </w:p>
    <w:p w14:paraId="3D0F499C">
      <w:pPr>
        <w:jc w:val="both"/>
        <w:rPr>
          <w:rFonts w:hint="eastAsia" w:ascii="Times New Roman" w:hAnsi="Times New Roman" w:cs="Times New Roman"/>
          <w:sz w:val="20"/>
          <w:szCs w:val="20"/>
        </w:rPr>
      </w:pPr>
      <w:r>
        <w:rPr>
          <w:rFonts w:hint="eastAsia" w:ascii="Times New Roman" w:hAnsi="Times New Roman" w:cs="Times New Roman"/>
          <w:sz w:val="20"/>
          <w:szCs w:val="20"/>
        </w:rPr>
        <w:t>67. Lee JH, Jeong SJ. What is the appropriate strategy for diagnosing NAFLD using ultrasonography in obese children? World J Pediatr 2017; 13(3): 248-54.</w:t>
      </w:r>
    </w:p>
    <w:p w14:paraId="0DAA2AF6">
      <w:pPr>
        <w:jc w:val="both"/>
        <w:rPr>
          <w:rFonts w:hint="eastAsia" w:ascii="Times New Roman" w:hAnsi="Times New Roman" w:cs="Times New Roman"/>
          <w:sz w:val="20"/>
          <w:szCs w:val="20"/>
        </w:rPr>
      </w:pPr>
      <w:r>
        <w:rPr>
          <w:rFonts w:hint="eastAsia" w:ascii="Times New Roman" w:hAnsi="Times New Roman" w:cs="Times New Roman"/>
          <w:sz w:val="20"/>
          <w:szCs w:val="20"/>
        </w:rPr>
        <w:t>68. Liang S, Cheng X, Hu Y, Song R, Li G. Insulin-like growth factor 1 and metabolic parameters are associated with nonalcoholic fatty liver disease in obese children and adolescents. Acta Paediatr 2017; 106(2): 298-303.</w:t>
      </w:r>
    </w:p>
    <w:p w14:paraId="77F3CCA1">
      <w:pPr>
        <w:jc w:val="both"/>
        <w:rPr>
          <w:rFonts w:hint="eastAsia" w:ascii="Times New Roman" w:hAnsi="Times New Roman" w:cs="Times New Roman"/>
          <w:sz w:val="20"/>
          <w:szCs w:val="20"/>
        </w:rPr>
      </w:pPr>
      <w:r>
        <w:rPr>
          <w:rFonts w:hint="eastAsia" w:ascii="Times New Roman" w:hAnsi="Times New Roman" w:cs="Times New Roman"/>
          <w:sz w:val="20"/>
          <w:szCs w:val="20"/>
        </w:rPr>
        <w:t>69. Mameli C, Krakauer NY, Krakauer JC, et al. The association between a body shape index and cardiovascular risk in overweight and obese children and adolescents. PLoS One 2018; 13(1): e0190426.</w:t>
      </w:r>
    </w:p>
    <w:p w14:paraId="3D1A1111">
      <w:pPr>
        <w:jc w:val="both"/>
        <w:rPr>
          <w:rFonts w:hint="eastAsia" w:ascii="Times New Roman" w:hAnsi="Times New Roman" w:cs="Times New Roman"/>
          <w:sz w:val="20"/>
          <w:szCs w:val="20"/>
        </w:rPr>
      </w:pPr>
      <w:r>
        <w:rPr>
          <w:rFonts w:hint="eastAsia" w:ascii="Times New Roman" w:hAnsi="Times New Roman" w:cs="Times New Roman"/>
          <w:sz w:val="20"/>
          <w:szCs w:val="20"/>
        </w:rPr>
        <w:t>70. de Piano A, Prado WL, Caranti DA, et al. Metabolic and nutritional profile of obese adolescents with nonalcoholic fatty liver disease. J Pediatr Gastroenterol Nutr 2007; 44(4): 446-52.</w:t>
      </w:r>
    </w:p>
    <w:p w14:paraId="0A7E9978">
      <w:pPr>
        <w:jc w:val="both"/>
        <w:rPr>
          <w:rFonts w:hint="eastAsia" w:ascii="Times New Roman" w:hAnsi="Times New Roman" w:cs="Times New Roman"/>
          <w:sz w:val="20"/>
          <w:szCs w:val="20"/>
        </w:rPr>
      </w:pPr>
      <w:r>
        <w:rPr>
          <w:rFonts w:hint="eastAsia" w:ascii="Times New Roman" w:hAnsi="Times New Roman" w:cs="Times New Roman"/>
          <w:sz w:val="20"/>
          <w:szCs w:val="20"/>
        </w:rPr>
        <w:t>71. Mohamed RZ, Jalaludin MY, Anuar Zaini A. Predictors of non-alcoholic fatty liver disease (NAFLD) among children with obesity. J Pediatr Endocrinol Metab 2020; 33(2): 247-53.</w:t>
      </w:r>
    </w:p>
    <w:p w14:paraId="166F107B">
      <w:pPr>
        <w:jc w:val="both"/>
        <w:rPr>
          <w:rFonts w:hint="eastAsia" w:ascii="Times New Roman" w:hAnsi="Times New Roman" w:cs="Times New Roman"/>
          <w:sz w:val="20"/>
          <w:szCs w:val="20"/>
        </w:rPr>
      </w:pPr>
      <w:r>
        <w:rPr>
          <w:rFonts w:hint="eastAsia" w:ascii="Times New Roman" w:hAnsi="Times New Roman" w:cs="Times New Roman"/>
          <w:sz w:val="20"/>
          <w:szCs w:val="20"/>
        </w:rPr>
        <w:t>72. Taghavi Ardakani A SM, Kheirkhah D. Fatty liver disease in obese children in Kashan, Iran. Caspian J of Pediatr 2015; 1(1): 17-21.</w:t>
      </w:r>
    </w:p>
    <w:p w14:paraId="6C8A0003">
      <w:pPr>
        <w:jc w:val="both"/>
        <w:rPr>
          <w:rFonts w:hint="eastAsia" w:ascii="Times New Roman" w:hAnsi="Times New Roman" w:cs="Times New Roman"/>
          <w:sz w:val="20"/>
          <w:szCs w:val="20"/>
        </w:rPr>
      </w:pPr>
      <w:r>
        <w:rPr>
          <w:rFonts w:hint="eastAsia" w:ascii="Times New Roman" w:hAnsi="Times New Roman" w:cs="Times New Roman"/>
          <w:sz w:val="20"/>
          <w:szCs w:val="20"/>
        </w:rPr>
        <w:t>73. Navarro-Jarabo JM, Ubina-Aznar E, Tapia-Ceballos L, et al. Hepatic steatosis and severity-related factors in obese children. J Gastroenterol Hepatol 2013; 28(9): 1532-8.</w:t>
      </w:r>
    </w:p>
    <w:p w14:paraId="73C7A055">
      <w:pPr>
        <w:jc w:val="both"/>
        <w:rPr>
          <w:rFonts w:hint="eastAsia" w:ascii="Times New Roman" w:hAnsi="Times New Roman" w:cs="Times New Roman"/>
          <w:sz w:val="20"/>
          <w:szCs w:val="20"/>
        </w:rPr>
      </w:pPr>
      <w:r>
        <w:rPr>
          <w:rFonts w:hint="eastAsia" w:ascii="Times New Roman" w:hAnsi="Times New Roman" w:cs="Times New Roman"/>
          <w:sz w:val="20"/>
          <w:szCs w:val="20"/>
        </w:rPr>
        <w:t>74. Franzese A, Vajro P, Argenziano A, et al. Liver involvement in obese children. Ultrasonography and liver enzyme levels at diagnosis and during follow-up in an Italian population. Dig Dis Sci 1997; 42(7): 1428-32.</w:t>
      </w:r>
    </w:p>
    <w:p w14:paraId="576823F1">
      <w:pPr>
        <w:jc w:val="both"/>
        <w:rPr>
          <w:rFonts w:hint="eastAsia" w:ascii="Times New Roman" w:hAnsi="Times New Roman" w:cs="Times New Roman"/>
          <w:sz w:val="20"/>
          <w:szCs w:val="20"/>
        </w:rPr>
      </w:pPr>
      <w:r>
        <w:rPr>
          <w:rFonts w:hint="eastAsia" w:ascii="Times New Roman" w:hAnsi="Times New Roman" w:cs="Times New Roman"/>
          <w:sz w:val="20"/>
          <w:szCs w:val="20"/>
        </w:rPr>
        <w:t>75. Guzzaloni G, Grugni G, Minocci A, Moro D, Morabito F. Liver steatosis in juvenile obesity: correlations with lipid profile, hepatic biochemical parameters and glycemic and insulinemic responses to an oral glucose tolerance test. Int J Obes Relat Metab Disord 2000; 24(6): 772-6.</w:t>
      </w:r>
    </w:p>
    <w:p w14:paraId="43266A81">
      <w:pPr>
        <w:jc w:val="both"/>
        <w:rPr>
          <w:rFonts w:hint="eastAsia" w:ascii="Times New Roman" w:hAnsi="Times New Roman" w:cs="Times New Roman"/>
          <w:sz w:val="20"/>
          <w:szCs w:val="20"/>
        </w:rPr>
      </w:pPr>
      <w:r>
        <w:rPr>
          <w:rFonts w:hint="eastAsia" w:ascii="Times New Roman" w:hAnsi="Times New Roman" w:cs="Times New Roman"/>
          <w:sz w:val="20"/>
          <w:szCs w:val="20"/>
        </w:rPr>
        <w:t>76. Oh MS, Kim S, Lee J, Lee MS, Kim YJ, Kang KS. Factors associated with Advanced Bone Age in Overweight and Obese Children. Pediatr Gastroenterol Hepatol Nutr 2020; 23(1): 89-97.</w:t>
      </w:r>
    </w:p>
    <w:p w14:paraId="7D2AD491">
      <w:pPr>
        <w:jc w:val="both"/>
        <w:rPr>
          <w:rFonts w:hint="eastAsia" w:ascii="Times New Roman" w:hAnsi="Times New Roman" w:cs="Times New Roman"/>
          <w:sz w:val="20"/>
          <w:szCs w:val="20"/>
        </w:rPr>
      </w:pPr>
      <w:r>
        <w:rPr>
          <w:rFonts w:hint="eastAsia" w:ascii="Times New Roman" w:hAnsi="Times New Roman" w:cs="Times New Roman"/>
          <w:sz w:val="20"/>
          <w:szCs w:val="20"/>
        </w:rPr>
        <w:t>77. Ozhan B, Ersoy B, Ozkol M, Kiremitci S, Ergin A. Waist to height ratio: a simple screening tool for nonalcoholic fatty liver disease in obese children. Turk J Pediatr 2016; 58(5): 518-23.</w:t>
      </w:r>
    </w:p>
    <w:p w14:paraId="36088729">
      <w:pPr>
        <w:jc w:val="both"/>
        <w:rPr>
          <w:rFonts w:hint="eastAsia" w:ascii="Times New Roman" w:hAnsi="Times New Roman" w:cs="Times New Roman"/>
          <w:sz w:val="20"/>
          <w:szCs w:val="20"/>
        </w:rPr>
      </w:pPr>
      <w:r>
        <w:rPr>
          <w:rFonts w:hint="eastAsia" w:ascii="Times New Roman" w:hAnsi="Times New Roman" w:cs="Times New Roman"/>
          <w:sz w:val="20"/>
          <w:szCs w:val="20"/>
        </w:rPr>
        <w:t>78. Pacifico L, Bonci E, Andreoli GM, et al. The Impact of Nonalcoholic Fatty Liver Disease on Renal Function in Children with Overweight/Obesity. Int J Mol Sci 2016; 17(8).</w:t>
      </w:r>
    </w:p>
    <w:p w14:paraId="0A1644FA">
      <w:pPr>
        <w:jc w:val="both"/>
        <w:rPr>
          <w:rFonts w:hint="eastAsia" w:ascii="Times New Roman" w:hAnsi="Times New Roman" w:cs="Times New Roman"/>
          <w:sz w:val="20"/>
          <w:szCs w:val="20"/>
        </w:rPr>
      </w:pPr>
      <w:r>
        <w:rPr>
          <w:rFonts w:hint="eastAsia" w:ascii="Times New Roman" w:hAnsi="Times New Roman" w:cs="Times New Roman"/>
          <w:sz w:val="20"/>
          <w:szCs w:val="20"/>
        </w:rPr>
        <w:t>79. Papandreou D, Karabouta Z, Rousso I. Are dietary cholesterol intake and serum cholesterol levels related to nonalcoholic Fatty liver disease in obese children? Cholesterol 2012; 2012: 572820.</w:t>
      </w:r>
    </w:p>
    <w:p w14:paraId="5D19AF17">
      <w:pPr>
        <w:jc w:val="both"/>
        <w:rPr>
          <w:rFonts w:hint="eastAsia" w:ascii="Times New Roman" w:hAnsi="Times New Roman" w:cs="Times New Roman"/>
          <w:sz w:val="20"/>
          <w:szCs w:val="20"/>
        </w:rPr>
      </w:pPr>
      <w:r>
        <w:rPr>
          <w:rFonts w:hint="eastAsia" w:ascii="Times New Roman" w:hAnsi="Times New Roman" w:cs="Times New Roman"/>
          <w:sz w:val="20"/>
          <w:szCs w:val="20"/>
        </w:rPr>
        <w:t>80. Pozzato C, Radaelli G, Dall'Asta C, et al. MRI in identifying hepatic steatosis in obese children and relation to ultrasonography and metabolic findings. J Pediatr Gastroenterol Nutr 2008; 47(4): 493-9.</w:t>
      </w:r>
    </w:p>
    <w:p w14:paraId="14696822">
      <w:pPr>
        <w:jc w:val="both"/>
        <w:rPr>
          <w:rFonts w:hint="eastAsia" w:ascii="Times New Roman" w:hAnsi="Times New Roman" w:cs="Times New Roman"/>
          <w:sz w:val="20"/>
          <w:szCs w:val="20"/>
        </w:rPr>
      </w:pPr>
      <w:r>
        <w:rPr>
          <w:rFonts w:hint="eastAsia" w:ascii="Times New Roman" w:hAnsi="Times New Roman" w:cs="Times New Roman"/>
          <w:sz w:val="20"/>
          <w:szCs w:val="20"/>
        </w:rPr>
        <w:t>81. Sagi R, Reif S, Neuman G, Webb M, Phillip M, Shalitin S. Nonalcoholic fatty liver disease in overweight children and adolescents. Acta Paediatr 2007; 96(8): 1209-13.</w:t>
      </w:r>
    </w:p>
    <w:p w14:paraId="24AEE1BA">
      <w:pPr>
        <w:jc w:val="both"/>
        <w:rPr>
          <w:rFonts w:hint="eastAsia" w:ascii="Times New Roman" w:hAnsi="Times New Roman" w:cs="Times New Roman"/>
          <w:sz w:val="20"/>
          <w:szCs w:val="20"/>
        </w:rPr>
      </w:pPr>
      <w:r>
        <w:rPr>
          <w:rFonts w:hint="eastAsia" w:ascii="Times New Roman" w:hAnsi="Times New Roman" w:cs="Times New Roman"/>
          <w:sz w:val="20"/>
          <w:szCs w:val="20"/>
        </w:rPr>
        <w:t>82. Prokopowicz Z. Predictive Value of Adiposity Level, Metabolic Syndrome, and Insulin Resistance for the Risk of Nonalcoholic Fatty Liver Disease Diagnosis in Obese Children. CAN J GASTROENTEROL 2018; 2018: 1-8.</w:t>
      </w:r>
    </w:p>
    <w:p w14:paraId="2AD2BD28">
      <w:pPr>
        <w:jc w:val="both"/>
        <w:rPr>
          <w:rFonts w:hint="eastAsia" w:ascii="Times New Roman" w:hAnsi="Times New Roman" w:cs="Times New Roman"/>
          <w:sz w:val="20"/>
          <w:szCs w:val="20"/>
        </w:rPr>
      </w:pPr>
      <w:r>
        <w:rPr>
          <w:rFonts w:hint="eastAsia" w:ascii="Times New Roman" w:hAnsi="Times New Roman" w:cs="Times New Roman"/>
          <w:sz w:val="20"/>
          <w:szCs w:val="20"/>
        </w:rPr>
        <w:t>83. Radetti G, Kleon W, Stuefer J, Pittschieler K. Non-alcoholic fatty liver disease in obese children evaluated by magnetic resonance imaging. Acta Paediatr 2006; 95(7): 833-7.</w:t>
      </w:r>
    </w:p>
    <w:p w14:paraId="4CCFBAFC">
      <w:pPr>
        <w:jc w:val="both"/>
        <w:rPr>
          <w:rFonts w:hint="eastAsia" w:ascii="Times New Roman" w:hAnsi="Times New Roman" w:cs="Times New Roman"/>
          <w:sz w:val="20"/>
          <w:szCs w:val="20"/>
        </w:rPr>
      </w:pPr>
      <w:r>
        <w:rPr>
          <w:rFonts w:hint="eastAsia" w:ascii="Times New Roman" w:hAnsi="Times New Roman" w:cs="Times New Roman"/>
          <w:sz w:val="20"/>
          <w:szCs w:val="20"/>
        </w:rPr>
        <w:t>84. Ruiz-Extremera A, Carazo A, Salmeron A, et al. Factors associated with hepatic steatosis in obese children and adolescents. J Pediatr Gastroenterol Nutr 2011; 53(2): 196-201.</w:t>
      </w:r>
    </w:p>
    <w:p w14:paraId="094D94CE">
      <w:pPr>
        <w:jc w:val="both"/>
        <w:rPr>
          <w:rFonts w:hint="eastAsia" w:ascii="Times New Roman" w:hAnsi="Times New Roman" w:cs="Times New Roman"/>
          <w:sz w:val="20"/>
          <w:szCs w:val="20"/>
        </w:rPr>
      </w:pPr>
      <w:r>
        <w:rPr>
          <w:rFonts w:hint="eastAsia" w:ascii="Times New Roman" w:hAnsi="Times New Roman" w:cs="Times New Roman"/>
          <w:sz w:val="20"/>
          <w:szCs w:val="20"/>
        </w:rPr>
        <w:t>85. Schlieske C, Denzer C, Wabitsch M, et al. Sonographically measured suprailiac adipose tissue is a useful predictor of non-alcoholic fatty liver disease in obese children and adolescents. Pediatr Obes 2015; 10(4): 260-6.</w:t>
      </w:r>
    </w:p>
    <w:p w14:paraId="349EDA70">
      <w:pPr>
        <w:jc w:val="both"/>
        <w:rPr>
          <w:rFonts w:hint="eastAsia" w:ascii="Times New Roman" w:hAnsi="Times New Roman" w:cs="Times New Roman"/>
          <w:sz w:val="20"/>
          <w:szCs w:val="20"/>
        </w:rPr>
      </w:pPr>
      <w:r>
        <w:rPr>
          <w:rFonts w:hint="eastAsia" w:ascii="Times New Roman" w:hAnsi="Times New Roman" w:cs="Times New Roman"/>
          <w:sz w:val="20"/>
          <w:szCs w:val="20"/>
        </w:rPr>
        <w:t>86. Damaso AR, do Prado WL, de Piano A, et al. Relationship between nonalcoholic fatty liver disease prevalence and visceral fat in obese adolescents. Dig Liver Dis 2008; 40(2): 132-9.</w:t>
      </w:r>
    </w:p>
    <w:p w14:paraId="6D6B7555">
      <w:pPr>
        <w:jc w:val="both"/>
        <w:rPr>
          <w:rFonts w:hint="eastAsia" w:ascii="Times New Roman" w:hAnsi="Times New Roman" w:cs="Times New Roman"/>
          <w:sz w:val="20"/>
          <w:szCs w:val="20"/>
        </w:rPr>
      </w:pPr>
      <w:r>
        <w:rPr>
          <w:rFonts w:hint="eastAsia" w:ascii="Times New Roman" w:hAnsi="Times New Roman" w:cs="Times New Roman"/>
          <w:sz w:val="20"/>
          <w:szCs w:val="20"/>
        </w:rPr>
        <w:t>87. Jung JH, Jung MK, Kim KE, et al. Ultrasound measurement of pediatric visceral fat thickness: correlations with metabolic and liver profiles. Ann Pediatr Endocrinol Metab 2016; 21(2): 75-80.</w:t>
      </w:r>
    </w:p>
    <w:p w14:paraId="49C525A5">
      <w:pPr>
        <w:jc w:val="both"/>
        <w:rPr>
          <w:rFonts w:hint="eastAsia" w:ascii="Times New Roman" w:hAnsi="Times New Roman" w:cs="Times New Roman"/>
          <w:sz w:val="20"/>
          <w:szCs w:val="20"/>
        </w:rPr>
      </w:pPr>
      <w:r>
        <w:rPr>
          <w:rFonts w:hint="eastAsia" w:ascii="Times New Roman" w:hAnsi="Times New Roman" w:cs="Times New Roman"/>
          <w:sz w:val="20"/>
          <w:szCs w:val="20"/>
        </w:rPr>
        <w:t>88. Sezer OB, Bulus D, Hizli S, Andiran N, Yilmaz D, Ramadan SU. Low 25-hydroxyvitamin D level is not an independent risk factor for hepatosteatosis in obese children. J Pediatr Endocrinol Metab 2016; 29(7): 783-8.</w:t>
      </w:r>
    </w:p>
    <w:p w14:paraId="2A31DD11">
      <w:pPr>
        <w:jc w:val="both"/>
        <w:rPr>
          <w:rFonts w:hint="eastAsia" w:ascii="Times New Roman" w:hAnsi="Times New Roman" w:cs="Times New Roman"/>
          <w:sz w:val="20"/>
          <w:szCs w:val="20"/>
        </w:rPr>
      </w:pPr>
      <w:r>
        <w:rPr>
          <w:rFonts w:hint="eastAsia" w:ascii="Times New Roman" w:hAnsi="Times New Roman" w:cs="Times New Roman"/>
          <w:sz w:val="20"/>
          <w:szCs w:val="20"/>
        </w:rPr>
        <w:t>89. Yildiz I, Erol OB, Toprak S, et al. Role of vitamin D in children with hepatosteatosis. J Pediatr Gastroenterol Nutr 2014; 59(1): 106-11.</w:t>
      </w:r>
    </w:p>
    <w:p w14:paraId="3B0A6285">
      <w:pPr>
        <w:jc w:val="both"/>
        <w:rPr>
          <w:rFonts w:hint="eastAsia" w:ascii="Times New Roman" w:hAnsi="Times New Roman" w:cs="Times New Roman"/>
          <w:sz w:val="20"/>
          <w:szCs w:val="20"/>
        </w:rPr>
      </w:pPr>
      <w:r>
        <w:rPr>
          <w:rFonts w:hint="eastAsia" w:ascii="Times New Roman" w:hAnsi="Times New Roman" w:cs="Times New Roman"/>
          <w:sz w:val="20"/>
          <w:szCs w:val="20"/>
        </w:rPr>
        <w:t>90. Pirgon O, Cekmez F, Bilgin H, Eren E, Dundar B. Low 25-hydroxyvitamin D level is associated with insulin sensitivity in obese adolescents with non-alcoholic fatty liver disease. Obes Res Clin Pract 2013; 7(4): e275-83.</w:t>
      </w:r>
    </w:p>
    <w:p w14:paraId="21187E26">
      <w:pPr>
        <w:jc w:val="both"/>
        <w:rPr>
          <w:rFonts w:hint="eastAsia" w:ascii="Times New Roman" w:hAnsi="Times New Roman" w:cs="Times New Roman"/>
          <w:sz w:val="20"/>
          <w:szCs w:val="20"/>
        </w:rPr>
      </w:pPr>
      <w:r>
        <w:rPr>
          <w:rFonts w:hint="eastAsia" w:ascii="Times New Roman" w:hAnsi="Times New Roman" w:cs="Times New Roman"/>
          <w:sz w:val="20"/>
          <w:szCs w:val="20"/>
        </w:rPr>
        <w:t>91. Cali AM, Zern TL, Taksali SE, et al. Intrahepatic fat accumulation and alterations in lipoprotein composition in obese adolescents: a perfect proatherogenic state. Diabetes Care 2007; 30(12): 3093-8.</w:t>
      </w:r>
    </w:p>
    <w:p w14:paraId="50450A5F">
      <w:pPr>
        <w:jc w:val="both"/>
        <w:rPr>
          <w:rFonts w:hint="eastAsia" w:ascii="Times New Roman" w:hAnsi="Times New Roman" w:cs="Times New Roman"/>
          <w:sz w:val="20"/>
          <w:szCs w:val="20"/>
        </w:rPr>
      </w:pPr>
      <w:r>
        <w:rPr>
          <w:rFonts w:hint="eastAsia" w:ascii="Times New Roman" w:hAnsi="Times New Roman" w:cs="Times New Roman"/>
          <w:sz w:val="20"/>
          <w:szCs w:val="20"/>
        </w:rPr>
        <w:t>92. Shi JQ, Shen WX, Wang XZ, Huang K, Zou CC. Relationship Between Immune Parameters and Non-alcoholic Fatty Liver Disease in Obese Children. Indian Pediatr 2017; 54(10): 825-9.</w:t>
      </w:r>
    </w:p>
    <w:p w14:paraId="11B11AC8">
      <w:pPr>
        <w:jc w:val="both"/>
        <w:rPr>
          <w:rFonts w:hint="eastAsia" w:ascii="Times New Roman" w:hAnsi="Times New Roman" w:cs="Times New Roman"/>
          <w:sz w:val="20"/>
          <w:szCs w:val="20"/>
        </w:rPr>
      </w:pPr>
      <w:r>
        <w:rPr>
          <w:rFonts w:hint="eastAsia" w:ascii="Times New Roman" w:hAnsi="Times New Roman" w:cs="Times New Roman"/>
          <w:sz w:val="20"/>
          <w:szCs w:val="20"/>
        </w:rPr>
        <w:t>93. Torun E, Aydin S, Gokce S, Ozgen IT, Donmez T, Cesur Y. Carotid intima-media thickness and flow-mediated dilation in obese children with non-alcoholic fatty liver disease. Turk J Gastroenterol 2014; 25 Suppl 1: 92-8.</w:t>
      </w:r>
    </w:p>
    <w:p w14:paraId="02DC7857">
      <w:pPr>
        <w:jc w:val="both"/>
        <w:rPr>
          <w:rFonts w:hint="eastAsia" w:ascii="Times New Roman" w:hAnsi="Times New Roman" w:cs="Times New Roman"/>
          <w:sz w:val="20"/>
          <w:szCs w:val="20"/>
        </w:rPr>
      </w:pPr>
      <w:r>
        <w:rPr>
          <w:rFonts w:hint="eastAsia" w:ascii="Times New Roman" w:hAnsi="Times New Roman" w:cs="Times New Roman"/>
          <w:sz w:val="20"/>
          <w:szCs w:val="20"/>
        </w:rPr>
        <w:t>94. Üstyol A. Association of Serum Triglyceride-to-High-density Lipoprotein Cholesterol Ratio with Insulin Resistance and Non-alcoholic Fatty Liver Disease in Children and Adolescents. Med Bull Hasek 2017; 55: 286-91.</w:t>
      </w:r>
    </w:p>
    <w:p w14:paraId="6389FC11">
      <w:pPr>
        <w:jc w:val="both"/>
        <w:rPr>
          <w:rFonts w:hint="eastAsia" w:ascii="Times New Roman" w:hAnsi="Times New Roman" w:cs="Times New Roman"/>
          <w:sz w:val="20"/>
          <w:szCs w:val="20"/>
        </w:rPr>
      </w:pPr>
      <w:r>
        <w:rPr>
          <w:rFonts w:hint="eastAsia" w:ascii="Times New Roman" w:hAnsi="Times New Roman" w:cs="Times New Roman"/>
          <w:sz w:val="20"/>
          <w:szCs w:val="20"/>
        </w:rPr>
        <w:t>95. Vakilishahrbabaki H-S. Association between Non-Alcoholic Fatty Liver Disease and Carotid Intima-Media Thickness in Overweight and Obese Children J res med dent sci 2018; 6(3): 313-8.</w:t>
      </w:r>
    </w:p>
    <w:p w14:paraId="041A8D71">
      <w:pPr>
        <w:jc w:val="both"/>
        <w:rPr>
          <w:rFonts w:hint="eastAsia" w:ascii="Times New Roman" w:hAnsi="Times New Roman" w:cs="Times New Roman"/>
          <w:sz w:val="20"/>
          <w:szCs w:val="20"/>
        </w:rPr>
      </w:pPr>
      <w:r>
        <w:rPr>
          <w:rFonts w:hint="eastAsia" w:ascii="Times New Roman" w:hAnsi="Times New Roman" w:cs="Times New Roman"/>
          <w:sz w:val="20"/>
          <w:szCs w:val="20"/>
        </w:rPr>
        <w:t>96. Trico D, Caprio S, Rosaria Umano G, et al. Metabolic Features of Nonalcoholic Fatty Liver (NAFL) in Obese Adolescents: Findings From a Multiethnic Cohort. Hepatology 2018; 68(4): 1376-90.</w:t>
      </w:r>
    </w:p>
    <w:p w14:paraId="3DD55DFD">
      <w:pPr>
        <w:jc w:val="both"/>
        <w:rPr>
          <w:rFonts w:hint="eastAsia" w:ascii="Times New Roman" w:hAnsi="Times New Roman" w:cs="Times New Roman"/>
          <w:sz w:val="20"/>
          <w:szCs w:val="20"/>
        </w:rPr>
      </w:pPr>
      <w:r>
        <w:rPr>
          <w:rFonts w:hint="eastAsia" w:ascii="Times New Roman" w:hAnsi="Times New Roman" w:cs="Times New Roman"/>
          <w:sz w:val="20"/>
          <w:szCs w:val="20"/>
        </w:rPr>
        <w:t>97. Wang R, Yang F,</w:t>
      </w:r>
      <w:r>
        <w:rPr>
          <w:rFonts w:hint="eastAsia" w:ascii="Times New Roman" w:hAnsi="Times New Roman" w:cs="Times New Roman"/>
          <w:sz w:val="20"/>
          <w:szCs w:val="20"/>
          <w:lang w:val="en-US" w:eastAsia="zh-CN"/>
        </w:rPr>
        <w:t xml:space="preserve"> </w:t>
      </w:r>
      <w:r>
        <w:rPr>
          <w:rFonts w:hint="eastAsia" w:ascii="Times New Roman" w:hAnsi="Times New Roman" w:cs="Times New Roman"/>
          <w:sz w:val="20"/>
          <w:szCs w:val="20"/>
        </w:rPr>
        <w:t>Qing L, Huang R, Liu Q, Li X. Decreased serum neuregulin 4 levels associated with non-alcoholic fatty liver disease in children with obesity. Clin Obes 2019; 9(1): e12289.</w:t>
      </w:r>
    </w:p>
    <w:p w14:paraId="56038319">
      <w:pPr>
        <w:jc w:val="both"/>
        <w:rPr>
          <w:rFonts w:hint="eastAsia" w:ascii="Times New Roman" w:hAnsi="Times New Roman" w:cs="Times New Roman"/>
          <w:sz w:val="20"/>
          <w:szCs w:val="20"/>
        </w:rPr>
      </w:pPr>
      <w:r>
        <w:rPr>
          <w:rFonts w:hint="eastAsia" w:ascii="Times New Roman" w:hAnsi="Times New Roman" w:cs="Times New Roman"/>
          <w:sz w:val="20"/>
          <w:szCs w:val="20"/>
        </w:rPr>
        <w:t>98. Yang HR, Chang EJ. Insulin resistance, body composition, and fat distribution in obese children with nonalcoholic fatty liver disease. Asia Pac J Clin Nutr 2016; 25(1): 126-33.</w:t>
      </w:r>
    </w:p>
    <w:p w14:paraId="53681730">
      <w:pPr>
        <w:jc w:val="both"/>
        <w:rPr>
          <w:rFonts w:hint="eastAsia" w:ascii="Times New Roman" w:hAnsi="Times New Roman" w:cs="Times New Roman"/>
          <w:sz w:val="20"/>
          <w:szCs w:val="20"/>
        </w:rPr>
      </w:pPr>
      <w:r>
        <w:rPr>
          <w:rFonts w:hint="eastAsia" w:ascii="Times New Roman" w:hAnsi="Times New Roman" w:cs="Times New Roman"/>
          <w:sz w:val="20"/>
          <w:szCs w:val="20"/>
        </w:rPr>
        <w:t>99. Silveira LS, Monteiro PA, Antunes Bde M, et al. Intra-abdominal fat is related to metabolic syndrome and non-alcoholic fat liver disease in obese youth. BMC Pediatr 2013; 13: 115.</w:t>
      </w:r>
    </w:p>
    <w:p w14:paraId="38117D36">
      <w:pPr>
        <w:jc w:val="both"/>
        <w:rPr>
          <w:rFonts w:hint="eastAsia" w:ascii="Times New Roman" w:hAnsi="Times New Roman" w:cs="Times New Roman"/>
          <w:sz w:val="20"/>
          <w:szCs w:val="20"/>
        </w:rPr>
      </w:pPr>
      <w:r>
        <w:rPr>
          <w:rFonts w:hint="eastAsia" w:ascii="Times New Roman" w:hAnsi="Times New Roman" w:cs="Times New Roman"/>
          <w:sz w:val="20"/>
          <w:szCs w:val="20"/>
        </w:rPr>
        <w:t>100. Wasilewska N, Bobrus-Chociej A, Harasim-Symbor E, et al. Increased serum concentration of ceramides in obese children with nonalcoholic fatty liver disease. Lipids Health Dis 2018; 17(1): 216.</w:t>
      </w:r>
    </w:p>
    <w:p w14:paraId="561EC906">
      <w:pPr>
        <w:jc w:val="both"/>
        <w:rPr>
          <w:rFonts w:hint="eastAsia" w:ascii="Times New Roman" w:hAnsi="Times New Roman" w:cs="Times New Roman"/>
          <w:sz w:val="20"/>
          <w:szCs w:val="20"/>
        </w:rPr>
      </w:pPr>
      <w:r>
        <w:rPr>
          <w:rFonts w:hint="eastAsia" w:ascii="Times New Roman" w:hAnsi="Times New Roman" w:cs="Times New Roman"/>
          <w:sz w:val="20"/>
          <w:szCs w:val="20"/>
        </w:rPr>
        <w:t>101. Yang HR, Yi DY, Choi HS. Comparison between a pediatric health promotion center and a pediatric obesity clinic in detecting metabolic syndrome and non-alcoholic fatty liver disease in children. J Korean Med Sci 2014; 29(12): 1672-7.</w:t>
      </w:r>
    </w:p>
    <w:p w14:paraId="2EAC2976">
      <w:pPr>
        <w:jc w:val="both"/>
        <w:rPr>
          <w:rFonts w:hint="eastAsia" w:ascii="Times New Roman" w:hAnsi="Times New Roman" w:cs="Times New Roman"/>
          <w:sz w:val="20"/>
          <w:szCs w:val="20"/>
        </w:rPr>
      </w:pPr>
      <w:r>
        <w:rPr>
          <w:rFonts w:hint="eastAsia" w:ascii="Times New Roman" w:hAnsi="Times New Roman" w:cs="Times New Roman"/>
          <w:sz w:val="20"/>
          <w:szCs w:val="20"/>
        </w:rPr>
        <w:t>102. Grønbæk H, Lange A, Birkebaek NH, et al. Effect of a 10-week weight loss camp on fatty liver disease and insulin sensitivity in obese Danish children. J Pediatr Gastroenterol Nutr 2012; 54(2): 223-8.</w:t>
      </w:r>
    </w:p>
    <w:p w14:paraId="2D1851B1">
      <w:pPr>
        <w:jc w:val="both"/>
        <w:rPr>
          <w:rFonts w:hint="eastAsia" w:ascii="Times New Roman" w:hAnsi="Times New Roman" w:cs="Times New Roman"/>
          <w:sz w:val="20"/>
          <w:szCs w:val="20"/>
        </w:rPr>
      </w:pPr>
      <w:r>
        <w:rPr>
          <w:rFonts w:hint="eastAsia" w:ascii="Times New Roman" w:hAnsi="Times New Roman" w:cs="Times New Roman"/>
          <w:sz w:val="20"/>
          <w:szCs w:val="20"/>
        </w:rPr>
        <w:t>103. Saad V, Wicklow B, Wittmeier K, et al. A clinically relevant method to screen for hepatic steatosis in overweight adolescents: a cross-sectional study. BMC Pediatr 2015; 15: 151.</w:t>
      </w:r>
    </w:p>
    <w:p w14:paraId="7046B1EA">
      <w:pPr>
        <w:jc w:val="both"/>
        <w:rPr>
          <w:rFonts w:hint="eastAsia" w:ascii="Times New Roman" w:hAnsi="Times New Roman" w:cs="Times New Roman"/>
          <w:sz w:val="20"/>
          <w:szCs w:val="20"/>
        </w:rPr>
      </w:pPr>
      <w:r>
        <w:rPr>
          <w:rFonts w:hint="eastAsia" w:ascii="Times New Roman" w:hAnsi="Times New Roman" w:cs="Times New Roman"/>
          <w:sz w:val="20"/>
          <w:szCs w:val="20"/>
        </w:rPr>
        <w:t>104. Zou CC, Liang L, Hong F, Fu JF, Zhao ZY. Serum adiponectin, resistin levels and non-alcoholic fatty liver disease in obese children. Endocr J 2005; 52(5): 519-24.</w:t>
      </w:r>
    </w:p>
    <w:p w14:paraId="1E924D45">
      <w:pPr>
        <w:jc w:val="both"/>
        <w:rPr>
          <w:rFonts w:hint="eastAsia" w:ascii="Times New Roman" w:hAnsi="Times New Roman" w:cs="Times New Roman"/>
          <w:sz w:val="20"/>
          <w:szCs w:val="20"/>
        </w:rPr>
      </w:pPr>
      <w:r>
        <w:rPr>
          <w:rFonts w:hint="eastAsia" w:ascii="Times New Roman" w:hAnsi="Times New Roman" w:cs="Times New Roman"/>
          <w:sz w:val="20"/>
          <w:szCs w:val="20"/>
        </w:rPr>
        <w:t>105. Bohte AE, Koot BG, van der Baan-Slootweg OH, et al. US cannot be used to predict the presence or severity of hepatic steatosis in severely obese adolescents. Radiology 2012; 262(1): 327-34.</w:t>
      </w:r>
    </w:p>
    <w:p w14:paraId="6E3EF008">
      <w:pPr>
        <w:jc w:val="both"/>
        <w:rPr>
          <w:rFonts w:hint="eastAsia" w:ascii="Times New Roman" w:hAnsi="Times New Roman" w:cs="Times New Roman"/>
          <w:sz w:val="20"/>
          <w:szCs w:val="20"/>
        </w:rPr>
      </w:pPr>
      <w:r>
        <w:rPr>
          <w:rFonts w:hint="eastAsia" w:ascii="Times New Roman" w:hAnsi="Times New Roman" w:cs="Times New Roman"/>
          <w:sz w:val="20"/>
          <w:szCs w:val="20"/>
        </w:rPr>
        <w:t>106. Chiloiro M, Riezzo G, Chiarappa S, et al. Relationship among fatty liver, adipose tissue distribution and metabolic profile in moderately obese children: an ultrasonographic study. Curr Pharm Des 2008; 14(26): 2693-8.</w:t>
      </w:r>
    </w:p>
    <w:p w14:paraId="4D2B5F3D">
      <w:pPr>
        <w:jc w:val="both"/>
        <w:rPr>
          <w:rFonts w:hint="eastAsia" w:ascii="Times New Roman" w:hAnsi="Times New Roman" w:cs="Times New Roman"/>
          <w:sz w:val="20"/>
          <w:szCs w:val="20"/>
        </w:rPr>
      </w:pPr>
      <w:r>
        <w:rPr>
          <w:rFonts w:hint="eastAsia" w:ascii="Times New Roman" w:hAnsi="Times New Roman" w:cs="Times New Roman"/>
          <w:sz w:val="20"/>
          <w:szCs w:val="20"/>
        </w:rPr>
        <w:t>107. de Silva KS, Wickramasinghe VP, Gooneratne IN. Metabolic consequences of childhood obesity--a preliminary report. Ceylon Med J 2006; 51(3): 105-9.</w:t>
      </w:r>
    </w:p>
    <w:p w14:paraId="7F75A120">
      <w:pPr>
        <w:jc w:val="both"/>
        <w:rPr>
          <w:rFonts w:hint="eastAsia" w:ascii="Times New Roman" w:hAnsi="Times New Roman" w:cs="Times New Roman"/>
          <w:sz w:val="20"/>
          <w:szCs w:val="20"/>
        </w:rPr>
      </w:pPr>
      <w:r>
        <w:rPr>
          <w:rFonts w:hint="eastAsia" w:ascii="Times New Roman" w:hAnsi="Times New Roman" w:cs="Times New Roman"/>
          <w:sz w:val="20"/>
          <w:szCs w:val="20"/>
        </w:rPr>
        <w:t>108. Denzer C, Thiere D, Muche R, et al. Gender-specific prevalences of fatty liver in obese children and adolescents: roles of body fat distribution, sex steroids, and insulin resistance. J Clin Endocrinol Metab 2009; 94(10): 3872-81.</w:t>
      </w:r>
    </w:p>
    <w:p w14:paraId="654ECFCB">
      <w:pPr>
        <w:jc w:val="both"/>
        <w:rPr>
          <w:rFonts w:hint="eastAsia" w:ascii="Times New Roman" w:hAnsi="Times New Roman" w:cs="Times New Roman"/>
          <w:sz w:val="20"/>
          <w:szCs w:val="20"/>
        </w:rPr>
      </w:pPr>
      <w:r>
        <w:rPr>
          <w:rFonts w:hint="eastAsia" w:ascii="Times New Roman" w:hAnsi="Times New Roman" w:cs="Times New Roman"/>
          <w:sz w:val="20"/>
          <w:szCs w:val="20"/>
        </w:rPr>
        <w:t>109. Hacihamdioglu B, Okutan V, Yozgat Y, et al. Abdominal obesity is an independent risk factor for increased carotid intima-media thickness in obese children. Turk J Pediatr 2011; 53(1): 48-54.</w:t>
      </w:r>
    </w:p>
    <w:p w14:paraId="4A4C1065">
      <w:pPr>
        <w:jc w:val="both"/>
        <w:rPr>
          <w:rFonts w:hint="eastAsia" w:ascii="Times New Roman" w:hAnsi="Times New Roman" w:cs="Times New Roman"/>
          <w:sz w:val="20"/>
          <w:szCs w:val="20"/>
        </w:rPr>
      </w:pPr>
      <w:r>
        <w:rPr>
          <w:rFonts w:hint="eastAsia" w:ascii="Times New Roman" w:hAnsi="Times New Roman" w:cs="Times New Roman"/>
          <w:sz w:val="20"/>
          <w:szCs w:val="20"/>
        </w:rPr>
        <w:t>110. Kim JS, Le KA, Mahurkar S, Davis JN, Goran MI. Influence of elevated liver fat on circulating adipocytokines and insulin resistance in obese Hispanic adolescents. Pediatr Obes 2012; 7(2): 158-64.</w:t>
      </w:r>
    </w:p>
    <w:p w14:paraId="6C9A1453">
      <w:pPr>
        <w:jc w:val="both"/>
        <w:rPr>
          <w:rFonts w:hint="eastAsia" w:ascii="Times New Roman" w:hAnsi="Times New Roman" w:cs="Times New Roman"/>
          <w:sz w:val="20"/>
          <w:szCs w:val="20"/>
        </w:rPr>
      </w:pPr>
      <w:r>
        <w:rPr>
          <w:rFonts w:hint="eastAsia" w:ascii="Times New Roman" w:hAnsi="Times New Roman" w:cs="Times New Roman"/>
          <w:sz w:val="20"/>
          <w:szCs w:val="20"/>
        </w:rPr>
        <w:t>111. El-Koofy NM, Anwar GM, El-Raziky MS, et al. The association of metabolic syndrome, insulin resistance and non-alcoholic fatty liver disease in overweight/obese children. Saudi J Gastroenterol 2012; 18(1): 44-9.</w:t>
      </w:r>
    </w:p>
    <w:p w14:paraId="48549565">
      <w:pPr>
        <w:jc w:val="both"/>
        <w:rPr>
          <w:rFonts w:hint="eastAsia" w:ascii="Times New Roman" w:hAnsi="Times New Roman" w:cs="Times New Roman"/>
          <w:sz w:val="20"/>
          <w:szCs w:val="20"/>
        </w:rPr>
      </w:pPr>
      <w:r>
        <w:rPr>
          <w:rFonts w:hint="eastAsia" w:ascii="Times New Roman" w:hAnsi="Times New Roman" w:cs="Times New Roman"/>
          <w:sz w:val="20"/>
          <w:szCs w:val="20"/>
        </w:rPr>
        <w:t>112. Ozkol M, Ersoy B, Kasirga E, Taneli F, Bostanci IE, Ozhan B. Metabolic predictors for early identification of fatty liver using doppler and B-mode ultrasonography in overweight and obese adolescents. Eur J Pediatr 2010; 169(11): 1345-52.</w:t>
      </w:r>
    </w:p>
    <w:p w14:paraId="0D002743">
      <w:pPr>
        <w:jc w:val="both"/>
        <w:rPr>
          <w:rFonts w:hint="eastAsia" w:ascii="Times New Roman" w:hAnsi="Times New Roman" w:cs="Times New Roman"/>
          <w:sz w:val="20"/>
          <w:szCs w:val="20"/>
        </w:rPr>
      </w:pPr>
      <w:r>
        <w:rPr>
          <w:rFonts w:hint="eastAsia" w:ascii="Times New Roman" w:hAnsi="Times New Roman" w:cs="Times New Roman"/>
          <w:sz w:val="20"/>
          <w:szCs w:val="20"/>
        </w:rPr>
        <w:t>113. Papandreou D, Rousso I, Malindretos P, et al. Are saturated fatty acids and insulin resistance associated with fatty liver in obese children? Clin Nutr 2008; 27(2): 233-40.</w:t>
      </w:r>
    </w:p>
    <w:p w14:paraId="631553C0">
      <w:pPr>
        <w:jc w:val="both"/>
        <w:rPr>
          <w:rFonts w:hint="eastAsia" w:ascii="Times New Roman" w:hAnsi="Times New Roman" w:cs="Times New Roman"/>
          <w:sz w:val="20"/>
          <w:szCs w:val="20"/>
        </w:rPr>
      </w:pPr>
      <w:r>
        <w:rPr>
          <w:rFonts w:hint="eastAsia" w:ascii="Times New Roman" w:hAnsi="Times New Roman" w:cs="Times New Roman"/>
          <w:sz w:val="20"/>
          <w:szCs w:val="20"/>
        </w:rPr>
        <w:t>114. Perseghin G, Bonfanti R, Magni S, et al. Insulin resistance and whole body energy homeostasis in obese adolescents with fatty liver disease. Am J Physiol Endocrinol Metab 2006; 291(4): E697-703.</w:t>
      </w:r>
    </w:p>
    <w:p w14:paraId="48AE1C96">
      <w:pPr>
        <w:jc w:val="both"/>
        <w:rPr>
          <w:rFonts w:hint="eastAsia" w:ascii="Times New Roman" w:hAnsi="Times New Roman" w:cs="Times New Roman"/>
          <w:sz w:val="20"/>
          <w:szCs w:val="20"/>
        </w:rPr>
      </w:pPr>
      <w:r>
        <w:rPr>
          <w:rFonts w:hint="eastAsia" w:ascii="Times New Roman" w:hAnsi="Times New Roman" w:cs="Times New Roman"/>
          <w:sz w:val="20"/>
          <w:szCs w:val="20"/>
        </w:rPr>
        <w:t>115. Reinehr T, Roth CL. Fetuin-A and its relation to metabolic syndrome and fatty liver disease in obese children before and after weight loss. J Clin Endocrinol Metab 2008; 93(11): 4479-85.</w:t>
      </w:r>
    </w:p>
    <w:p w14:paraId="3985A297">
      <w:pPr>
        <w:jc w:val="both"/>
        <w:rPr>
          <w:rFonts w:hint="eastAsia" w:ascii="Times New Roman" w:hAnsi="Times New Roman" w:cs="Times New Roman"/>
          <w:sz w:val="20"/>
          <w:szCs w:val="20"/>
        </w:rPr>
      </w:pPr>
      <w:r>
        <w:rPr>
          <w:rFonts w:hint="eastAsia" w:ascii="Times New Roman" w:hAnsi="Times New Roman" w:cs="Times New Roman"/>
          <w:sz w:val="20"/>
          <w:szCs w:val="20"/>
        </w:rPr>
        <w:t>116. Tock L, Prado WL, Caranti DA, et al. Nonalcoholic fatty liver disease decrease in obese adolescents after multidisciplinary therapy. Eur J Gastroenterol Hepatol 2006; 18(12): 1241-5.</w:t>
      </w:r>
    </w:p>
    <w:p w14:paraId="02ED4B7A">
      <w:pPr>
        <w:jc w:val="both"/>
        <w:rPr>
          <w:rFonts w:hint="eastAsia" w:ascii="Times New Roman" w:hAnsi="Times New Roman" w:cs="Times New Roman"/>
          <w:sz w:val="20"/>
          <w:szCs w:val="20"/>
        </w:rPr>
      </w:pPr>
      <w:r>
        <w:rPr>
          <w:rFonts w:hint="eastAsia" w:ascii="Times New Roman" w:hAnsi="Times New Roman" w:cs="Times New Roman"/>
          <w:sz w:val="20"/>
          <w:szCs w:val="20"/>
        </w:rPr>
        <w:t>117. Xanthakos S, Miles L, Bucuvalas J, Daniels S, Garcia V, Inge T. Histologic spectrum of nonalcoholic fatty liver disease in morbidly obese adolescents. Clin Gastroenterol Hepatol 2006; 4(2): 226-32.</w:t>
      </w:r>
    </w:p>
    <w:p w14:paraId="2AA411B2">
      <w:pPr>
        <w:jc w:val="both"/>
        <w:rPr>
          <w:rFonts w:hint="eastAsia" w:ascii="Times New Roman" w:hAnsi="Times New Roman" w:cs="Times New Roman"/>
          <w:sz w:val="20"/>
          <w:szCs w:val="20"/>
        </w:rPr>
      </w:pPr>
      <w:r>
        <w:rPr>
          <w:rFonts w:hint="eastAsia" w:ascii="Times New Roman" w:hAnsi="Times New Roman" w:cs="Times New Roman"/>
          <w:sz w:val="20"/>
          <w:szCs w:val="20"/>
        </w:rPr>
        <w:t>118. Boza C, Viscido G, Salinas J, Crovari F, Funke R, Perez G. Laparoscopic sleeve gastrectomy in obese adolescents: results in 51 patients. Surg Obes Relat Dis 2012; 8(2): 133-7; discussion 7-9.</w:t>
      </w:r>
    </w:p>
    <w:p w14:paraId="0BA624CF">
      <w:pPr>
        <w:jc w:val="both"/>
        <w:rPr>
          <w:rFonts w:hint="eastAsia" w:ascii="Times New Roman" w:hAnsi="Times New Roman" w:cs="Times New Roman"/>
          <w:sz w:val="20"/>
          <w:szCs w:val="20"/>
        </w:rPr>
      </w:pPr>
      <w:r>
        <w:rPr>
          <w:rFonts w:hint="eastAsia" w:ascii="Times New Roman" w:hAnsi="Times New Roman" w:cs="Times New Roman"/>
          <w:sz w:val="20"/>
          <w:szCs w:val="20"/>
        </w:rPr>
        <w:t>119. Koot BG, van der Baan-Slootweg OH, Tamminga-Smeulders CL, et al. Lifestyle intervention for non-alcoholic fatty liver disease: prospective cohort study of its efficacy and factors related to improvement. Arch Dis Child 2011; 96(7): 669-74.</w:t>
      </w:r>
    </w:p>
    <w:p w14:paraId="2085C6E1">
      <w:pPr>
        <w:jc w:val="both"/>
        <w:rPr>
          <w:rFonts w:hint="eastAsia" w:ascii="Times New Roman" w:hAnsi="Times New Roman" w:cs="Times New Roman"/>
          <w:sz w:val="20"/>
          <w:szCs w:val="20"/>
        </w:rPr>
      </w:pPr>
      <w:r>
        <w:rPr>
          <w:rFonts w:hint="eastAsia" w:ascii="Times New Roman" w:hAnsi="Times New Roman" w:cs="Times New Roman"/>
          <w:sz w:val="20"/>
          <w:szCs w:val="20"/>
        </w:rPr>
        <w:t>120. Alqahtani A, Elahmedi M, Alswat K, Arafah M, Fagih M, Lee J. Features of nonalcoholic steatohepatitis in severely obese children and adolescents undergoing sleeve gastrectomy. Surg Obes Relat Dis 2017; 13(9): 1599-609.</w:t>
      </w:r>
    </w:p>
    <w:p w14:paraId="7EC5DE82">
      <w:pPr>
        <w:jc w:val="both"/>
        <w:rPr>
          <w:rFonts w:hint="eastAsia" w:ascii="Times New Roman" w:hAnsi="Times New Roman" w:cs="Times New Roman"/>
          <w:sz w:val="20"/>
          <w:szCs w:val="20"/>
        </w:rPr>
      </w:pPr>
      <w:r>
        <w:rPr>
          <w:rFonts w:hint="eastAsia" w:ascii="Times New Roman" w:hAnsi="Times New Roman" w:cs="Times New Roman"/>
          <w:sz w:val="20"/>
          <w:szCs w:val="20"/>
        </w:rPr>
        <w:t>121. Bobrus-Chociej A, Flisiak-Jackiewicz M, Daniluk U, et al. Estimation of gamma-glutamyl transferase as a suitable simple biomarker of the cardiovascular risk in children with non-alcoholic fatty liver disease. Acta Biochim Pol 2018; 65(4): 539-44.</w:t>
      </w:r>
    </w:p>
    <w:p w14:paraId="1B7BF6D5">
      <w:pPr>
        <w:jc w:val="both"/>
        <w:rPr>
          <w:rFonts w:hint="eastAsia" w:ascii="Times New Roman" w:hAnsi="Times New Roman" w:cs="Times New Roman"/>
          <w:sz w:val="20"/>
          <w:szCs w:val="20"/>
        </w:rPr>
      </w:pPr>
      <w:r>
        <w:rPr>
          <w:rFonts w:hint="eastAsia" w:ascii="Times New Roman" w:hAnsi="Times New Roman" w:cs="Times New Roman"/>
          <w:sz w:val="20"/>
          <w:szCs w:val="20"/>
        </w:rPr>
        <w:t>122. Deeb A, Attia S, Mahmoud S, Elhaj G, Elfatih A. Dyslipidemia and Fatty Liver Disease in Overweight and Obese Children. J Obes 2018; 2018: 8626818.</w:t>
      </w:r>
    </w:p>
    <w:p w14:paraId="110B3980">
      <w:pPr>
        <w:jc w:val="both"/>
        <w:rPr>
          <w:rFonts w:hint="eastAsia" w:ascii="Times New Roman" w:hAnsi="Times New Roman" w:cs="Times New Roman"/>
          <w:sz w:val="20"/>
          <w:szCs w:val="20"/>
        </w:rPr>
      </w:pPr>
      <w:r>
        <w:rPr>
          <w:rFonts w:hint="eastAsia" w:ascii="Times New Roman" w:hAnsi="Times New Roman" w:cs="Times New Roman"/>
          <w:sz w:val="20"/>
          <w:szCs w:val="20"/>
        </w:rPr>
        <w:t>123. Assuncao SNF, Sorte N, Alves CAD, Mendes PSA, Alves CRB, Silva LR. Inflammatory cytokines and non-alcoholic fatty liver disease (NAFLD) in obese children and adolescents. Nutr Hosp 2018; 35(1): 78-83.</w:t>
      </w:r>
    </w:p>
    <w:p w14:paraId="68564417">
      <w:pPr>
        <w:jc w:val="both"/>
        <w:rPr>
          <w:rFonts w:hint="eastAsia" w:ascii="Times New Roman" w:hAnsi="Times New Roman" w:cs="Times New Roman"/>
          <w:sz w:val="20"/>
          <w:szCs w:val="20"/>
        </w:rPr>
      </w:pPr>
      <w:r>
        <w:rPr>
          <w:rFonts w:hint="eastAsia" w:ascii="Times New Roman" w:hAnsi="Times New Roman" w:cs="Times New Roman"/>
          <w:sz w:val="20"/>
          <w:szCs w:val="20"/>
        </w:rPr>
        <w:t>124. Pooja G. Nutritional assessment in obese children with and without non-alcoholic fatty liver disease (NAFLD) in an Urban Area of Punjab, India. Indian J Public Health De 2018; 9(12): 201-7.</w:t>
      </w:r>
    </w:p>
    <w:p w14:paraId="781B9D90">
      <w:pPr>
        <w:jc w:val="both"/>
        <w:rPr>
          <w:rFonts w:hint="eastAsia" w:ascii="Times New Roman" w:hAnsi="Times New Roman" w:cs="Times New Roman"/>
          <w:sz w:val="20"/>
          <w:szCs w:val="20"/>
        </w:rPr>
      </w:pPr>
      <w:r>
        <w:rPr>
          <w:rFonts w:hint="eastAsia" w:ascii="Times New Roman" w:hAnsi="Times New Roman" w:cs="Times New Roman"/>
          <w:sz w:val="20"/>
          <w:szCs w:val="20"/>
        </w:rPr>
        <w:t>125. Kirel B. Nonalcoholic fatty liver diseases in obese children and adolescents. Turk Arch Ped 2012; 47: 172-8.</w:t>
      </w:r>
    </w:p>
    <w:p w14:paraId="7B24BC36">
      <w:pPr>
        <w:jc w:val="both"/>
        <w:rPr>
          <w:rFonts w:hint="eastAsia" w:ascii="Times New Roman" w:hAnsi="Times New Roman" w:cs="Times New Roman"/>
          <w:sz w:val="20"/>
          <w:szCs w:val="20"/>
        </w:rPr>
      </w:pPr>
      <w:r>
        <w:rPr>
          <w:rFonts w:hint="eastAsia" w:ascii="Times New Roman" w:hAnsi="Times New Roman" w:cs="Times New Roman"/>
          <w:sz w:val="20"/>
          <w:szCs w:val="20"/>
        </w:rPr>
        <w:t>126. Di Martino M, Pacifico L, Bezzi M, et al. Comparison of magnetic resonance spectroscopy, proton density fat fraction and histological analysis in the quantification of liver steatosis in children and adolescents. World J Gastroenterol 2016; 22(39): 8812-9.</w:t>
      </w:r>
    </w:p>
    <w:p w14:paraId="1FA6422B">
      <w:pPr>
        <w:jc w:val="both"/>
        <w:rPr>
          <w:rFonts w:hint="eastAsia" w:ascii="Times New Roman" w:hAnsi="Times New Roman" w:cs="Times New Roman"/>
          <w:sz w:val="20"/>
          <w:szCs w:val="20"/>
        </w:rPr>
      </w:pPr>
      <w:r>
        <w:rPr>
          <w:rFonts w:hint="eastAsia" w:ascii="Times New Roman" w:hAnsi="Times New Roman" w:cs="Times New Roman"/>
          <w:sz w:val="20"/>
          <w:szCs w:val="20"/>
        </w:rPr>
        <w:t>127. Yu EL, Golshan S, Harlow KE, et al. Prevalence of Nonalcoholic Fatty Liver Disease in Children with Obesity. J Pediatr 2019; 207: 64-70.</w:t>
      </w:r>
    </w:p>
    <w:p w14:paraId="445DEAE6">
      <w:pPr>
        <w:jc w:val="both"/>
        <w:rPr>
          <w:rFonts w:hint="eastAsia" w:ascii="Times New Roman" w:hAnsi="Times New Roman" w:cs="Times New Roman"/>
          <w:sz w:val="20"/>
          <w:szCs w:val="20"/>
        </w:rPr>
      </w:pPr>
      <w:r>
        <w:rPr>
          <w:rFonts w:hint="eastAsia" w:ascii="Times New Roman" w:hAnsi="Times New Roman" w:cs="Times New Roman"/>
          <w:sz w:val="20"/>
          <w:szCs w:val="20"/>
        </w:rPr>
        <w:t>128. Szybowska P, Wojcik M, Starzyk JB, Sztefko K. Enhanced liver fibrosis (ELF) test in obese children with ultrasound-proven liver steatosis. Neuro Endocrinol Lett 2015; 36(7): 700-5.</w:t>
      </w:r>
    </w:p>
    <w:p w14:paraId="1D8C922D">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rPr>
        <w:t>129. Pena-Velez R, Garibay-Nieto N, Cal-Y-Mayor-Villalobos M, Laresgo</w:t>
      </w:r>
      <w:r>
        <w:rPr>
          <w:rFonts w:hint="eastAsia" w:ascii="Times New Roman" w:hAnsi="Times New Roman" w:cs="Times New Roman"/>
          <w:sz w:val="20"/>
          <w:szCs w:val="20"/>
          <w:lang w:val="en-US" w:eastAsia="zh-CN"/>
        </w:rPr>
        <w:t xml:space="preserve"> iti-Servitje E, Pedraza-Escudero K, García-Blanco MDC, Heredia-Nieto OA, Villanueva-Ortega E. Association between neck circumference and non-alcoholic fatty liver disease in Mexican children and adolescents with obesity. J Pediatr Endocrinol Metab 2020; 33(2): 205-213.</w:t>
      </w:r>
    </w:p>
    <w:p w14:paraId="743A13FC">
      <w:pPr>
        <w:jc w:val="both"/>
        <w:rPr>
          <w:rFonts w:hint="eastAsia" w:ascii="Times New Roman" w:hAnsi="Times New Roman" w:cs="Times New Roman"/>
          <w:sz w:val="20"/>
          <w:szCs w:val="20"/>
          <w:highlight w:val="none"/>
          <w:lang w:val="en-US" w:eastAsia="zh-CN"/>
        </w:rPr>
      </w:pPr>
      <w:r>
        <w:rPr>
          <w:rFonts w:hint="eastAsia" w:ascii="Times New Roman" w:hAnsi="Times New Roman" w:cs="Times New Roman"/>
          <w:sz w:val="20"/>
          <w:szCs w:val="20"/>
          <w:highlight w:val="none"/>
          <w:lang w:val="en-US" w:eastAsia="zh-CN"/>
        </w:rPr>
        <w:t>130. Elkabany ZA, Hamza RT, Ismail EAR, et al. Serum visfatin level as a noninvasive marker for nonalcoholic fatty liver disease in children and adolescents with obesity: relation to transient elastography with controlled attenuation parameter. Eur J Gastroenterol Hepatol 2019.</w:t>
      </w:r>
    </w:p>
    <w:p w14:paraId="5C13A951">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131. Ozsu E, Yazicioglu B. Obese boys with low concentrations of high-density lipoprotein cholesterol are at greater risk of hepatosteatosis. Hormones (Athens) 2019; 18(4): 477-84.</w:t>
      </w:r>
    </w:p>
    <w:p w14:paraId="23D8E2F5">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132. Hua MC, Huang JL, Hu CC, Yao TC, Lai MW. Including Fibroblast Growth Factor-21 in Combined Biomarker Panels Improves Predictions of Liver Steatosis Severity in Children. Front Pediatr 2019; 7: 420.</w:t>
      </w:r>
    </w:p>
    <w:p w14:paraId="3E983068">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133. Di Bonito P, Valerio G, Licenziati MR, et al. High uric acid, reduced glomerular filtration rate and non-alcoholic fatty liver in young people with obesity. J Endocrinol Invest 2020; 43(4): 461-8.</w:t>
      </w:r>
    </w:p>
    <w:p w14:paraId="289EF2D2">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134. Jain V, Kumar A, Ahmad N, et al. Genetic polymorphisms associated with obesity and non-alcoholic fatty liver disease in Asian Indian adolescents. J Pediatr Endocrinol Metab 2019; 32(7): 749-58.</w:t>
      </w:r>
    </w:p>
    <w:p w14:paraId="0127C5E3">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135. Villanueva-Ortega E, Garces-Hernandez MJ, Herrera-Rosas A, et al. Gender-specific differences in clinical and metabolic variables associated with NAFLD in a Mexican pediatric population. Ann Hepatol 2019; 18(5): 693-700.</w:t>
      </w:r>
    </w:p>
    <w:p w14:paraId="4121369C">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136. Draijer LG, Feddouli S, Bohte AE, et al. Comparison of diagnostic accuracy of screening tests ALT and ultrasound for pediatric non-alcoholic fatty liver disease. Eur J Pediatr 2019; 178(6): 863-70.</w:t>
      </w:r>
    </w:p>
    <w:p w14:paraId="445C8F75">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137. Kurku H, Atar M, Pirgon O, et al. Pubertal Status and Gonadal Functions in Obese Boys with Fatty Liver. Metab Syndr Relat Disord 2019; 17(2): 102-7.</w:t>
      </w:r>
    </w:p>
    <w:p w14:paraId="409B05D5">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138. Ramirez-Velez R, Izquierdo M, Correa-Bautista JE, et al. Liver Fat Content and Body Fat Distribution in Youths with Excess Adiposity. J Clin Med 2018; 7(12).</w:t>
      </w:r>
    </w:p>
    <w:p w14:paraId="0EFE5222">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139. Flisiak-Jackiewicz M, Bobrus-Chociej A, Tarasow E, Wojtkowska M, Bialokoz-Kalinowska I, Lebensztejn DM. Predictive Role of Interleukin-18 in Liver Steatosis in Obese Children. Can J Gastroenterol Hepatol 2018; 2018: 3870454.</w:t>
      </w:r>
    </w:p>
    <w:p w14:paraId="5F641CE6">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140. Bacha F, Tomsa A, Bartz SK, et al. Nonalcoholic Fatty Liver Disease in Hispanic Youth With Dysglycemia: Risk for Subclinical Atherosclerosis? J Endocr Soc 2017; 1(8): 1029-40.</w:t>
      </w:r>
    </w:p>
    <w:p w14:paraId="4778A583">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141. Balanescu A, Balanescu P, Comanici V, et al. Lipid profile pattern in pediatric overweight population with or without NAFLD in relation to IDF criteria for metabolic syndrome: a preliminary study. Rom J Intern Med 2018; 56(1): 47-54.</w:t>
      </w:r>
    </w:p>
    <w:p w14:paraId="79C60313">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142. Lu LP, Wan YP, Xun PC, et al. Serum bile acid level and fatty acid composition in Chinese children with non-alcoholic fatty liver disease. J Dig Dis 2017; 18(8): 461-71.</w:t>
      </w:r>
    </w:p>
    <w:p w14:paraId="52AAC2BA">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143. Chabanova E, Fonvig CE, Bojsoe C, Holm JC, Thomsen HS. (1)H MRS Assessment of Hepatic Fat Content: Comparison Between Normal- and Excess-weight Children and Adolescents. Acad Radiol 2017; 24(8): 982-7.</w:t>
      </w:r>
    </w:p>
    <w:p w14:paraId="26FF93B0">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144. Lee S, Kuk JL. Visceral fat is associated with the racial differences in liver fat between black and white adolescent boys with obesity. Pediatr Diabetes 2017; 18(7): 660-3.</w:t>
      </w:r>
    </w:p>
    <w:p w14:paraId="407EA95D">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145. Sheldon RD, Kanosky KM, Wells KD, et al. Transcriptomic differences in intra-abdominal adipose tissue in extremely obese adolescents with different stages of NAFLD. Physiol Genomics 2016; 48(12): 897-911.</w:t>
      </w:r>
    </w:p>
    <w:p w14:paraId="458F7AE7">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146. Jin R, Le NA, Cleeton R, et al. Amount of hepatic fat predicts cardiovascular risk independent of insulin resistance among Hispanic-American adolescents. Lipids Health Dis 2015; 14: 39.</w:t>
      </w:r>
    </w:p>
    <w:p w14:paraId="151D3877">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147. Chang PF, Lin YC, Liu K, Yeh SJ, Ni YH. Heme oxygenase-1 gene promoter polymorphism and the risk of pediatric nonalcoholic fatty liver disease. Int J Obes (Lond) 2015; 39(8): 1236-40.</w:t>
      </w:r>
    </w:p>
    <w:p w14:paraId="7F92BFED">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148. Klusek-Oksiuta M, Bialokoz-Kalinowska I, Tarasow E, Wojtkowska M, Werpachowska I, Lebensztejn DM. Chemerin as a novel non-invasive serum marker of intrahepatic lipid content in obese children. Ital J Pediatr 2014; 40: 84.</w:t>
      </w:r>
    </w:p>
    <w:p w14:paraId="37554BF3">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149. O'Sullivan TA, Oddy WH, Bremner AP, et al. Lower fructose intake may help protect against development of nonalcoholic fatty liver in adolescents with obesity. J Pediatr Gastroenterol Nutr 2014; 58(5): 624-31.</w:t>
      </w:r>
    </w:p>
    <w:p w14:paraId="0CB22F4C">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150. Santoro N, Caprio S, Giannini C, et al. Oxidized fatty acids: A potential pathogenic link between fatty liver and type 2 diabetes in obese adolescents? Antioxid Redox Signal 2014; 20(2): 383-9.</w:t>
      </w:r>
    </w:p>
    <w:p w14:paraId="2BE5C40A">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151. Lebensztejn DM, Kowalczuk D, Tarasow E, Skiba E, Kaczmarski M. Tumor necrosis factor alpha and its soluble receptors in obese children with NAFLD. Adv Med Sci 2010; 55(1): 74-9.</w:t>
      </w:r>
    </w:p>
    <w:p w14:paraId="504F07D0">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152. Demircioglu F, Kocyigit A, Arslan N, Cakmakci H, Hizli S, Sedat AT. Intima-media thickness of carotid artery and susceptibility to atherosclerosis in obese children with nonalcoholic fatty liver disease. J Pediatr Gastroenterol Nutr 2008; 47(1): 68-75.</w:t>
      </w:r>
    </w:p>
    <w:p w14:paraId="6E79D02B">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153. Love-Osborne KA, Nadeau KJ, Sheeder J, Fenton LZ, Zeitler P. Presence of the metabolic syndrome in obese adolescents predicts impaired glucose tolerance and nonalcoholic fatty liver disease. J Adolesc Health 2008; 42(6): 543-8.</w:t>
      </w:r>
    </w:p>
    <w:p w14:paraId="622F75CD">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154. Shalitin S, Phillip M. Frequency of cardiovascular risk factors in obese children and adolescents referred to a tertiary care center in Israel. Horm Res 2008; 69(3): 152-9.</w:t>
      </w:r>
    </w:p>
    <w:p w14:paraId="4603235F">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155. Nichols PH, Pan Y, May B, et al. Effect of TSH on Non-Alcoholic Fatty Liver Disease (NAFLD) independent of obesity in children of predominantly Hispanic/Latino ancestry by causal mediation analysis. PLoS One 2020; 15(6): e0234985.</w:t>
      </w:r>
    </w:p>
    <w:p w14:paraId="322202B1">
      <w:pPr>
        <w:jc w:val="both"/>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156. Barretto JR, Boa-Sorte N, Vinhaes CL, et al. Heightened Plasma Levels of Transforming Growth Factor Beta (TGF-beta) and Increased Degree of Systemic Biochemical Perturbation Characterizes Hepatic Steatosis in Overweight Pediatric Patients: A Cross-Sectional Study. Nutrients 2020; 12(6).</w:t>
      </w:r>
    </w:p>
    <w:p w14:paraId="5352A885">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Adibi A, Kelishadi R, Beihaghi A, Salehi H, Talaei M. Sonographic fatty liver in overweight and obese children, a cross sectional study in Isfahan. Endokrynol Pol 2009; 60(1): 14-9.</w:t>
      </w:r>
    </w:p>
    <w:p w14:paraId="041D5CE5">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Alavian SM, Mohammad-Alizadeh AH, Esna-Ashari F, Ardalan G, Hajarizadeh B. Non-alcoholic fatty liver disease prevalence among school-aged children and adolescents in Iran and its association with biochemical and anthropometric measures. Liver Int 2009; 29(2): 159-63.</w:t>
      </w:r>
    </w:p>
    <w:p w14:paraId="64843AE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Parray IA. Ultrasonographic Prevalence of Non Alcoholic Fatty Liver Disease (Nafld) in Kashmir Valley School Children Int J Sci 2013; 2(3): 229-301.</w:t>
      </w:r>
    </w:p>
    <w:p w14:paraId="6F14978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Pawar SV, Zanwar VG, Choksey AS, et al. Most overweight and obese Indian children have nonalcoholic fatty liver disease. Ann Hepatol 2016; 15(6): 853-61.</w:t>
      </w:r>
    </w:p>
    <w:p w14:paraId="11ACA06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Geurtsen ML, Santos S, Felix JF, et al. Liver Fat and Cardiometabolic Risk Factors Among School-Age Children. Hepatology 2019.</w:t>
      </w:r>
    </w:p>
    <w:p w14:paraId="107EEF09">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Kazemi SA. Assessment of the Relationship Between Prevalence of Reporting Fatty Liver Disease by Ultrasound and Body Mass Index in Children. Iran J Pediatr 2017; 27(1): 1-4.</w:t>
      </w:r>
    </w:p>
    <w:p w14:paraId="35145C58">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Fu CC, Chen MC, Li YM, Liu TT, Wang LY. The risk factors for ultrasound-diagnosed non-alcoholic fatty liver disease among adolescents. Ann Acad Med Singapore 2009; 38(1): 15-7.</w:t>
      </w:r>
    </w:p>
    <w:p w14:paraId="3E9EE2A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 xml:space="preserve">Khalkhali HR. Estimating Steatosis Prevalence in Overweight and Obese </w:t>
      </w:r>
    </w:p>
    <w:p w14:paraId="0C8219F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 xml:space="preserve">Children: Comparison of Bayesian Small Area and Direct </w:t>
      </w:r>
    </w:p>
    <w:p w14:paraId="7353F41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Methods. Int J  Pediatrics 2016; 4(9): 3391-97.</w:t>
      </w:r>
    </w:p>
    <w:p w14:paraId="6FA6E41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Lin MS, Lin TH, Guo SE, et al. Waist-to-height ratio is a useful index for nonalcoholic fatty liver disease in children and adolescents: a secondary data analysis. BMC Public Health 2017; 17(1): 851.</w:t>
      </w:r>
    </w:p>
    <w:p w14:paraId="0BE4FFF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Lin YC, Chang PF, Chang MH, Ni YH. A common variant in the peroxisome proliferator-activated receptor-gamma coactivator-1alpha gene is associated with nonalcoholic fatty liver disease in obese children. Am J Clin Nutr 2013; 97(2): 326-31.</w:t>
      </w:r>
    </w:p>
    <w:p w14:paraId="61C7E92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Tominaga K, Kurata JH, Chen YK, et al. Prevalence of fatty liver in Japanese children and relationship to obesity. An epidemiological ultrasonographic survey. Dig Dis Sci 1995; 40(9): 2002-9.</w:t>
      </w:r>
    </w:p>
    <w:p w14:paraId="603AB92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Monteiro PA, de Moura Mello Antunes B, Silveira LS, Christofaro DGD, Fernandes RA, Freitas IF. Body composition variables as predictors of NAFLD by ultrasound in obese children and adolescents. BMC Pediatr 2014; 14(1).</w:t>
      </w:r>
    </w:p>
    <w:p w14:paraId="0797D99E">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Namakin K. Prevalence of Non-Alcoholic Fatty Liver Disease (NAFLD) and its Clinical Characteristics in Overweight and Obese Children in the South East of Iran, 2017. Hepat Mon 2018; 18(12): e83525.</w:t>
      </w:r>
    </w:p>
    <w:p w14:paraId="3C92731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Nier A, Brandt A, Conzelmann IB, Ozel Y, Bergheim I. Non-Alcoholic Fatty Liver Disease in Overweight Children: Role of Fructose Intake and Dietary Pattern. Nutrients 2018; 10(9).</w:t>
      </w:r>
    </w:p>
    <w:p w14:paraId="3F02074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Ramzan M. Sonographic Assessment of Hepatic Steatosis (Fatty Liver) in&lt; School Children of Dera Ismail Khan City (NWFP) Pakistan. Pak J Nutr 2009; 8(6): 797-9.</w:t>
      </w:r>
    </w:p>
    <w:p w14:paraId="5EC663B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Fernandes MT, Ferraro AA, de Azevedo RA, Fagundes Neto U. Metabolic differences between male and female adolescents with non-alcoholic fatty liver disease, as detected by ultrasound. Acta Paediatr 2010; 99(8): 1218-23.</w:t>
      </w:r>
    </w:p>
    <w:p w14:paraId="452D008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Black LJ, Jacoby P, She Ping-Delfos WC, et al. Low serum 25-hydroxyvitamin D concentrations associate with non-alcoholic fatty liver disease in adolescents independent of adiposity. J Gastroenterol Hepatol 2014; 29(6): 1215-22.</w:t>
      </w:r>
    </w:p>
    <w:p w14:paraId="2493D0CE">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Walker RW, Sinatra F, Hartiala J, et al. Genetic and clinical markers of elevated liver fat content in overweight and obese Hispanic children. Obesity (Silver Spring) 2013; 21(12): E790-7.</w:t>
      </w:r>
    </w:p>
    <w:p w14:paraId="30B3128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Zhang X, Wan Y, Zhang S, et al. Nonalcoholic fatty liver disease prevalence in urban school-aged children and adolescents from the Yangtze River delta region: a cross-sectional study. Asia Pac J Clin Nutr 2015; 24(2): 281-8.</w:t>
      </w:r>
    </w:p>
    <w:p w14:paraId="3BE326A5">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Tsuruta G, Tanaka N, Hongo M, et al. Nonalcoholic fatty liver disease in Japanese junior high school students: its prevalence and relationship to lifestyle habits. J Gastroenterol 2010; 45(6): 666-72.</w:t>
      </w:r>
    </w:p>
    <w:p w14:paraId="5308160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Zhao YZ, Gan YG, Zhou JL, et al. Accuracy of multi-echo Dixon sequence in quantification of hepatic steatosis in Chinese children and adolescents. World J Gastroenterol 2019; 25(12): 1513-23.</w:t>
      </w:r>
    </w:p>
    <w:p w14:paraId="2475486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Dai D, Wen F, Zhou S, et al. Association of MTTP gene variants with pediatric NAFLD: A candidate-gene-based analysis of single nucleotide variations in obese children. PLoS One 2017; 12(9): e0185396.</w:t>
      </w:r>
    </w:p>
    <w:p w14:paraId="36DB3E4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Huang SC, Yang YJ. Serum retinol-binding protein 4 is independently associated with pediatric NAFLD and fasting triglyceride level. J Pediatr Gastroenterol Nutr 2013; 56(2): 145-50.</w:t>
      </w:r>
    </w:p>
    <w:p w14:paraId="70013C8E">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Kim IK, Kim J, Kang JH, Song J. Serum leptin as a predictor of fatty liver in 7-year-old Korean children. Ann Nutr Metab 2008; 53(2): 109-16.</w:t>
      </w:r>
    </w:p>
    <w:p w14:paraId="29FC657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Lin YC, Chang PF, Hu FC, Chang MH, Ni YH. Variants in the UGT1A1 gene and the risk of pediatric nonalcoholic fatty liver disease. Pediatrics 2009; 124(6): e1221-7.</w:t>
      </w:r>
    </w:p>
    <w:p w14:paraId="5E9B3B3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Monteiro PA, Mota J, Silveira LS, et al. Morphological and metabolic determinants of nonalcoholic fatty liver disease in obese youth: a pilot study. BMC Res Notes 2013; 6: 89.</w:t>
      </w:r>
    </w:p>
    <w:p w14:paraId="732A54B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Berna-Serna JD, Sanchez-Jimenez R, Velazquez-Marin F, et al. Acoustic radiation force impulse imaging for detection of liver fibrosis in overweight and obese children. Acta Radiol 2018; 59(2): 247-53.</w:t>
      </w:r>
    </w:p>
    <w:p w14:paraId="330B75C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Shashaj B, Bedogni G, Graziani MP, et al. Origin of cardiovascular risk in overweight preschool children: a cohort study of cardiometabolic risk factors at the onset of obesity. JAMA Pediatr 2014; 168(10): 917-24.</w:t>
      </w:r>
    </w:p>
    <w:p w14:paraId="69CE4465">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29.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Kao JT, Wang JH, Hung CH, et al. Changing aetiology of liver dysfunction in the new generation of a hepatitis B and C-endemic area: cross-sectional studies on adolescents born in the first 10 years after universal hepatitis B vaccination. Liver Int 2008; 28(9): 1298-304.</w:t>
      </w:r>
    </w:p>
    <w:p w14:paraId="568D0EB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Akcam M, Boyaci A, Pirgon O, Koroglu M, Dundar BN. Importance of the liver ultrasound scores in pubertal obese children with nonalcoholic fatty liver disease. Clin Imaging 2013; 37(3): 504-8.</w:t>
      </w:r>
    </w:p>
    <w:p w14:paraId="662F5CF8">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Alp H, Karaarslan S, Selver Eklioglu B, Atabek ME, Altin H, Baysal T. Association between nonalcoholic fatty liver disease and cardiovascular risk in obese children and adolescents. Can J Cardiol 2013; 29(9): 1118-25.</w:t>
      </w:r>
    </w:p>
    <w:p w14:paraId="6B87A8F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Arenaza L, Medrano M, Oses M, et al. Dietary determinants of hepatic fat content and insulin resistance in overweight/obese children: a cross-sectional analysis of the Prevention of Diabetes in Kids (PREDIKID) study. Br J Nutr 2019; 121(10): 1158-65.</w:t>
      </w:r>
    </w:p>
    <w:p w14:paraId="2D7460B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Arslan N, Buyukgebiz B, Ozturk Y, Cakmakci H. Fatty liver in obese children: prevalence and correlation with anthropometric measurements and hyperlipidemia. Turk J Pediatr 2005; 47(1): 23-7.</w:t>
      </w:r>
    </w:p>
    <w:p w14:paraId="23D2CAF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Boyraz M, Hatipoglu N, Sari E, et al. Non-alcoholic fatty liver disease in obese children and the relationship between metabolic syndrome criteria. Obes Res Clin Pract 2014; 8(4): e356-63.</w:t>
      </w:r>
    </w:p>
    <w:p w14:paraId="52F9D53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Fu JF, Shi HB, Liu LR, et al. Non-alcoholic fatty liver disease: An early mediator predicting metabolic syndrome in obese children? World J Gastroenterol 2011; 17(6): 735-42.</w:t>
      </w:r>
    </w:p>
    <w:p w14:paraId="463ECF4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Atabek ME, Selver Eklioglu B, Akyurek N. Which metabolic syndrome criteria best predict non-alcoholic fatty liver disease in children? Eat Weight Disord 2014; 19(4): 495-501.</w:t>
      </w:r>
    </w:p>
    <w:p w14:paraId="2392684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Bedogni G, Gastaldelli A, Manco M, et al. Relationship between fatty liver and glucose metabolism: a cross-sectional study in 571 obese children. Nutr Metab Cardiovasc Dis 2012; 22(2): 120-6.</w:t>
      </w:r>
    </w:p>
    <w:p w14:paraId="1F18BB14">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Belei O, Olariu L, Dobrescu A, Marcovici T, Marginean O. The relationship between non-alcoholic fatty liver disease and small intestinal bacterial overgrowth among overweight and obese children and adolescents. J Pediatr Endocrinol Metab 2017; 30(11): 1161-8.</w:t>
      </w:r>
    </w:p>
    <w:p w14:paraId="7120947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39.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Benetolo PO, Fernandes MIM, Ciampo I, Elias-Junior J, Sawamura R. Evaluation of nonalcoholic fatty liver disease using magnetic resonance in obese children and adolescents. J Pediatr (Rio J) 2019; 95(1): 34-40.</w:t>
      </w:r>
    </w:p>
    <w:p w14:paraId="45D5B5B5">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Burgert TS, Taksali SE, Dziura J, et al. Alanine aminotransferase levels and fatty liver in childhood obesity: associations with insulin resistance, adiponectin, and visceral fat. J Clin Endocrinol Metab 2006; 91(11): 4287-94.</w:t>
      </w:r>
    </w:p>
    <w:p w14:paraId="16FFAE4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Cardoso AS, Gonzaga NC, Medeiros CC, Carvalho DF. Association of uric acid levels with components of metabolic syndrome and non-alcoholic fatty liver disease in overweight or obese children and adolescents. J Pediatr (Rio J) 2013; 89(4): 412-8.</w:t>
      </w:r>
    </w:p>
    <w:p w14:paraId="33B1750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Chan DF, Li AM, Chu WC, et al. Hepatic steatosis in obese Chinese children. Int J Obes Relat Metab Disord 2004; 28(10): 1257-63.</w:t>
      </w:r>
    </w:p>
    <w:p w14:paraId="7FA1E8F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Daar G, Serin HI, Ede H, Husrevsahi H. Association between the corrected QT interval, carotid artery intima-media thickness, and hepatic steatosis in obese children. Anatol J Cardiol 2016; 16(7): 524-8.</w:t>
      </w:r>
    </w:p>
    <w:p w14:paraId="5045C4F3">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Das MK, Bhatia V, Sibal A, et al. Prevalence of Nonalcoholic Fatty Liver Disease in Normal-weight and Overweight Preadolescent Children in Haryana, India. Indian Pediatr 2017; 54(12): 1012-6.</w:t>
      </w:r>
    </w:p>
    <w:p w14:paraId="6C7A71F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Zusi C, Mantovani A, Olivieri F, et al. Contribution of a genetic risk score to clinical prediction of hepatic steatosis in obese children and adolescents. Dig Liver Dis 2019; 51(11): 1586-92.</w:t>
      </w:r>
    </w:p>
    <w:p w14:paraId="0952475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Di Costanzo A, Pacifico L, Chiesa C, et al. Genetic and metabolic predictors of hepatic fat content in a cohort of Italian children with obesity. Pediatr Res 2019; 85(5): 671-7.</w:t>
      </w:r>
    </w:p>
    <w:p w14:paraId="7F20722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Dursun F GN, Su Dur SM, Kirmizibekmez H. The relation between vitamin D level and hepatosteatosis in obese  children. North Clin Istanb 2019; 6(1): 28-32.</w:t>
      </w:r>
    </w:p>
    <w:p w14:paraId="7AA02FF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el-Karaksy HM, el-Koofy NM, Anwar GM, el-Mougy FM, el-Hennawy A, Fahmy ME. Predictors of non-alcoholic fatty liver disease in obese and overweight Egyptian children: single center study. Saudi J Gastroenterol 2011; 17(1): 40-6.</w:t>
      </w:r>
    </w:p>
    <w:p w14:paraId="3904DA2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49.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Eminoglu TF, Camurdan OM, Oktar SO, Bideci A, Dalgic B. Factors related to non-alcoholic fatty liver disease in obese children. Turk J Gastroenterol 2008; 19(2): 85-91.</w:t>
      </w:r>
    </w:p>
    <w:p w14:paraId="3FAB22A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Erol M, Bostan Gayret O, Tekin Nacaroglu H, et al. Association of Osteoprotegerin with Obesity, Insulin Resistance and Non-Alcoholic Fatty Liver Disease in Children. Iran Red Crescent Med J 2016; 18(11): e41873.</w:t>
      </w:r>
    </w:p>
    <w:p w14:paraId="44EC3AE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Felix DR, Costenaro F, Gottschall CB, Coral GP. Non-alcoholic fatty liver disease (Nafld) in obese children- effect of refined carbohydrates in diet. BMC Pediatr 2016; 16(1): 187.</w:t>
      </w:r>
    </w:p>
    <w:p w14:paraId="1D71F80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Ferraioli G, Calcaterra V, Lissandrin R, et al. Noninvasive assessment of liver steatosis in children: the clinical value of controlled attenuation parameter. BMC Gastroenterol 2017; 17(1): 61.</w:t>
      </w:r>
    </w:p>
    <w:p w14:paraId="7754CD4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Fonvig CE, Chabanova E, Andersson EA, et al. 1H-MRS Measured Ectopic Fat in Liver and Muscle in Danish Lean and Obese Children and Adolescents. PLoS One 2015; 10(8): e0135018.</w:t>
      </w:r>
    </w:p>
    <w:p w14:paraId="14848A2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Gheibi S. Prevalence and Predictors of Non-Alcoholic Fatty Liver Disease in Obese and Overweight Children in the Northwest of Iran. Hepat Mon 2019; 19(10): e92199.</w:t>
      </w:r>
    </w:p>
    <w:p w14:paraId="0D055CC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Hamza RT, Elfaramawy AA, Mahmoud NH. Serum Pentraxin 3 Fragment as a Noninvasive Marker of Nonalcoholic Fatty Liver Disease in Obese Children and Adolescents. Horm Res Paediatr 2016; 86(1): 11-20.</w:t>
      </w:r>
    </w:p>
    <w:p w14:paraId="7840DCC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Han X, Xu P, Zhou J, Liu Y, Xu H. Fasting C-peptide is a significant indicator of nonalcoholic fatty liver disease in obese children. Diabetes Res Clin Pract 2020; 160: 108027.</w:t>
      </w:r>
    </w:p>
    <w:p w14:paraId="0BFEE8B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Hatipoglu N, Dogan S, Mazicioglu MM, Kurtoglu S. Relationship between Neck Circumference and Non-Alcoholic Fatty Liver Disease in Childhood Obesity. J Clin Res Pediatr Endocrinol 2016; 8(1): 32-9.</w:t>
      </w:r>
    </w:p>
    <w:p w14:paraId="49327484">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Hu W, Wang M, Yin C, Li S, Liu Y, Xiao Y. Serum complement factor 5a levels are associated with nonalcoholic fatty liver disease in obese children. Acta Paediatr 2018; 107(2): 322-7.</w:t>
      </w:r>
    </w:p>
    <w:p w14:paraId="5B03428F">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59.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Jimenez-Rivera C, Hadjiyannakis S, Davila J, et al. Prevalence and risk factors for non-alcoholic fatty liver in children and youth with obesity. BMC Pediatr 2017; 17(1): 113.</w:t>
      </w:r>
    </w:p>
    <w:p w14:paraId="13E78894">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Kaltenbach TE, Graeter T, Oeztuerk S, et al. Thyroid dysfunction and hepatic steatosis in overweight children and adolescents. Pediatr Obes 2017; 12(1): 67-74.</w:t>
      </w:r>
    </w:p>
    <w:p w14:paraId="54636EF8">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Wiegand S, Keller KM, Robl M, et al. Obese boys at increased risk for nonalcoholic liver disease: evaluation of 16,390 overweight or obese children and adolescents. Int J Obes (Lond) 2010; 34(10): 1468-74.</w:t>
      </w:r>
    </w:p>
    <w:p w14:paraId="7E2F751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Zhang HX, Xu XQ, Fu JF, Lai C, Chen XF. Predicting hepatic steatosis and liver fat content in obese children based on biochemical parameters and anthropometry. Pediatr Obes 2015; 10(2): 112-7.</w:t>
      </w:r>
    </w:p>
    <w:p w14:paraId="2796086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Kim JY, Cho J, Yang HR. Biochemical Predictors of Early Onset Non-Alcoholic Fatty Liver Disease in Young Children with Obesity. J Korean Med Sci 2018; 33(16): e122.</w:t>
      </w:r>
    </w:p>
    <w:p w14:paraId="66E8597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Kistler KD, Molleston J, Unalp A, et al. Symptoms and quality of life in obese children and adolescents with non-alcoholic fatty liver disease. Aliment Pharmacol Ther 2010; 31(3): 396-406.</w:t>
      </w:r>
    </w:p>
    <w:p w14:paraId="6B13615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Kodhelaj K, Resuli B, Petrela E, Malaj V, Jaze H. Non-alcoholic fatty liver disease and non-alcoholic steatohepatitis in Albanian overweight children. Minerva Pediatr 2014; 66(1): 23-30.</w:t>
      </w:r>
    </w:p>
    <w:p w14:paraId="22D2260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Labayen I, Ruiz JR, Arenaza L, et al. Hepatic fat content and bone mineral density in children with overweight/obesity. Pediatr Res 2018; 84(5): 684-8.</w:t>
      </w:r>
    </w:p>
    <w:p w14:paraId="1533DF59">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Lee JH, Jeong SJ. What is the appropriate strategy for diagnosing NAFLD using ultrasonography in obese children? World J Pediatr 2017; 13(3): 248-54.</w:t>
      </w:r>
    </w:p>
    <w:p w14:paraId="68B8BEF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Liang S, Cheng X, Hu Y, Song R, Li G. Insulin-like growth factor 1 and metabolic parameters are associated with nonalcoholic fatty liver disease in obese children and adolescents. Acta Paediatr 2017; 106(2): 298-303.</w:t>
      </w:r>
    </w:p>
    <w:p w14:paraId="060E04D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69.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Mameli C, Krakauer NY, Krakauer JC, et al. The association between a body shape index and cardiovascular risk in overweight and obese children and adolescents. PLoS One 2018; 13(1): e0190426.</w:t>
      </w:r>
    </w:p>
    <w:p w14:paraId="2419BD1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de Piano A, Prado WL, Caranti DA, et al. Metabolic and nutritional profile of obese adolescents with nonalcoholic fatty liver disease. J Pediatr Gastroenterol Nutr 2007; 44(4): 446-52.</w:t>
      </w:r>
    </w:p>
    <w:p w14:paraId="2851B84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Mohamed RZ, Jalaludin MY, Anuar Zaini A. Predictors of non-alcoholic fatty liver disease (NAFLD) among children with obesity. J Pediatr Endocrinol Metab 2020; 33(2): 247-53.</w:t>
      </w:r>
    </w:p>
    <w:p w14:paraId="1B0027B3">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Taghavi Ardakani A SM, Kheirkhah D. Fatty liver disease in obese children in Kashan, Iran. Caspian J of Pediatr 2015; 1(1): 17-21.</w:t>
      </w:r>
    </w:p>
    <w:p w14:paraId="2FDC7073">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Navarro-Jarabo JM, Ubina-Aznar E, Tapia-Ceballos L, et al. Hepatic steatosis and severity-related factors in obese children. J Gastroenterol Hepatol 2013; 28(9): 1532-8.</w:t>
      </w:r>
    </w:p>
    <w:p w14:paraId="7CE33C4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Franzese A, Vajro P, Argenziano A, et al. Liver involvement in obese children. Ultrasonography and liver enzyme levels at diagnosis and during follow-up in an Italian population. Dig Dis Sci 1997; 42(7): 1428-32.</w:t>
      </w:r>
    </w:p>
    <w:p w14:paraId="6341247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Guzzaloni G, Grugni G, Minocci A, Moro D, Morabito F. Liver steatosis in juvenile obesity: correlations with lipid profile, hepatic biochemical parameters and glycemic and insulinemic responses to an oral glucose tolerance test. Int J Obes Relat Metab Disord 2000; 24(6): 772-6.</w:t>
      </w:r>
    </w:p>
    <w:p w14:paraId="7AEF0CD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Oh MS, Kim S, Lee J, Lee MS, Kim YJ, Kang KS. Factors associated with Advanced Bone Age in Overweight and Obese Children. Pediatr Gastroenterol Hepatol Nutr 2020; 23(1): 89-97.</w:t>
      </w:r>
    </w:p>
    <w:p w14:paraId="0696D48E">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Ozhan B, Ersoy B, Ozkol M, Kiremitci S, Ergin A. Waist to height ratio: a simple screening tool for nonalcoholic fatty liver disease in obese children. Turk J Pediatr 2016; 58(5): 518-23.</w:t>
      </w:r>
    </w:p>
    <w:p w14:paraId="23966C5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Pacifico L, Bonci E, Andreoli GM, et al. The Impact of Nonalcoholic Fatty Liver Disease on Renal Function in Children with Overweight/Obesity. Int J Mol Sci 2016; 17(8).</w:t>
      </w:r>
    </w:p>
    <w:p w14:paraId="0687AD2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Papandreou D, Karabouta Z, Rousso I. Are dietary cholesterol intake and serum cholesterol levels related to nonalcoholic Fatty liver disease in obese children? Cholesterol 2012; 2012: 572820.</w:t>
      </w:r>
    </w:p>
    <w:p w14:paraId="082F2FC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Pozzato C, Radaelli G, Dall'Asta C, et al. MRI in identifying hepatic steatosis in obese children and relation to ultrasonography and metabolic findings. J Pediatr Gastroenterol Nutr 2008; 47(4): 493-9.</w:t>
      </w:r>
    </w:p>
    <w:p w14:paraId="0B414E7E">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Sagi R, Reif S, Neuman G, Webb M, Phillip M, Shalitin S. Nonalcoholic fatty liver disease in overweight children and adolescents. Acta Paediatr 2007; 96(8): 1209-13.</w:t>
      </w:r>
    </w:p>
    <w:p w14:paraId="2863328F">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Prokopowicz Z. Predictive Value of Adiposity Level, Metabolic Syndrome, and Insulin Resistance for the Risk of Nonalcoholic Fatty Liver Disease Diagnosis in Obese Children. CAN J GASTROENTEROL 2018; 2018: 1-8.</w:t>
      </w:r>
    </w:p>
    <w:p w14:paraId="2094BA1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Radetti G, Kleon W, Stuefer J, Pittschieler K. Non-alcoholic fatty liver disease in obese children evaluated by magnetic resonance imaging. Acta Paediatr 2006; 95(7): 833-7.</w:t>
      </w:r>
    </w:p>
    <w:p w14:paraId="1D0022F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Ruiz-Extremera A, Carazo A, Salmeron A, et al. Factors associated with hepatic steatosis in obese children and adolescents. J Pediatr Gastroenterol Nutr 2011; 53(2): 196-201.</w:t>
      </w:r>
    </w:p>
    <w:p w14:paraId="5B91385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Schlieske C, Denzer C, Wabitsch M, et al. Sonographically measured suprailiac adipose tissue is a useful predictor of non-alcoholic fatty liver disease in obese children and adolescents. Pediatr Obes 2015; 10(4): 260-6.</w:t>
      </w:r>
    </w:p>
    <w:p w14:paraId="1A3C0B1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Damaso AR, do Prado WL, de Piano A, et al. Relationship between nonalcoholic fatty liver disease prevalence and visceral fat in obese adolescents. Dig Liver Dis 2008; 40(2): 132-9.</w:t>
      </w:r>
    </w:p>
    <w:p w14:paraId="5AECD21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Jung JH, Jung MK, Kim KE, et al. Ultrasound measurement of pediatric visceral fat thickness: correlations with metabolic and liver profiles. Ann Pediatr Endocrinol Metab 2016; 21(2): 75-80.</w:t>
      </w:r>
    </w:p>
    <w:p w14:paraId="23B07E59">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Sezer OB, Bulus D, Hizli S, Andiran N, Yilmaz D, Ramadan SU. Low 25-hydroxyvitamin D level is not an independent risk factor for hepatosteatosis in obese children. J Pediatr Endocrinol Metab 2016; 29(7): 783-8.</w:t>
      </w:r>
    </w:p>
    <w:p w14:paraId="2F5FB6E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89.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Yildiz I, Erol OB, Toprak S, et al. Role of vitamin D in children with hepatosteatosis. J Pediatr Gastroenterol Nutr 2014; 59(1): 106-11.</w:t>
      </w:r>
    </w:p>
    <w:p w14:paraId="0546EB53">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Pirgon O, Cekmez F, Bilgin H, Eren E, Dundar B. Low 25-hydroxyvitamin D level is associated with insulin sensitivity in obese adolescents with non-alcoholic fatty liver disease. Obes Res Clin Pract 2013; 7(4): e275-83.</w:t>
      </w:r>
    </w:p>
    <w:p w14:paraId="3D2100C5">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Cali AM, Zern TL, Taksali SE, et al. Intrahepatic fat accumulation and alterations in lipoprotein composition in obese adolescents: a perfect proatherogenic state. Diabetes Care 2007; 30(12): 3093-8.</w:t>
      </w:r>
    </w:p>
    <w:p w14:paraId="2A8D3C09">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Shi JQ, Shen WX, Wang XZ, Huang K, Zou CC. Relationship Between Immune Parameters and Non-alcoholic Fatty Liver Disease in Obese Children. Indian Pediatr 2017; 54(10): 825-9.</w:t>
      </w:r>
    </w:p>
    <w:p w14:paraId="4A02C8E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Torun E, Aydin S, Gokce S, Ozgen IT, Donmez T, Cesur Y. Carotid intima-media thickness and flow-mediated dilation in obese children with non-alcoholic fatty liver disease. Turk J Gastroenterol 2014; 25 Suppl 1: 92-8.</w:t>
      </w:r>
    </w:p>
    <w:p w14:paraId="72BC148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Üstyol A. Association of Serum Triglyceride-to-High-density  Lipoprotein Cholesterol Ratio with Insulin Resistance  and Non-alcoholic Fatty Liver Disease in Children and  Adolescents. Med Bull Hasek 2017; 55: 286-91.</w:t>
      </w:r>
    </w:p>
    <w:p w14:paraId="17745D44">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Vakilishahrbabaki H-S. Association between Non-Alcoholic Fatty Liver Disease and Carotid Intima-Media Thickness in Overweight and Obese Children J res med dent sci 2018; 6(3): 313-8.</w:t>
      </w:r>
    </w:p>
    <w:p w14:paraId="166B4068">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Trico D, Caprio S, Rosaria Umano G, et al. Metabolic Features of Nonalcoholic Fatty Liver (NAFL) in Obese Adolescents: Findings From a Multiethnic Cohort. Hepatology 2018; 68(4): 1376-90.</w:t>
      </w:r>
    </w:p>
    <w:p w14:paraId="1F8D390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Wang R, Yang F, Qing L, Huang R, Liu Q, Li X. Decreased serum neuregulin 4 levels associated with non-alcoholic fatty liver disease in children with obesity. Clin Obes 2019; 9(1): e12289.</w:t>
      </w:r>
    </w:p>
    <w:p w14:paraId="47D0C9F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Yang HR, Chang EJ. Insulin resistance, body composition, and fat distribution in obese children with nonalcoholic fatty liver disease. Asia Pac J Clin Nutr 2016; 25(1): 126-33.</w:t>
      </w:r>
    </w:p>
    <w:p w14:paraId="26CB5B3F">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99.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Silveira LS, Monteiro PA, Antunes Bde M, et al. Intra-abdominal fat is related to metabolic syndrome and non-alcoholic fat liver disease in obese youth. BMC Pediatr 2013; 13: 115.</w:t>
      </w:r>
    </w:p>
    <w:p w14:paraId="730B9BE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Wasilewska N, Bobrus-Chociej A, Harasim-Symbor E, et al. Increased serum concentration of ceramides in obese children with nonalcoholic fatty liver disease. Lipids Health Dis 2018; 17(1): 216.</w:t>
      </w:r>
    </w:p>
    <w:p w14:paraId="61F74E6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Yang HR, Yi DY, Choi HS. Comparison between a pediatric health promotion center and a pediatric obesity clinic in detecting metabolic syndrome and non-alcoholic fatty liver disease in children. J Korean Med Sci 2014; 29(12): 1672-7.</w:t>
      </w:r>
    </w:p>
    <w:p w14:paraId="3E590D6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Gronbaek H, Lange A, Birkebaek NH, et al. Effect of a 10-week weight loss camp on fatty liver disease and insulin sensitivity in obese Danish children. J Pediatr Gastroenterol Nutr 2012; 54(2): 223-8.</w:t>
      </w:r>
    </w:p>
    <w:p w14:paraId="7340E7A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Saad V, Wicklow B, Wittmeier K, et al. A clinically relevant method to screen for hepatic steatosis in overweight adolescents: a cross sectional study. BMC Pediatr 2015; 15: 151.</w:t>
      </w:r>
    </w:p>
    <w:p w14:paraId="3FAEB1E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Zou CC, Liang L, Hong F, Fu JF, Zhao ZY. Serum adiponectin, resistin levels and non-alcoholic fatty liver disease in obese children. Endocr J 2005; 52(5): 519-24.</w:t>
      </w:r>
    </w:p>
    <w:p w14:paraId="7670249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Bohte AE, Koot BG, van der Baan-Slootweg OH, et al. US cannot be used to predict the presence or severity of hepatic steatosis in severely obese adolescents. Radiology 2012; 262(1): 327-34.</w:t>
      </w:r>
    </w:p>
    <w:p w14:paraId="1B1C6E69">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Chiloiro M, Riezzo G, Chiarappa S, et al. Relationship among fatty liver, adipose tissue distribution and metabolic profile in moderately obese children: an ultrasonographic study. Curr Pharm Des 2008; 14(26): 2693-8.</w:t>
      </w:r>
    </w:p>
    <w:p w14:paraId="481C079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de Silva KS, Wickramasinghe VP, Gooneratne IN. Metabolic consequences of childhood obesity--a preliminary report. Ceylon Med J 2006; 51(3): 105-9.</w:t>
      </w:r>
    </w:p>
    <w:p w14:paraId="7D6AAC5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Denzer C, Thiere D, Muche R, et al. Gender-specific prevalences of fatty liver in obese children and adolescents: roles of body fat distribution, sex steroids, and insulin resistance. J Clin Endocrinol Metab 2009; 94(10): 3872-81.</w:t>
      </w:r>
    </w:p>
    <w:p w14:paraId="5E5DF64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109.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Hacihamdioglu B, Okutan V, Yozgat Y, et al. Abdominal obesity is an independent risk factor for increased carotid intima- media thickness in obese children. Turk J Pediatr 2011; 53(1): 48-54.</w:t>
      </w:r>
    </w:p>
    <w:p w14:paraId="37ADAC7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Kim JS, Le KA, Mahurkar S, Davis JN, Goran MI. Influence of elevated liver fat on circulating adipocytokines and insulin resistance in obese Hispanic adolescents. Pediatr Obes 2012; 7(2): 158-64.</w:t>
      </w:r>
    </w:p>
    <w:p w14:paraId="4B7482B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El-Koofy NM, Anwar GM, El-Raziky MS, et al. The association of metabolic syndrome, insulin resistance and non-alcoholic fatty liver disease in overweight/obese children. Saudi J Gastroenterol 2012; 18(1): 44-9.</w:t>
      </w:r>
    </w:p>
    <w:p w14:paraId="02A4018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Ozkol M, Ersoy B, Kasirga E, Taneli F, Bostanci IE, Ozhan B. Metabolic predictors for early identification of fatty liver using doppler and B-mode ultrasonography in overweight and obese adolescents. Eur J Pediatr 2010; 169(11): 1345-52.</w:t>
      </w:r>
    </w:p>
    <w:p w14:paraId="722485E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Papandreou D, Rousso I, Malindretos P, et al. Are saturated fatty acids and insulin resistance associated with fatty liver in obese children? Clin Nutr 2008; 27(2): 233-40.</w:t>
      </w:r>
    </w:p>
    <w:p w14:paraId="06C347D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Perseghin G, Bonfanti R, Magni S, et al. Insulin resistance and whole body energy homeostasis in obese adolescents with fatty liver disease. Am J Physiol Endocrinol Metab 2006; 291(4): E697-703.</w:t>
      </w:r>
    </w:p>
    <w:p w14:paraId="237D904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Reinehr T, Roth CL. Fetuin-A and its relation to metabolic syndrome and fatty liver disease in obese children before and after weight loss. J Clin Endocrinol Metab 2008; 93(11): 4479-85.</w:t>
      </w:r>
    </w:p>
    <w:p w14:paraId="224FFCB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Tock L, Prado WL, Caranti DA, et al. Nonalcoholic fatty liver disease decrease in obese adolescents after multidisciplinary therapy. Eur J Gastroenterol Hepatol 2006; 18(12): 1241-5.</w:t>
      </w:r>
    </w:p>
    <w:p w14:paraId="38C5A4A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Xanthakos S, Miles L, Bucuvalas J, Daniels S, Garcia V, Inge T. Histologic spectrum of nonalcoholic fatty liver disease in morbidly obese adolescents. Clin Gastroenterol Hepatol 2006; 4(2): 226-32.</w:t>
      </w:r>
    </w:p>
    <w:p w14:paraId="425C508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Boza C, Viscido G, Salinas J, Crovari F, Funke R, Perez G. Laparoscopic sleeve gastrectomy in obese adolescents: results in 51 patients. Surg Obes Relat Dis 2012; 8(2): 133-7; discussion 7-9.</w:t>
      </w:r>
    </w:p>
    <w:p w14:paraId="0A57C66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119.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Koot BG, van der Baan-Slootweg OH, Tamminga-Smeulders CL, et al. Lifestyle intervention for non-alcoholic fatty liver disease: prospective cohort study of its efficacy and factors related to improvement. Arch Dis Child 2011; 96(7): 669-74.</w:t>
      </w:r>
    </w:p>
    <w:p w14:paraId="46E5C8F4">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Alqahtani A, Elahmedi M, Alswat K, Arafah M, Fagih M, Lee J. Features of nonalcoholic steatohepatitis in severely obese children and adolescents undergoing sleeve gastrectomy. Surg Obes Relat Dis 2017; 13(9): 1599-609.</w:t>
      </w:r>
    </w:p>
    <w:p w14:paraId="729D9FC5">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Bobrus-Chociej A, Flisiak-Jackiewicz M, Daniluk U, et al. Estimation of gamma-glutamyl transferase as a suitable simple biomarker of the cardiovascular risk in children with non-alcoholic fatty liver disease. Acta Biochim Pol 2018; 65(4): 539-44.</w:t>
      </w:r>
    </w:p>
    <w:p w14:paraId="607BAF7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Deeb A, Attia S, Mahmoud S, Elhaj G, Elfatih A. Dyslipidemia and Fatty Liver Disease in Overweight and Obese Children. J Obes 2018; 2018: 8626818.</w:t>
      </w:r>
    </w:p>
    <w:p w14:paraId="428A6168">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Assuncao SNF, Sorte N, Alves CAD, Mendes PSA, Alves CRB, Silva LR. Inflammatory cytokines and non-alcoholic fatty liver disease (NAFLD) in obese children and adolescents. Nutr Hosp 2018; 35(1): 78-83.</w:t>
      </w:r>
    </w:p>
    <w:p w14:paraId="0F1FFD06">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Pooja G. Nutritional assessment in obese children with and without non-alcoholic fatty liver disease (NAFLD) in an Urban Area of Punjab, India. Indian J Public Health De 2018; 9(12): 201-7.</w:t>
      </w:r>
    </w:p>
    <w:p w14:paraId="7CE23B08">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Kirel B. Nonalcoholic fatty liver diseases in obese children and adolescents. Turk Arch Ped 2012; 47: 172-8.</w:t>
      </w:r>
    </w:p>
    <w:p w14:paraId="044CE54F">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Di Martino M, Pacifico L, Bezzi M, et al. Comparison of magnetic resonance spectroscopy, proton density fat fraction and histological analysis in the quantification of liver steatosis in children and adolescents. World J Gastroenterol 2016; 22(39): 8812-9.</w:t>
      </w:r>
    </w:p>
    <w:p w14:paraId="31DFA52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Yu EL, Golshan S, Harlow KE, et al. Prevalence of Nonalcoholic Fatty Liver Disease in Children with Obesity. J Pediatr 2019; 207: 64-70.</w:t>
      </w:r>
    </w:p>
    <w:p w14:paraId="3C7DB76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Szybowska P, Wojcik M, Starzyk JB, Sztefko K. Enhanced liver fibrosis (ELF) test in obese children with ultrasound-proven liver steatosis. Neuro Endocrinol Lett 2015; 36(7): 700-5.</w:t>
      </w:r>
    </w:p>
    <w:p w14:paraId="59BAA78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129.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Pena-Velez R, Garibay-Nieto N, Cal YM-VM, et al. Association between neck circumference and non-alcoholic fatty liver disease in Mexican children and adolescents with obesity. J Pediatr Endocrinol Metab 2020; 33(2): 205-13.</w:t>
      </w:r>
    </w:p>
    <w:p w14:paraId="1590487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Elkabany ZA, Hamza RT, Ismail EAR, et al. Serum visfatin level as a noninvasive marker for nonalcoholic fatty liver disease in children and adolescents with obesity: relation to transient elastography with controlled attenuation parameter. Eur J Gastroenterol Hepatol 2019.</w:t>
      </w:r>
    </w:p>
    <w:p w14:paraId="1B0BCE9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Ozsu E, Yazicioglu B. Obese boys with low concentrations of high-density lipoprotein cholesterol are at greater risk of hepatosteatosis. Hormones (Athens) 2019; 18(4): 477-84.</w:t>
      </w:r>
    </w:p>
    <w:p w14:paraId="11D0B9D3">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Hua MC, Huang JL, Hu CC, Yao TC, Lai MW. Including Fibroblast Growth Factor-21 in Combined Biomarker Panels Improves Predictions of Liver Steatosis Severity in Children. Front Pediatr 2019; 7: 420.</w:t>
      </w:r>
    </w:p>
    <w:p w14:paraId="60879A59">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Di Bonito P, Valerio G, Licenziati MR, et al. High uric acid, reduced glomerular filtration rate and non-alcoholic fatty liver in young people with obesity. J Endocrinol Invest 2020; 43(4): 461-8.</w:t>
      </w:r>
    </w:p>
    <w:p w14:paraId="36E6970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Jain V, Kumar A, Ahmad N, et al. Genetic polymorphisms associated with obesity and non-alcoholic fatty liver disease in Asian Indian adolescents. J Pediatr Endocrinol Metab 2019; 32(7): 749-58.</w:t>
      </w:r>
    </w:p>
    <w:p w14:paraId="7CB5767F">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Villanueva-Ortega E, Garces-Hernandez MJ, Herrera-Rosas A, et al. Gender-specific differences in clinical and metabolic variables associated with NAFLD in a Mexican pediatric population. Ann Hepatol 2019; 18(5): 693-700.</w:t>
      </w:r>
    </w:p>
    <w:p w14:paraId="176339E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Draijer LG, Feddouli S, Bohte AE, et al. Comparison of diagnostic accuracy of screening tests ALT and ultrasound for pediatric non-alcoholic fatty liver disease. Eur J Pediatr 2019; 178(6): 863-70.</w:t>
      </w:r>
    </w:p>
    <w:p w14:paraId="7E4112E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Kurku H, Atar M, Pirgon O, et al. Pubertal Status and Gonadal Functions in Obese Boys with Fatty Liver. Metab Syndr Relat Disord 2019; 17(2): 102-7.</w:t>
      </w:r>
    </w:p>
    <w:p w14:paraId="7495586F">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Ramirez-Velez R, Izquierdo M, Correa-Bautista JE, et al. Liver Fat Content and Body Fat Distribution in Youths with Excess Adiposity. J Clin Med 2018; 7(12).</w:t>
      </w:r>
    </w:p>
    <w:p w14:paraId="68917FCE">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139.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Flisiak-Jackiewicz M, Bobrus-Chociej A, Tarasow E, Wojtkowska M, Bialokoz-Kalinowska I, Lebensztejn DM. Predictive Role of Interleukin-18 in Liver Steatosis in Obese Children. Can J Gastroenterol Hepatol 2018; 2018: 3870454.</w:t>
      </w:r>
    </w:p>
    <w:p w14:paraId="002AA9CE">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Bacha F, Tomsa A, Bartz SK, et al. Nonalcoholic Fatty Liver Disease in Hispanic Youth With Dysglycemia: Risk for Subclinical Atherosclerosis? J Endocr Soc 2017; 1(8): 1029-40.</w:t>
      </w:r>
    </w:p>
    <w:p w14:paraId="18039CE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Balanescu A, Balanescu P, Comanici V, et al. Lipid profile pattern in pediatric overweight population with or without NAFLD in relation to IDF criteria for metabolic syndrome: a preliminary study. Rom J Intern Med 2018; 56(1): 47-54.</w:t>
      </w:r>
    </w:p>
    <w:p w14:paraId="1386C2CA">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Lu LP, Wan YP, Xun PC, et al. Serum bile acid level and fatty acid composition in Chinese children with non-alcoholic fatty liver disease. J Dig Dis 2017; 18(8): 461-71.</w:t>
      </w:r>
    </w:p>
    <w:p w14:paraId="78F4EA4C">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Chabanova E, Fonvig CE, Bojsoe C, Holm JC, Thomsen HS. (1)H MRS Assessment of Hepatic Fat Content: Comparison Between Normal- and Excess-weight Children and Adolescents. Acad Radiol 2017; 24(8): 982-7.</w:t>
      </w:r>
    </w:p>
    <w:p w14:paraId="54012E1D">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Lee S, Kuk JL. Visceral fat is associated with the racial differences in liver fat between black and white adolescent boys with obesity. Pediatr Diabetes 2017; 18(7): 660-3.</w:t>
      </w:r>
    </w:p>
    <w:p w14:paraId="25C39A73">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Sheldon RD, Kanosky KM, Wells KD, et al. Transcriptomic differences in intra-abdominal adipose tissue in extremely obese adolescents with different stages of NAFLD. Physiol Genomics 2016; 48(12): 897-911.</w:t>
      </w:r>
    </w:p>
    <w:p w14:paraId="44AC016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Jin R, Le NA, Cleeton R, et al. Amount of hepatic fat predicts cardiovascular risk independent of insulin resistance among Hispanic-American adolescents. Lipids Health Dis 2015; 14: 39.</w:t>
      </w:r>
    </w:p>
    <w:p w14:paraId="17941953">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147.</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Chang PF, Lin YC, Liu K, Yeh SJ, Ni YH. Heme oxygenase-1 gene promoter polymorphism and the risk of pediatric nonalcoholic fatty liver disease. Int J Obes (Lond) 2015; 39(8): 1236-40.</w:t>
      </w:r>
    </w:p>
    <w:p w14:paraId="135A08DF">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148.</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Klusek-Oksiuta M, Bialokoz-Kalinowska I, Tarasow E, Wojtkowska M, Werpachowska I, Lebensztejn DM. Chemerin as a novel non-invasive serum marker of intrahepatic lipid content in obese children. Ital J Pediatr 2014; 40: 84.</w:t>
      </w:r>
    </w:p>
    <w:p w14:paraId="78A8635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149.</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O'Sullivan TA, Oddy WH, Bremner AP, et al. Lower fructose intake may help protect against development of nonalcoholic fatty liver in adolescents with obesity. J Pediatr Gastroenterol Nutr 2014; 58(5): 624-31.</w:t>
      </w:r>
    </w:p>
    <w:p w14:paraId="5C2F965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150.</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Santoro N, Caprio S, Giannini C, et al. Oxidized fatty acids: A potential pathogenic link between fatty liver and type 2 diabetes in obese adolescents? Antioxid Redox Signal 2014; 20(2): 383-9.</w:t>
      </w:r>
    </w:p>
    <w:p w14:paraId="4AA63561">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151.</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Lebensztejn DM, Kowalczuk D, Tarasow E, Skiba E, Kaczmarski M. Tumor necrosis factor alpha and its soluble receptors in obese children with NAFLD. Adv Med Sci 2010; 55(1): 74-9.</w:t>
      </w:r>
    </w:p>
    <w:p w14:paraId="52854C27">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152.</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Demircioglu F, Kocyigit A, Arslan N, Cakmakci H, Hizli S, Sedat AT. Intima-media thickness of carotid artery and susceptibility to atherosclerosis in obese children with nonalcoholic fatty liver disease. J Pediatr Gastroenterol Nutr 2008; 47(1): 68-75.</w:t>
      </w:r>
    </w:p>
    <w:p w14:paraId="032CDD72">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153.</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Love-Osborne KA, Nadeau KJ, Sheeder J, Fenton LZ, Zeitler P. Presence of the metabolic syndrome in obese adolescents predicts impaired glucose tolerance and nonalcoholic fatty liver disease. J Adolesc Health 2008; 42(6): 543-8.</w:t>
      </w:r>
    </w:p>
    <w:p w14:paraId="69756FA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154.</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Shalitin S, Phillip M. Frequency of cardiovascular risk factors in obese children and adolescents referred to a tertiary care center in Israel. Horm Res 2008; 69(3): 152-9.</w:t>
      </w:r>
    </w:p>
    <w:p w14:paraId="51026EAB">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155.</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Nichols PH, Pan Y, May B, et al. Effect of TSH on Non-Alcoholic Fatty Liver Disease (NAFLD) independent of obesity in children of predominantly Hispanic/Latino ancestry by causal mediation analysis. PLoS One 2020; 15(6): e0234985.</w:t>
      </w:r>
    </w:p>
    <w:p w14:paraId="4A6647F0">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156.</w:t>
      </w:r>
      <w:r>
        <w:rPr>
          <w:rFonts w:hint="eastAsia" w:ascii="Times New Roman" w:hAnsi="Times New Roman" w:eastAsia="宋体" w:cs="Times New Roman"/>
          <w:sz w:val="20"/>
          <w:szCs w:val="20"/>
          <w:lang w:val="en-US" w:eastAsia="zh-CN"/>
        </w:rPr>
        <w:tab/>
      </w:r>
      <w:r>
        <w:rPr>
          <w:rFonts w:hint="eastAsia" w:ascii="Times New Roman" w:hAnsi="Times New Roman" w:eastAsia="宋体" w:cs="Times New Roman"/>
          <w:sz w:val="20"/>
          <w:szCs w:val="20"/>
          <w:lang w:val="en-US" w:eastAsia="zh-CN"/>
        </w:rPr>
        <w:t>Barretto JR, Boa-Sorte N, Vinhaes CL, et al. Heightened Plasma Levels of Transforming Growth Factor Beta (TGF-beta) and Increased Degree of Systemic Biochemical Perturbation Characterizes Hepatic Steatosis in Overweight Pediatric Patients: A Cross-Sectional Study. Nutrients 2020; 12(6).</w:t>
      </w:r>
    </w:p>
    <w:p w14:paraId="6F928077">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157. </w:t>
      </w:r>
      <w:r>
        <w:rPr>
          <w:rFonts w:hint="eastAsia" w:ascii="Times New Roman" w:hAnsi="Times New Roman" w:eastAsia="宋体" w:cs="Times New Roman"/>
          <w:sz w:val="20"/>
          <w:szCs w:val="20"/>
          <w:lang w:val="en-US" w:eastAsia="zh-CN"/>
        </w:rPr>
        <w:t>Zusi C, Morandi A, Maguolo A, Corradi M, Costantini S, Mosca A, Crudele A, Mantovani A, Alisi A, Miraglia Del Giudice E, Targher G, Maffeis C. Association between MBOAT7 rs641738 polymorphism and non-alcoholic fatty liver in overweight or obese children. Nutr Metab Cardiovasc Dis. 2021 May 6;31(5):1548-1555.</w:t>
      </w:r>
    </w:p>
    <w:p w14:paraId="23545EB7">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158. </w:t>
      </w:r>
      <w:r>
        <w:rPr>
          <w:rFonts w:hint="eastAsia" w:ascii="Times New Roman" w:hAnsi="Times New Roman" w:eastAsia="宋体" w:cs="Times New Roman"/>
          <w:sz w:val="20"/>
          <w:szCs w:val="20"/>
          <w:lang w:val="en-US" w:eastAsia="zh-CN"/>
        </w:rPr>
        <w:t xml:space="preserve">Zeng J, Jin Q, Yang J, Yang RX, Zhang RN, Zhao J, Fan JG. Prevalence and incidence of MAFLD and associated anthropometric parameters among prepubertal children of the Shanghai Birth Cohort. Hepatol Int. 2023 Dec;17(6):1416-1428. </w:t>
      </w:r>
    </w:p>
    <w:p w14:paraId="7D89E53A">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159. </w:t>
      </w:r>
      <w:r>
        <w:rPr>
          <w:rFonts w:hint="eastAsia" w:ascii="Times New Roman" w:hAnsi="Times New Roman" w:eastAsia="宋体" w:cs="Times New Roman"/>
          <w:sz w:val="20"/>
          <w:szCs w:val="20"/>
          <w:lang w:val="en-US" w:eastAsia="zh-CN"/>
        </w:rPr>
        <w:t>Wang J, Lin H, Chiavaroli V, Jin B, Yuan J, Huang K, Wu W, Dong G, Derraik JGB, Fu J. High Prevalence of Cardiometabolic Comorbidities Among Children and Adolescents With Severe Obesity From a Large Metropolitan Centre (Hangzhou, China). Front Endocrinol (Lausanne). 2022 May 19;13:807380.</w:t>
      </w:r>
    </w:p>
    <w:p w14:paraId="458FF705">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160. </w:t>
      </w:r>
      <w:r>
        <w:rPr>
          <w:rFonts w:hint="eastAsia" w:ascii="Times New Roman" w:hAnsi="Times New Roman" w:eastAsia="宋体" w:cs="Times New Roman"/>
          <w:sz w:val="20"/>
          <w:szCs w:val="20"/>
          <w:lang w:val="en-US" w:eastAsia="zh-CN"/>
        </w:rPr>
        <w:t>Thiagarajan S, Shrinuvasan S, Arun Babu T. Screening for non-alcoholic fatty liver disease among obese and overweight children: Prevalence and predictors. Indian J Gastroenterol. 2022 Feb;41(1):63-68.</w:t>
      </w:r>
    </w:p>
    <w:p w14:paraId="6C8B5EFD">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161. </w:t>
      </w:r>
      <w:r>
        <w:rPr>
          <w:rFonts w:hint="eastAsia" w:ascii="Times New Roman" w:hAnsi="Times New Roman" w:eastAsia="宋体" w:cs="Times New Roman"/>
          <w:sz w:val="20"/>
          <w:szCs w:val="20"/>
          <w:lang w:val="en-US" w:eastAsia="zh-CN"/>
        </w:rPr>
        <w:t xml:space="preserve">Slusher AL, Hu P, Samuels S, Tokoglu F, Lat J, Li Z, Alguard M, Strober J, Vatner D, Shabanova V, Caprio S. Rising NAFLD and metabolic severity during the Sars-CoV-2 pandemic among children with obesity in the United States. Obesity (Silver Spring). 2023 May;31(5):1383-1391. </w:t>
      </w:r>
    </w:p>
    <w:p w14:paraId="6A0112C9">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162. </w:t>
      </w:r>
      <w:r>
        <w:rPr>
          <w:rFonts w:hint="eastAsia" w:ascii="Times New Roman" w:hAnsi="Times New Roman" w:eastAsia="宋体" w:cs="Times New Roman"/>
          <w:sz w:val="20"/>
          <w:szCs w:val="20"/>
          <w:lang w:val="en-US" w:eastAsia="zh-CN"/>
        </w:rPr>
        <w:t xml:space="preserve">Silveira AM, Lima PL, Alves MRA, de Jesus RP, Pinto-Silva RA, Rodrigues VM, Starling ALP, Norton RC, de Aguiar MJB. Nonalcoholic fatty liver disease in adolescents with phenylketonuria. J Pediatr (Rio J). 2023 Mar-Apr;99(2):174-180. </w:t>
      </w:r>
    </w:p>
    <w:p w14:paraId="47B113E6">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163. </w:t>
      </w:r>
      <w:r>
        <w:rPr>
          <w:rFonts w:hint="eastAsia" w:ascii="Times New Roman" w:hAnsi="Times New Roman" w:eastAsia="宋体" w:cs="Times New Roman"/>
          <w:sz w:val="20"/>
          <w:szCs w:val="20"/>
          <w:lang w:val="en-US" w:eastAsia="zh-CN"/>
        </w:rPr>
        <w:t xml:space="preserve">Saha M, Hossain MZ, Gope S, Ahmed MU, Azad KI, Chowdhury ZR, Biswas P. Prevalence of Sonologically Detected Non-alcoholic Fatty liver disease Among School Children of Sylhet City. Mymensingh Med J. 2022 Apr;31(2):412-415. </w:t>
      </w:r>
    </w:p>
    <w:p w14:paraId="089FE0E8">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164. </w:t>
      </w:r>
      <w:r>
        <w:rPr>
          <w:rFonts w:hint="eastAsia" w:ascii="Times New Roman" w:hAnsi="Times New Roman" w:eastAsia="宋体" w:cs="Times New Roman"/>
          <w:sz w:val="20"/>
          <w:szCs w:val="20"/>
          <w:lang w:val="en-US" w:eastAsia="zh-CN"/>
        </w:rPr>
        <w:t xml:space="preserve">Sae-Wong J, Chaopathomkul B, Phewplung T, Chaijitraruch N, Sahakitrungruang T. The Prevalence of Nonalcoholic Fatty Liver Disease and Its Risk Factors in Children and Young Adults with Type 1 Diabetes Mellitus. J Pediatr. 2021 Mar;230:32-37.e1. </w:t>
      </w:r>
    </w:p>
    <w:p w14:paraId="745EA263">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165. </w:t>
      </w:r>
      <w:r>
        <w:rPr>
          <w:rFonts w:hint="eastAsia" w:ascii="Times New Roman" w:hAnsi="Times New Roman" w:eastAsia="宋体" w:cs="Times New Roman"/>
          <w:sz w:val="20"/>
          <w:szCs w:val="20"/>
          <w:lang w:val="en-US" w:eastAsia="zh-CN"/>
        </w:rPr>
        <w:t xml:space="preserve">Peña-Vélez R, Garibay-Nieto N, Cal-Y-Mayor-Villalobos M, Laresgoiti-Servitje E, Pedraza-Escudero K, García-Blanco MDC, Heredia-Nieto OA, Villanueva-Ortega E. Association between neck circumference and non-alcoholic fatty liver disease in Mexican children and adolescents with obesity. J Pediatr Endocrinol Metab. 2020 Feb 25;33(2):205-213. </w:t>
      </w:r>
    </w:p>
    <w:p w14:paraId="00A6CE68">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166. </w:t>
      </w:r>
      <w:r>
        <w:rPr>
          <w:rFonts w:hint="eastAsia" w:ascii="Times New Roman" w:hAnsi="Times New Roman" w:eastAsia="宋体" w:cs="Times New Roman"/>
          <w:sz w:val="20"/>
          <w:szCs w:val="20"/>
          <w:lang w:val="en-US" w:eastAsia="zh-CN"/>
        </w:rPr>
        <w:t>Mohamed RZ, Jalaludin MY, Anuar Zaini A. Predictors of non-alcoholic fatty liver disease (NAFLD) among children with obesity. J Pediatr Endocrinol Metab. 2020 Feb 25;33(2):247-253.</w:t>
      </w:r>
    </w:p>
    <w:p w14:paraId="783A0B4B">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167. </w:t>
      </w:r>
      <w:r>
        <w:rPr>
          <w:rFonts w:hint="eastAsia" w:ascii="Times New Roman" w:hAnsi="Times New Roman" w:eastAsia="宋体" w:cs="Times New Roman"/>
          <w:sz w:val="20"/>
          <w:szCs w:val="20"/>
          <w:lang w:val="en-US" w:eastAsia="zh-CN"/>
        </w:rPr>
        <w:t xml:space="preserve">Mburu AN, Laving A, Macharia WM, Sande J. Prevalence of non-alcoholic fatty liver disease in overweight and obese children seeking ambulatory healthcare in Nairobi, Kenya. BMJ Open Gastroenterol. 2023 Feb;10(1):e001044. </w:t>
      </w:r>
    </w:p>
    <w:p w14:paraId="57F00E9F">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168. </w:t>
      </w:r>
      <w:r>
        <w:rPr>
          <w:rFonts w:hint="eastAsia" w:ascii="Times New Roman" w:hAnsi="Times New Roman" w:eastAsia="宋体" w:cs="Times New Roman"/>
          <w:sz w:val="20"/>
          <w:szCs w:val="20"/>
          <w:lang w:val="en-US" w:eastAsia="zh-CN"/>
        </w:rPr>
        <w:t xml:space="preserve">Jin B, Wu Z, Wang S, Yu Z, Ullah R, Liang X, Wu W, Huang K, Ni Y, Wang J, Dong G, Fu J. Gender differences in non-alcoholic fatty liver disease in obese children and adolescents: a large cross-sectional study. Hepatol Int. 2024 Feb;18(1):179-187. </w:t>
      </w:r>
    </w:p>
    <w:p w14:paraId="4453391D">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169. </w:t>
      </w:r>
      <w:r>
        <w:rPr>
          <w:rFonts w:hint="eastAsia" w:ascii="Times New Roman" w:hAnsi="Times New Roman" w:eastAsia="宋体" w:cs="Times New Roman"/>
          <w:sz w:val="20"/>
          <w:szCs w:val="20"/>
          <w:lang w:val="en-US" w:eastAsia="zh-CN"/>
        </w:rPr>
        <w:t xml:space="preserve">Di Bonito P, Valerio G, Licenziati MR, Di Sessa A, Miraglia Del Giudice E, Morandi A, Maffeis C, Baroni MG, Chiesa C, Pacifico L, Manco M. Uric acid versus metabolic syndrome as markers of fatty liver disease in young people with overweight/obesity. Diabetes Metab Res Rev. 2022 Oct;38(7):e3559. </w:t>
      </w:r>
    </w:p>
    <w:p w14:paraId="7BCD9A7C">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170. </w:t>
      </w:r>
      <w:r>
        <w:rPr>
          <w:rFonts w:hint="eastAsia" w:ascii="Times New Roman" w:hAnsi="Times New Roman" w:eastAsia="宋体" w:cs="Times New Roman"/>
          <w:sz w:val="20"/>
          <w:szCs w:val="20"/>
          <w:lang w:val="en-US" w:eastAsia="zh-CN"/>
        </w:rPr>
        <w:t xml:space="preserve">de Silva MHAD, Hewawasam RP, Kulatunge CR, Chamika RMA. The accuracy of fatty liver index for the screening of overweight and obese children for non-alcoholic fatty liver disease in resource limited settings. BMC Pediatr. 2022 Aug 30;22(1):511. </w:t>
      </w:r>
    </w:p>
    <w:p w14:paraId="53165BD0">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171. </w:t>
      </w:r>
      <w:r>
        <w:rPr>
          <w:rFonts w:hint="eastAsia" w:ascii="Times New Roman" w:hAnsi="Times New Roman" w:eastAsia="宋体" w:cs="Times New Roman"/>
          <w:sz w:val="20"/>
          <w:szCs w:val="20"/>
          <w:lang w:val="en-US" w:eastAsia="zh-CN"/>
        </w:rPr>
        <w:t xml:space="preserve">de Groot J, Santos S, Geurtsen ML, Felix JF, Jaddoe VWV. Risk factors and cardio-metabolic outcomes associated with metabolic-associated fatty liver disease in childhood. EClinicalMedicine. 2023 Oct 6;65:102248. </w:t>
      </w:r>
    </w:p>
    <w:p w14:paraId="1DDC0E95">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172. </w:t>
      </w:r>
      <w:r>
        <w:rPr>
          <w:rFonts w:hint="eastAsia" w:ascii="Times New Roman" w:hAnsi="Times New Roman" w:eastAsia="宋体" w:cs="Times New Roman"/>
          <w:sz w:val="20"/>
          <w:szCs w:val="20"/>
          <w:lang w:val="en-US" w:eastAsia="zh-CN"/>
        </w:rPr>
        <w:t>Dai W, Yao ZZ, Ou-Yang SS, Xu NA, Zhou HX, Li XW, Zhong Y, Luo JY. A cross-sectional study on the prevalence rate and influencing factors of non-alcoholic fatty liver disease in overweight/obese children. Zhongguo Dang Dai Er Ke Za Zhi. 2023 May 15;25(5):448-456. Chinese.</w:t>
      </w:r>
    </w:p>
    <w:p w14:paraId="4F5427E4">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173. </w:t>
      </w:r>
      <w:r>
        <w:rPr>
          <w:rFonts w:hint="eastAsia" w:ascii="Times New Roman" w:hAnsi="Times New Roman" w:eastAsia="宋体" w:cs="Times New Roman"/>
          <w:sz w:val="20"/>
          <w:szCs w:val="20"/>
          <w:lang w:val="en-US" w:eastAsia="zh-CN"/>
        </w:rPr>
        <w:t xml:space="preserve">Cohen CC, Perng W, Sundaram SS, Scherzinger A, Shankar K, Dabelea D. Hepatic Fat in Early Childhood Is Independently Associated With Estimated Insulin Resistance: The Healthy Start Study. J Clin Endocrinol Metab. 2021 Oct 21;106(11):3140-3150. </w:t>
      </w:r>
    </w:p>
    <w:p w14:paraId="58F86E6C">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174. </w:t>
      </w:r>
      <w:r>
        <w:rPr>
          <w:rFonts w:hint="eastAsia" w:ascii="Times New Roman" w:hAnsi="Times New Roman" w:eastAsia="宋体" w:cs="Times New Roman"/>
          <w:sz w:val="20"/>
          <w:szCs w:val="20"/>
          <w:lang w:val="en-US" w:eastAsia="zh-CN"/>
        </w:rPr>
        <w:t xml:space="preserve">Basarir G, Ozcabi B, Aksu Sayman O, Ozturkmen Akay H, Yildiz FM. Evaluation of clinical, endocrine and metabolic findings in obese children with and without hepatosteatosis. J Pediatr Endocrinol Metab. 2021 Jun 18;34(9):1081-1087. </w:t>
      </w:r>
    </w:p>
    <w:p w14:paraId="543FAF91">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175. </w:t>
      </w:r>
      <w:r>
        <w:rPr>
          <w:rFonts w:hint="eastAsia" w:ascii="Times New Roman" w:hAnsi="Times New Roman" w:eastAsia="宋体" w:cs="Times New Roman"/>
          <w:sz w:val="20"/>
          <w:szCs w:val="20"/>
          <w:lang w:val="en-US" w:eastAsia="zh-CN"/>
        </w:rPr>
        <w:t xml:space="preserve">Al Azzouny MA, Behiry EG, Behairy OG, Abd Ellraouf HA, Elfallah AA. Serum microRNA-486-5p expression in obese Egyptian children and its possible association with fatty liver. Diabetes Metab Syndr. 2021 Sep-Oct;15(5):102258. </w:t>
      </w:r>
    </w:p>
    <w:p w14:paraId="51715A97">
      <w:pPr>
        <w:jc w:val="both"/>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 xml:space="preserve">176. </w:t>
      </w:r>
      <w:r>
        <w:rPr>
          <w:rFonts w:hint="eastAsia" w:ascii="Times New Roman" w:hAnsi="Times New Roman" w:eastAsia="宋体" w:cs="Times New Roman"/>
          <w:sz w:val="20"/>
          <w:szCs w:val="20"/>
          <w:lang w:val="en-US" w:eastAsia="zh-CN"/>
        </w:rPr>
        <w:t>Ahmed SM, Haris B, Saraswathi S, Elawwa A, Khalifa A, AlMaadheed M, Abdel-Karim TR, Hamed N, Afyouni H, Dauleh H, Shamekh A, Al-Zyoud M, AlKhalaf F, Petrovski G, Hussain K. The epidemiology, clinical, biochemical, immunological and radiological features of youth onset type 2 diabetes mellitus in the state of Qatar. Diabetol Int. 2021 Oct 11;13(2):381-386.</w:t>
      </w:r>
    </w:p>
    <w:p w14:paraId="0BC19528">
      <w:pPr>
        <w:jc w:val="both"/>
        <w:rPr>
          <w:rFonts w:hint="eastAsia" w:ascii="Times New Roman" w:hAnsi="Times New Roman" w:eastAsia="宋体" w:cs="Times New Roman"/>
          <w:sz w:val="20"/>
          <w:szCs w:val="20"/>
          <w:lang w:val="en-US" w:eastAsia="zh-CN"/>
        </w:rPr>
        <w:sectPr>
          <w:footerReference r:id="rId5" w:type="default"/>
          <w:footerReference r:id="rId6" w:type="even"/>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p>
    <w:p w14:paraId="312F6E88">
      <w:pPr>
        <w:pStyle w:val="2"/>
        <w:spacing w:line="360" w:lineRule="auto"/>
        <w:rPr>
          <w:rFonts w:hint="eastAsia" w:ascii="Times New Roman" w:hAnsi="Times New Roman" w:eastAsia="宋体" w:cs="Times New Roman"/>
          <w:sz w:val="20"/>
          <w:szCs w:val="20"/>
          <w:lang w:val="en-US" w:eastAsia="zh-CN"/>
        </w:rPr>
      </w:pPr>
      <w:bookmarkStart w:id="13" w:name="OLE_LINK210"/>
      <w:bookmarkStart w:id="14" w:name="OLE_LINK209"/>
      <w:bookmarkStart w:id="15" w:name="_Toc159076752"/>
      <w:r>
        <w:rPr>
          <w:rFonts w:ascii="Times New Roman" w:hAnsi="Times New Roman" w:cs="Times New Roman"/>
          <w:color w:val="000000" w:themeColor="text1"/>
          <w:szCs w:val="20"/>
          <w:lang w:eastAsia="zh-TW"/>
          <w14:textFill>
            <w14:solidFill>
              <w14:schemeClr w14:val="tx1"/>
            </w14:solidFill>
          </w14:textFill>
        </w:rPr>
        <w:t xml:space="preserve">Supplementary </w:t>
      </w:r>
      <w:r>
        <w:rPr>
          <w:rFonts w:hint="eastAsia" w:ascii="Times New Roman" w:hAnsi="Times New Roman" w:eastAsia="宋体" w:cs="Times New Roman"/>
          <w:color w:val="000000" w:themeColor="text1"/>
          <w:szCs w:val="20"/>
          <w:lang w:val="en-US" w:eastAsia="zh-CN"/>
          <w14:textFill>
            <w14:solidFill>
              <w14:schemeClr w14:val="tx1"/>
            </w14:solidFill>
          </w14:textFill>
        </w:rPr>
        <w:t>3</w:t>
      </w:r>
      <w:r>
        <w:rPr>
          <w:rFonts w:ascii="Times New Roman" w:hAnsi="Times New Roman" w:cs="Times New Roman"/>
          <w:color w:val="000000" w:themeColor="text1"/>
          <w:szCs w:val="20"/>
          <w:lang w:eastAsia="zh-TW"/>
          <w14:textFill>
            <w14:solidFill>
              <w14:schemeClr w14:val="tx1"/>
            </w14:solidFill>
          </w14:textFill>
        </w:rPr>
        <w:t>: Publication bias</w:t>
      </w:r>
      <w:bookmarkEnd w:id="13"/>
      <w:bookmarkEnd w:id="14"/>
      <w:bookmarkEnd w:id="15"/>
    </w:p>
    <w:p w14:paraId="2FF51178">
      <w:pPr>
        <w:jc w:val="both"/>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drawing>
          <wp:inline distT="0" distB="0" distL="114300" distR="114300">
            <wp:extent cx="5029200" cy="3657600"/>
            <wp:effectExtent l="0" t="0" r="0" b="0"/>
            <wp:docPr id="1" name="图片 1" descr="漏斗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漏斗图_00"/>
                    <pic:cNvPicPr>
                      <a:picLocks noChangeAspect="1"/>
                    </pic:cNvPicPr>
                  </pic:nvPicPr>
                  <pic:blipFill>
                    <a:blip r:embed="rId8"/>
                    <a:stretch>
                      <a:fillRect/>
                    </a:stretch>
                  </pic:blipFill>
                  <pic:spPr>
                    <a:xfrm>
                      <a:off x="0" y="0"/>
                      <a:ext cx="5029200" cy="3657600"/>
                    </a:xfrm>
                    <a:prstGeom prst="rect">
                      <a:avLst/>
                    </a:prstGeom>
                  </pic:spPr>
                </pic:pic>
              </a:graphicData>
            </a:graphic>
          </wp:inline>
        </w:drawing>
      </w:r>
    </w:p>
    <w:p w14:paraId="41B36158">
      <w:pPr>
        <w:jc w:val="both"/>
        <w:rPr>
          <w:rFonts w:ascii="Times New Roman" w:hAnsi="Times New Roman" w:cs="Times New Roman"/>
          <w:color w:val="000000" w:themeColor="text1"/>
          <w:sz w:val="20"/>
          <w:szCs w:val="20"/>
          <w:lang w:eastAsia="zh-TW"/>
          <w14:textFill>
            <w14:solidFill>
              <w14:schemeClr w14:val="tx1"/>
            </w14:solidFill>
          </w14:textFill>
        </w:rPr>
      </w:pPr>
      <w:bookmarkStart w:id="16" w:name="OLE_LINK28"/>
      <w:bookmarkStart w:id="17" w:name="OLE_LINK27"/>
      <w:r>
        <w:rPr>
          <w:rFonts w:hint="eastAsia" w:ascii="Times New Roman" w:hAnsi="Times New Roman" w:cs="Times New Roman"/>
          <w:color w:val="000000" w:themeColor="text1"/>
          <w:sz w:val="20"/>
          <w:szCs w:val="20"/>
          <w:lang w:eastAsia="zh-TW"/>
          <w14:textFill>
            <w14:solidFill>
              <w14:schemeClr w14:val="tx1"/>
            </w14:solidFill>
          </w14:textFill>
        </w:rPr>
        <w:t>F</w:t>
      </w:r>
      <w:r>
        <w:rPr>
          <w:rFonts w:ascii="Times New Roman" w:hAnsi="Times New Roman" w:cs="Times New Roman"/>
          <w:color w:val="000000" w:themeColor="text1"/>
          <w:sz w:val="20"/>
          <w:szCs w:val="20"/>
          <w:lang w:eastAsia="zh-TW"/>
          <w14:textFill>
            <w14:solidFill>
              <w14:schemeClr w14:val="tx1"/>
            </w14:solidFill>
          </w14:textFill>
        </w:rPr>
        <w:t xml:space="preserve">igure </w:t>
      </w:r>
      <w:r>
        <w:rPr>
          <w:rFonts w:hint="eastAsia" w:ascii="Times New Roman" w:hAnsi="Times New Roman" w:cs="Times New Roman"/>
          <w:color w:val="000000" w:themeColor="text1"/>
          <w:sz w:val="20"/>
          <w:szCs w:val="20"/>
          <w:lang w:val="en-US" w:eastAsia="zh-CN"/>
          <w14:textFill>
            <w14:solidFill>
              <w14:schemeClr w14:val="tx1"/>
            </w14:solidFill>
          </w14:textFill>
        </w:rPr>
        <w:t>3</w:t>
      </w:r>
      <w:r>
        <w:rPr>
          <w:rFonts w:ascii="Times New Roman" w:hAnsi="Times New Roman" w:cs="Times New Roman"/>
          <w:color w:val="000000" w:themeColor="text1"/>
          <w:sz w:val="20"/>
          <w:szCs w:val="20"/>
          <w:lang w:eastAsia="zh-TW"/>
          <w14:textFill>
            <w14:solidFill>
              <w14:schemeClr w14:val="tx1"/>
            </w14:solidFill>
          </w14:textFill>
        </w:rPr>
        <w:t>.1 The funnel plot of</w:t>
      </w:r>
      <w:bookmarkStart w:id="18" w:name="OLE_LINK41"/>
      <w:bookmarkStart w:id="19" w:name="OLE_LINK40"/>
      <w:r>
        <w:rPr>
          <w:rFonts w:hint="eastAsia" w:ascii="Times New Roman" w:hAnsi="Times New Roman" w:cs="Times New Roman"/>
          <w:color w:val="000000" w:themeColor="text1"/>
          <w:sz w:val="20"/>
          <w:szCs w:val="20"/>
          <w:lang w:val="en-US" w:eastAsia="zh-CN"/>
          <w14:textFill>
            <w14:solidFill>
              <w14:schemeClr w14:val="tx1"/>
            </w14:solidFill>
          </w14:textFill>
        </w:rPr>
        <w:t xml:space="preserve"> </w:t>
      </w:r>
      <w:r>
        <w:rPr>
          <w:rFonts w:hint="eastAsia" w:ascii="Times New Roman" w:hAnsi="Times New Roman" w:cs="Times New Roman"/>
          <w:color w:val="000000" w:themeColor="text1"/>
          <w:sz w:val="20"/>
          <w:szCs w:val="20"/>
          <w:lang w:eastAsia="zh-TW"/>
          <w14:textFill>
            <w14:solidFill>
              <w14:schemeClr w14:val="tx1"/>
            </w14:solidFill>
          </w14:textFill>
        </w:rPr>
        <w:t>metabolic dysfunction-associated fatty liver disease prevalence.</w:t>
      </w:r>
      <w:bookmarkEnd w:id="18"/>
      <w:bookmarkEnd w:id="19"/>
    </w:p>
    <w:bookmarkEnd w:id="16"/>
    <w:bookmarkEnd w:id="17"/>
    <w:p w14:paraId="31CBF2AE">
      <w:pPr>
        <w:jc w:val="both"/>
        <w:rPr>
          <w:rFonts w:hint="eastAsia" w:ascii="Times New Roman" w:hAnsi="Times New Roman" w:eastAsia="宋体" w:cs="Times New Roman"/>
          <w:sz w:val="20"/>
          <w:szCs w:val="20"/>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661785751"/>
    </w:sdtPr>
    <w:sdtEndPr>
      <w:rPr>
        <w:rStyle w:val="25"/>
      </w:rPr>
    </w:sdtEndPr>
    <w:sdtContent>
      <w:p w14:paraId="1F4F3C11">
        <w:pPr>
          <w:pStyle w:val="12"/>
          <w:framePr w:wrap="auto" w:vAnchor="text" w:hAnchor="margin" w:xAlign="center" w:y="1"/>
          <w:rPr>
            <w:rStyle w:val="25"/>
          </w:rPr>
        </w:pPr>
        <w:r>
          <w:rPr>
            <w:rStyle w:val="25"/>
          </w:rPr>
          <w:fldChar w:fldCharType="begin"/>
        </w:r>
        <w:r>
          <w:rPr>
            <w:rStyle w:val="25"/>
          </w:rPr>
          <w:instrText xml:space="preserve"> PAGE </w:instrText>
        </w:r>
        <w:r>
          <w:rPr>
            <w:rStyle w:val="25"/>
          </w:rPr>
          <w:fldChar w:fldCharType="separate"/>
        </w:r>
        <w:r>
          <w:rPr>
            <w:rStyle w:val="25"/>
          </w:rPr>
          <w:t>1</w:t>
        </w:r>
        <w:r>
          <w:rPr>
            <w:rStyle w:val="25"/>
          </w:rPr>
          <w:fldChar w:fldCharType="end"/>
        </w:r>
      </w:p>
    </w:sdtContent>
  </w:sdt>
  <w:p w14:paraId="5552F359">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201944301"/>
    </w:sdtPr>
    <w:sdtEndPr>
      <w:rPr>
        <w:rStyle w:val="25"/>
      </w:rPr>
    </w:sdtEndPr>
    <w:sdtContent>
      <w:p w14:paraId="750935E3">
        <w:pPr>
          <w:pStyle w:val="12"/>
          <w:framePr w:wrap="auto" w:vAnchor="text" w:hAnchor="margin" w:xAlign="center" w:y="1"/>
          <w:rPr>
            <w:rStyle w:val="25"/>
          </w:rPr>
        </w:pPr>
        <w:r>
          <w:rPr>
            <w:rStyle w:val="25"/>
          </w:rPr>
          <w:fldChar w:fldCharType="begin"/>
        </w:r>
        <w:r>
          <w:rPr>
            <w:rStyle w:val="25"/>
          </w:rPr>
          <w:instrText xml:space="preserve"> PAGE </w:instrText>
        </w:r>
        <w:r>
          <w:rPr>
            <w:rStyle w:val="25"/>
          </w:rPr>
          <w:fldChar w:fldCharType="end"/>
        </w:r>
      </w:p>
    </w:sdtContent>
  </w:sdt>
  <w:p w14:paraId="72462255">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413240901"/>
    </w:sdtPr>
    <w:sdtEndPr>
      <w:rPr>
        <w:rStyle w:val="25"/>
      </w:rPr>
    </w:sdtEndPr>
    <w:sdtContent>
      <w:p w14:paraId="5B49E857">
        <w:pPr>
          <w:pStyle w:val="12"/>
          <w:framePr w:wrap="auto" w:vAnchor="text" w:hAnchor="margin" w:xAlign="right" w:y="1"/>
          <w:rPr>
            <w:rStyle w:val="25"/>
          </w:rPr>
        </w:pPr>
        <w:r>
          <w:rPr>
            <w:rStyle w:val="25"/>
          </w:rPr>
          <w:fldChar w:fldCharType="begin"/>
        </w:r>
        <w:r>
          <w:rPr>
            <w:rStyle w:val="25"/>
          </w:rPr>
          <w:instrText xml:space="preserve"> PAGE </w:instrText>
        </w:r>
        <w:r>
          <w:rPr>
            <w:rStyle w:val="25"/>
          </w:rPr>
          <w:fldChar w:fldCharType="separate"/>
        </w:r>
        <w:r>
          <w:rPr>
            <w:rStyle w:val="25"/>
          </w:rPr>
          <w:t>1</w:t>
        </w:r>
        <w:r>
          <w:rPr>
            <w:rStyle w:val="25"/>
          </w:rPr>
          <w:fldChar w:fldCharType="end"/>
        </w:r>
      </w:p>
    </w:sdtContent>
  </w:sdt>
  <w:p w14:paraId="4AFF1586">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5"/>
      </w:rPr>
      <w:id w:val="-1446692082"/>
    </w:sdtPr>
    <w:sdtEndPr>
      <w:rPr>
        <w:rStyle w:val="25"/>
      </w:rPr>
    </w:sdtEndPr>
    <w:sdtContent>
      <w:p w14:paraId="77709891">
        <w:pPr>
          <w:pStyle w:val="12"/>
          <w:framePr w:wrap="auto" w:vAnchor="text" w:hAnchor="margin" w:xAlign="right" w:y="1"/>
          <w:rPr>
            <w:rStyle w:val="25"/>
          </w:rPr>
        </w:pPr>
        <w:r>
          <w:rPr>
            <w:rStyle w:val="25"/>
          </w:rPr>
          <w:fldChar w:fldCharType="begin"/>
        </w:r>
        <w:r>
          <w:rPr>
            <w:rStyle w:val="25"/>
          </w:rPr>
          <w:instrText xml:space="preserve"> PAGE </w:instrText>
        </w:r>
        <w:r>
          <w:rPr>
            <w:rStyle w:val="25"/>
          </w:rPr>
          <w:fldChar w:fldCharType="end"/>
        </w:r>
      </w:p>
    </w:sdtContent>
  </w:sdt>
  <w:p w14:paraId="5F2AE661">
    <w:pPr>
      <w:pStyle w:val="1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bordersDoNotSurroundHeader w:val="0"/>
  <w:bordersDoNotSurroundFooter w:val="0"/>
  <w:hideSpellingErrors/>
  <w:hideGrammatical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FE731D"/>
    <w:rsid w:val="00000229"/>
    <w:rsid w:val="00001C13"/>
    <w:rsid w:val="00003D0A"/>
    <w:rsid w:val="00007CEC"/>
    <w:rsid w:val="000133F4"/>
    <w:rsid w:val="00016D0E"/>
    <w:rsid w:val="0001702B"/>
    <w:rsid w:val="00020FD1"/>
    <w:rsid w:val="0002354F"/>
    <w:rsid w:val="00023668"/>
    <w:rsid w:val="0002442E"/>
    <w:rsid w:val="000246A3"/>
    <w:rsid w:val="00024D7F"/>
    <w:rsid w:val="0002563E"/>
    <w:rsid w:val="00025AB6"/>
    <w:rsid w:val="00032F8B"/>
    <w:rsid w:val="00040FDE"/>
    <w:rsid w:val="00041BFA"/>
    <w:rsid w:val="00044395"/>
    <w:rsid w:val="00046AF7"/>
    <w:rsid w:val="000473CD"/>
    <w:rsid w:val="000479E3"/>
    <w:rsid w:val="000502A9"/>
    <w:rsid w:val="00050EDF"/>
    <w:rsid w:val="00055C63"/>
    <w:rsid w:val="00055FCE"/>
    <w:rsid w:val="000575A4"/>
    <w:rsid w:val="00065E05"/>
    <w:rsid w:val="00072E21"/>
    <w:rsid w:val="000736EF"/>
    <w:rsid w:val="00073F55"/>
    <w:rsid w:val="000743D8"/>
    <w:rsid w:val="0007490E"/>
    <w:rsid w:val="00074D44"/>
    <w:rsid w:val="00074E42"/>
    <w:rsid w:val="0007588D"/>
    <w:rsid w:val="0007605B"/>
    <w:rsid w:val="000762C9"/>
    <w:rsid w:val="00077202"/>
    <w:rsid w:val="0008015C"/>
    <w:rsid w:val="000821B6"/>
    <w:rsid w:val="00083D37"/>
    <w:rsid w:val="00083E3E"/>
    <w:rsid w:val="00084A21"/>
    <w:rsid w:val="00086636"/>
    <w:rsid w:val="000867E1"/>
    <w:rsid w:val="00090B18"/>
    <w:rsid w:val="00091030"/>
    <w:rsid w:val="00091430"/>
    <w:rsid w:val="00091D11"/>
    <w:rsid w:val="0009333F"/>
    <w:rsid w:val="000979E6"/>
    <w:rsid w:val="00097A5C"/>
    <w:rsid w:val="000A1D6F"/>
    <w:rsid w:val="000A229B"/>
    <w:rsid w:val="000A3534"/>
    <w:rsid w:val="000A6F13"/>
    <w:rsid w:val="000B3BA1"/>
    <w:rsid w:val="000B3E5C"/>
    <w:rsid w:val="000B7482"/>
    <w:rsid w:val="000C0479"/>
    <w:rsid w:val="000C0991"/>
    <w:rsid w:val="000C142A"/>
    <w:rsid w:val="000C5BFB"/>
    <w:rsid w:val="000C5D3A"/>
    <w:rsid w:val="000C77DB"/>
    <w:rsid w:val="000D102F"/>
    <w:rsid w:val="000D12F1"/>
    <w:rsid w:val="000D151F"/>
    <w:rsid w:val="000D2699"/>
    <w:rsid w:val="000D2D41"/>
    <w:rsid w:val="000D2F81"/>
    <w:rsid w:val="000D6D78"/>
    <w:rsid w:val="000D722E"/>
    <w:rsid w:val="000D77FE"/>
    <w:rsid w:val="000D7AFE"/>
    <w:rsid w:val="000D7C2E"/>
    <w:rsid w:val="000E265C"/>
    <w:rsid w:val="000E40D0"/>
    <w:rsid w:val="000E44AB"/>
    <w:rsid w:val="000E5B56"/>
    <w:rsid w:val="000F1D1C"/>
    <w:rsid w:val="000F3BE8"/>
    <w:rsid w:val="000F4AFA"/>
    <w:rsid w:val="000F66FE"/>
    <w:rsid w:val="000F6843"/>
    <w:rsid w:val="00100482"/>
    <w:rsid w:val="001012A2"/>
    <w:rsid w:val="0010235B"/>
    <w:rsid w:val="00104D9E"/>
    <w:rsid w:val="00105405"/>
    <w:rsid w:val="00105C01"/>
    <w:rsid w:val="0010655E"/>
    <w:rsid w:val="00106868"/>
    <w:rsid w:val="00106C26"/>
    <w:rsid w:val="0010711A"/>
    <w:rsid w:val="001079F8"/>
    <w:rsid w:val="00111F59"/>
    <w:rsid w:val="001143D7"/>
    <w:rsid w:val="00116FC8"/>
    <w:rsid w:val="0012248A"/>
    <w:rsid w:val="00123072"/>
    <w:rsid w:val="001237E4"/>
    <w:rsid w:val="00123A75"/>
    <w:rsid w:val="00123B30"/>
    <w:rsid w:val="00125C11"/>
    <w:rsid w:val="00125FA6"/>
    <w:rsid w:val="001267DF"/>
    <w:rsid w:val="00126981"/>
    <w:rsid w:val="00130777"/>
    <w:rsid w:val="00130BA8"/>
    <w:rsid w:val="00130DDC"/>
    <w:rsid w:val="001336EA"/>
    <w:rsid w:val="0013464C"/>
    <w:rsid w:val="00136CA0"/>
    <w:rsid w:val="00140480"/>
    <w:rsid w:val="001411D7"/>
    <w:rsid w:val="00141539"/>
    <w:rsid w:val="00144A7E"/>
    <w:rsid w:val="00145553"/>
    <w:rsid w:val="00145627"/>
    <w:rsid w:val="00145C82"/>
    <w:rsid w:val="001466EA"/>
    <w:rsid w:val="00152050"/>
    <w:rsid w:val="00154C8C"/>
    <w:rsid w:val="00155105"/>
    <w:rsid w:val="00155967"/>
    <w:rsid w:val="00155A68"/>
    <w:rsid w:val="0015688C"/>
    <w:rsid w:val="0016079E"/>
    <w:rsid w:val="001640EF"/>
    <w:rsid w:val="001650A8"/>
    <w:rsid w:val="00166603"/>
    <w:rsid w:val="00170021"/>
    <w:rsid w:val="00170066"/>
    <w:rsid w:val="00170D60"/>
    <w:rsid w:val="00176CE9"/>
    <w:rsid w:val="0017772E"/>
    <w:rsid w:val="00186DA4"/>
    <w:rsid w:val="001872A6"/>
    <w:rsid w:val="00190A75"/>
    <w:rsid w:val="00193704"/>
    <w:rsid w:val="0019387C"/>
    <w:rsid w:val="001945E9"/>
    <w:rsid w:val="001948E2"/>
    <w:rsid w:val="00194EF4"/>
    <w:rsid w:val="00195ABF"/>
    <w:rsid w:val="001966D8"/>
    <w:rsid w:val="001A1332"/>
    <w:rsid w:val="001A16EF"/>
    <w:rsid w:val="001A1CE1"/>
    <w:rsid w:val="001A36E3"/>
    <w:rsid w:val="001A4D80"/>
    <w:rsid w:val="001A5AFE"/>
    <w:rsid w:val="001B1084"/>
    <w:rsid w:val="001B19BD"/>
    <w:rsid w:val="001B24F0"/>
    <w:rsid w:val="001B4839"/>
    <w:rsid w:val="001C1B20"/>
    <w:rsid w:val="001C239C"/>
    <w:rsid w:val="001C3268"/>
    <w:rsid w:val="001C349D"/>
    <w:rsid w:val="001C3AAB"/>
    <w:rsid w:val="001C659D"/>
    <w:rsid w:val="001D4B84"/>
    <w:rsid w:val="001D5010"/>
    <w:rsid w:val="001D5338"/>
    <w:rsid w:val="001D5460"/>
    <w:rsid w:val="001D55A8"/>
    <w:rsid w:val="001D5AA2"/>
    <w:rsid w:val="001D5EB6"/>
    <w:rsid w:val="001E04E6"/>
    <w:rsid w:val="001E2C11"/>
    <w:rsid w:val="001E3845"/>
    <w:rsid w:val="001E6D98"/>
    <w:rsid w:val="001E7E93"/>
    <w:rsid w:val="001F15AB"/>
    <w:rsid w:val="001F3AB3"/>
    <w:rsid w:val="001F4247"/>
    <w:rsid w:val="001F7329"/>
    <w:rsid w:val="001F7672"/>
    <w:rsid w:val="0020066A"/>
    <w:rsid w:val="00201904"/>
    <w:rsid w:val="00201B67"/>
    <w:rsid w:val="00202EE4"/>
    <w:rsid w:val="00204BB5"/>
    <w:rsid w:val="00204CE4"/>
    <w:rsid w:val="002105AC"/>
    <w:rsid w:val="00210923"/>
    <w:rsid w:val="002130CF"/>
    <w:rsid w:val="00213E8A"/>
    <w:rsid w:val="00214DFD"/>
    <w:rsid w:val="00215BB2"/>
    <w:rsid w:val="00215C13"/>
    <w:rsid w:val="00216300"/>
    <w:rsid w:val="00217F42"/>
    <w:rsid w:val="002201F9"/>
    <w:rsid w:val="00222E7C"/>
    <w:rsid w:val="00224DEE"/>
    <w:rsid w:val="002252FE"/>
    <w:rsid w:val="00225985"/>
    <w:rsid w:val="0022611C"/>
    <w:rsid w:val="002264AE"/>
    <w:rsid w:val="00231B01"/>
    <w:rsid w:val="00232F8D"/>
    <w:rsid w:val="00233B46"/>
    <w:rsid w:val="00234CE9"/>
    <w:rsid w:val="00235844"/>
    <w:rsid w:val="00235C0A"/>
    <w:rsid w:val="002432C2"/>
    <w:rsid w:val="0024457A"/>
    <w:rsid w:val="00245033"/>
    <w:rsid w:val="0024506B"/>
    <w:rsid w:val="00246346"/>
    <w:rsid w:val="00247098"/>
    <w:rsid w:val="00252692"/>
    <w:rsid w:val="00256224"/>
    <w:rsid w:val="00262E02"/>
    <w:rsid w:val="002667FD"/>
    <w:rsid w:val="00266B8B"/>
    <w:rsid w:val="00266BC8"/>
    <w:rsid w:val="00267765"/>
    <w:rsid w:val="002707CD"/>
    <w:rsid w:val="00273534"/>
    <w:rsid w:val="00274662"/>
    <w:rsid w:val="0027723B"/>
    <w:rsid w:val="0028181C"/>
    <w:rsid w:val="00282A20"/>
    <w:rsid w:val="00283600"/>
    <w:rsid w:val="0028485E"/>
    <w:rsid w:val="00287577"/>
    <w:rsid w:val="00296397"/>
    <w:rsid w:val="00296460"/>
    <w:rsid w:val="002A09FF"/>
    <w:rsid w:val="002A475F"/>
    <w:rsid w:val="002A6940"/>
    <w:rsid w:val="002A7DA6"/>
    <w:rsid w:val="002B141E"/>
    <w:rsid w:val="002B1EDC"/>
    <w:rsid w:val="002B2A81"/>
    <w:rsid w:val="002B443F"/>
    <w:rsid w:val="002B5E83"/>
    <w:rsid w:val="002B6414"/>
    <w:rsid w:val="002B7BB5"/>
    <w:rsid w:val="002C0C40"/>
    <w:rsid w:val="002C3358"/>
    <w:rsid w:val="002C46FC"/>
    <w:rsid w:val="002C5B84"/>
    <w:rsid w:val="002D1843"/>
    <w:rsid w:val="002D20BA"/>
    <w:rsid w:val="002D44A0"/>
    <w:rsid w:val="002D79E4"/>
    <w:rsid w:val="002E04D1"/>
    <w:rsid w:val="002E49EB"/>
    <w:rsid w:val="002E50FE"/>
    <w:rsid w:val="002F394E"/>
    <w:rsid w:val="002F52C5"/>
    <w:rsid w:val="002F5FBE"/>
    <w:rsid w:val="002F7435"/>
    <w:rsid w:val="003034A3"/>
    <w:rsid w:val="00305688"/>
    <w:rsid w:val="00306061"/>
    <w:rsid w:val="00306EE7"/>
    <w:rsid w:val="00310C05"/>
    <w:rsid w:val="0031204C"/>
    <w:rsid w:val="00312C27"/>
    <w:rsid w:val="00313738"/>
    <w:rsid w:val="0031594C"/>
    <w:rsid w:val="0031595B"/>
    <w:rsid w:val="00317C72"/>
    <w:rsid w:val="003203D1"/>
    <w:rsid w:val="00323674"/>
    <w:rsid w:val="00323CF0"/>
    <w:rsid w:val="00326B68"/>
    <w:rsid w:val="00326BC4"/>
    <w:rsid w:val="00327395"/>
    <w:rsid w:val="00327F33"/>
    <w:rsid w:val="003304D9"/>
    <w:rsid w:val="00332224"/>
    <w:rsid w:val="003324A2"/>
    <w:rsid w:val="00334B9D"/>
    <w:rsid w:val="00336E0A"/>
    <w:rsid w:val="0034240A"/>
    <w:rsid w:val="00344CB3"/>
    <w:rsid w:val="003455E5"/>
    <w:rsid w:val="00345C3F"/>
    <w:rsid w:val="0034733C"/>
    <w:rsid w:val="00351EA8"/>
    <w:rsid w:val="00352511"/>
    <w:rsid w:val="00352A1A"/>
    <w:rsid w:val="0035380A"/>
    <w:rsid w:val="00355E2C"/>
    <w:rsid w:val="003572D9"/>
    <w:rsid w:val="00363892"/>
    <w:rsid w:val="00364AA0"/>
    <w:rsid w:val="00365829"/>
    <w:rsid w:val="00366EB5"/>
    <w:rsid w:val="0037146D"/>
    <w:rsid w:val="003716C9"/>
    <w:rsid w:val="00372FAC"/>
    <w:rsid w:val="00374EC3"/>
    <w:rsid w:val="0038537A"/>
    <w:rsid w:val="003863E5"/>
    <w:rsid w:val="003877F0"/>
    <w:rsid w:val="00387C3F"/>
    <w:rsid w:val="0039291D"/>
    <w:rsid w:val="00397A73"/>
    <w:rsid w:val="003A02B9"/>
    <w:rsid w:val="003A14C4"/>
    <w:rsid w:val="003A201A"/>
    <w:rsid w:val="003A475A"/>
    <w:rsid w:val="003A4E17"/>
    <w:rsid w:val="003A5059"/>
    <w:rsid w:val="003A6A35"/>
    <w:rsid w:val="003B061F"/>
    <w:rsid w:val="003B1685"/>
    <w:rsid w:val="003B34D8"/>
    <w:rsid w:val="003B44FA"/>
    <w:rsid w:val="003B4FB8"/>
    <w:rsid w:val="003B612A"/>
    <w:rsid w:val="003C5D4F"/>
    <w:rsid w:val="003D2575"/>
    <w:rsid w:val="003D446C"/>
    <w:rsid w:val="003D4571"/>
    <w:rsid w:val="003D55F4"/>
    <w:rsid w:val="003E0ADF"/>
    <w:rsid w:val="003E1336"/>
    <w:rsid w:val="003E1AB4"/>
    <w:rsid w:val="003E31C0"/>
    <w:rsid w:val="003E3934"/>
    <w:rsid w:val="003E3CB9"/>
    <w:rsid w:val="003E3F28"/>
    <w:rsid w:val="003E4739"/>
    <w:rsid w:val="003E6326"/>
    <w:rsid w:val="003F2A3D"/>
    <w:rsid w:val="003F33F2"/>
    <w:rsid w:val="003F45F7"/>
    <w:rsid w:val="00400C74"/>
    <w:rsid w:val="00401267"/>
    <w:rsid w:val="00401EE6"/>
    <w:rsid w:val="004024F4"/>
    <w:rsid w:val="00403F97"/>
    <w:rsid w:val="00404568"/>
    <w:rsid w:val="00404D87"/>
    <w:rsid w:val="00410CEF"/>
    <w:rsid w:val="00414986"/>
    <w:rsid w:val="004160D8"/>
    <w:rsid w:val="0041721C"/>
    <w:rsid w:val="00421FA8"/>
    <w:rsid w:val="00423B78"/>
    <w:rsid w:val="004241BE"/>
    <w:rsid w:val="004242FC"/>
    <w:rsid w:val="004316D3"/>
    <w:rsid w:val="004342B8"/>
    <w:rsid w:val="004356BB"/>
    <w:rsid w:val="0043682B"/>
    <w:rsid w:val="00441CF4"/>
    <w:rsid w:val="00443A5C"/>
    <w:rsid w:val="00443E84"/>
    <w:rsid w:val="00446284"/>
    <w:rsid w:val="00446D96"/>
    <w:rsid w:val="00450BE7"/>
    <w:rsid w:val="0045134E"/>
    <w:rsid w:val="00451EA0"/>
    <w:rsid w:val="004545BA"/>
    <w:rsid w:val="00461428"/>
    <w:rsid w:val="00462D42"/>
    <w:rsid w:val="004646F8"/>
    <w:rsid w:val="00465501"/>
    <w:rsid w:val="00467738"/>
    <w:rsid w:val="004703CB"/>
    <w:rsid w:val="0047074B"/>
    <w:rsid w:val="00470886"/>
    <w:rsid w:val="00471479"/>
    <w:rsid w:val="00474691"/>
    <w:rsid w:val="00476504"/>
    <w:rsid w:val="00480C6E"/>
    <w:rsid w:val="004834E8"/>
    <w:rsid w:val="00483BEC"/>
    <w:rsid w:val="00483EC6"/>
    <w:rsid w:val="00484BAD"/>
    <w:rsid w:val="00487429"/>
    <w:rsid w:val="00491059"/>
    <w:rsid w:val="0049310D"/>
    <w:rsid w:val="004946CB"/>
    <w:rsid w:val="00495165"/>
    <w:rsid w:val="004A07DD"/>
    <w:rsid w:val="004A0E92"/>
    <w:rsid w:val="004A2499"/>
    <w:rsid w:val="004A2DC6"/>
    <w:rsid w:val="004A3EAC"/>
    <w:rsid w:val="004A5613"/>
    <w:rsid w:val="004A726E"/>
    <w:rsid w:val="004B0489"/>
    <w:rsid w:val="004B122D"/>
    <w:rsid w:val="004B1B9B"/>
    <w:rsid w:val="004B28F8"/>
    <w:rsid w:val="004B33B4"/>
    <w:rsid w:val="004B3E57"/>
    <w:rsid w:val="004B4B9D"/>
    <w:rsid w:val="004C03C0"/>
    <w:rsid w:val="004C0E99"/>
    <w:rsid w:val="004C16C7"/>
    <w:rsid w:val="004C1D05"/>
    <w:rsid w:val="004C45A4"/>
    <w:rsid w:val="004C74E4"/>
    <w:rsid w:val="004D1D16"/>
    <w:rsid w:val="004D2699"/>
    <w:rsid w:val="004D5DE5"/>
    <w:rsid w:val="004D61AC"/>
    <w:rsid w:val="004D6BB4"/>
    <w:rsid w:val="004D6C68"/>
    <w:rsid w:val="004D7FB6"/>
    <w:rsid w:val="004E1425"/>
    <w:rsid w:val="004E37D8"/>
    <w:rsid w:val="004E4A48"/>
    <w:rsid w:val="004E6198"/>
    <w:rsid w:val="004E69A8"/>
    <w:rsid w:val="004E6C37"/>
    <w:rsid w:val="004E7BDB"/>
    <w:rsid w:val="004F1034"/>
    <w:rsid w:val="004F26F0"/>
    <w:rsid w:val="004F3E36"/>
    <w:rsid w:val="004F3F07"/>
    <w:rsid w:val="004F4F5B"/>
    <w:rsid w:val="004F52A2"/>
    <w:rsid w:val="004F546B"/>
    <w:rsid w:val="004F6A10"/>
    <w:rsid w:val="004F6C0F"/>
    <w:rsid w:val="005027CD"/>
    <w:rsid w:val="00503C12"/>
    <w:rsid w:val="00507218"/>
    <w:rsid w:val="00510148"/>
    <w:rsid w:val="00510F64"/>
    <w:rsid w:val="00511624"/>
    <w:rsid w:val="00511DAE"/>
    <w:rsid w:val="0051568E"/>
    <w:rsid w:val="00520701"/>
    <w:rsid w:val="0052404A"/>
    <w:rsid w:val="00524B2D"/>
    <w:rsid w:val="00527BA6"/>
    <w:rsid w:val="00531FB3"/>
    <w:rsid w:val="00532568"/>
    <w:rsid w:val="005332C5"/>
    <w:rsid w:val="005338BC"/>
    <w:rsid w:val="00534561"/>
    <w:rsid w:val="005417CC"/>
    <w:rsid w:val="0054260B"/>
    <w:rsid w:val="0054292B"/>
    <w:rsid w:val="00543A3C"/>
    <w:rsid w:val="005476EE"/>
    <w:rsid w:val="00550080"/>
    <w:rsid w:val="00550409"/>
    <w:rsid w:val="00551791"/>
    <w:rsid w:val="00552DE0"/>
    <w:rsid w:val="005534A7"/>
    <w:rsid w:val="0055438E"/>
    <w:rsid w:val="00554433"/>
    <w:rsid w:val="00554755"/>
    <w:rsid w:val="00554F0D"/>
    <w:rsid w:val="00557FE3"/>
    <w:rsid w:val="00561F06"/>
    <w:rsid w:val="00563341"/>
    <w:rsid w:val="00563B9E"/>
    <w:rsid w:val="005654CF"/>
    <w:rsid w:val="0057054B"/>
    <w:rsid w:val="0057213E"/>
    <w:rsid w:val="005726E0"/>
    <w:rsid w:val="005773CD"/>
    <w:rsid w:val="00581794"/>
    <w:rsid w:val="005825A7"/>
    <w:rsid w:val="00585376"/>
    <w:rsid w:val="00585E84"/>
    <w:rsid w:val="00586CB1"/>
    <w:rsid w:val="005878F9"/>
    <w:rsid w:val="00591EAA"/>
    <w:rsid w:val="00593810"/>
    <w:rsid w:val="00593A72"/>
    <w:rsid w:val="00595F5B"/>
    <w:rsid w:val="005A2FD6"/>
    <w:rsid w:val="005A3CF3"/>
    <w:rsid w:val="005A537D"/>
    <w:rsid w:val="005B1278"/>
    <w:rsid w:val="005B1796"/>
    <w:rsid w:val="005B2860"/>
    <w:rsid w:val="005B621E"/>
    <w:rsid w:val="005C152C"/>
    <w:rsid w:val="005C2423"/>
    <w:rsid w:val="005C2C6A"/>
    <w:rsid w:val="005C562C"/>
    <w:rsid w:val="005C57F2"/>
    <w:rsid w:val="005C7C60"/>
    <w:rsid w:val="005D2C17"/>
    <w:rsid w:val="005D2FF1"/>
    <w:rsid w:val="005D4B8A"/>
    <w:rsid w:val="005D63B1"/>
    <w:rsid w:val="005D6545"/>
    <w:rsid w:val="005E1E19"/>
    <w:rsid w:val="005E1ED6"/>
    <w:rsid w:val="005E279D"/>
    <w:rsid w:val="005E29DB"/>
    <w:rsid w:val="005E38C0"/>
    <w:rsid w:val="005E4B9A"/>
    <w:rsid w:val="005E5C21"/>
    <w:rsid w:val="005F122D"/>
    <w:rsid w:val="005F4287"/>
    <w:rsid w:val="005F5BC8"/>
    <w:rsid w:val="006003ED"/>
    <w:rsid w:val="006018B5"/>
    <w:rsid w:val="00601E21"/>
    <w:rsid w:val="0060203C"/>
    <w:rsid w:val="00602087"/>
    <w:rsid w:val="00607058"/>
    <w:rsid w:val="006070CD"/>
    <w:rsid w:val="00607865"/>
    <w:rsid w:val="00612DA0"/>
    <w:rsid w:val="00613EC1"/>
    <w:rsid w:val="00614CED"/>
    <w:rsid w:val="00616C85"/>
    <w:rsid w:val="00620592"/>
    <w:rsid w:val="006209C2"/>
    <w:rsid w:val="00622272"/>
    <w:rsid w:val="0062462B"/>
    <w:rsid w:val="006273C4"/>
    <w:rsid w:val="006273D8"/>
    <w:rsid w:val="006332B8"/>
    <w:rsid w:val="00634847"/>
    <w:rsid w:val="006374F2"/>
    <w:rsid w:val="006376E5"/>
    <w:rsid w:val="00640FD5"/>
    <w:rsid w:val="00643E6D"/>
    <w:rsid w:val="006539FD"/>
    <w:rsid w:val="00654012"/>
    <w:rsid w:val="006543A1"/>
    <w:rsid w:val="00654B3E"/>
    <w:rsid w:val="00657BC8"/>
    <w:rsid w:val="0066068A"/>
    <w:rsid w:val="00660E86"/>
    <w:rsid w:val="00661115"/>
    <w:rsid w:val="00662F40"/>
    <w:rsid w:val="006634EF"/>
    <w:rsid w:val="00666876"/>
    <w:rsid w:val="00670299"/>
    <w:rsid w:val="00671992"/>
    <w:rsid w:val="00671D23"/>
    <w:rsid w:val="00672BA7"/>
    <w:rsid w:val="00672CBD"/>
    <w:rsid w:val="00674BB6"/>
    <w:rsid w:val="00680795"/>
    <w:rsid w:val="006834F0"/>
    <w:rsid w:val="00692146"/>
    <w:rsid w:val="0069473F"/>
    <w:rsid w:val="00694C62"/>
    <w:rsid w:val="00695098"/>
    <w:rsid w:val="00695C4F"/>
    <w:rsid w:val="0069615C"/>
    <w:rsid w:val="00696DF8"/>
    <w:rsid w:val="006A0488"/>
    <w:rsid w:val="006A0968"/>
    <w:rsid w:val="006A0B4E"/>
    <w:rsid w:val="006A1006"/>
    <w:rsid w:val="006A2F8D"/>
    <w:rsid w:val="006A33DA"/>
    <w:rsid w:val="006A3A74"/>
    <w:rsid w:val="006A4E55"/>
    <w:rsid w:val="006A5FB0"/>
    <w:rsid w:val="006A6609"/>
    <w:rsid w:val="006A71D2"/>
    <w:rsid w:val="006B0155"/>
    <w:rsid w:val="006B2248"/>
    <w:rsid w:val="006B2793"/>
    <w:rsid w:val="006B5614"/>
    <w:rsid w:val="006B6CDA"/>
    <w:rsid w:val="006B78EE"/>
    <w:rsid w:val="006C3322"/>
    <w:rsid w:val="006C4D5E"/>
    <w:rsid w:val="006C7711"/>
    <w:rsid w:val="006D458A"/>
    <w:rsid w:val="006D5628"/>
    <w:rsid w:val="006D714E"/>
    <w:rsid w:val="006E187A"/>
    <w:rsid w:val="006F0EBD"/>
    <w:rsid w:val="006F1154"/>
    <w:rsid w:val="006F1296"/>
    <w:rsid w:val="006F2D1C"/>
    <w:rsid w:val="006F5D80"/>
    <w:rsid w:val="006F6D04"/>
    <w:rsid w:val="00702CC6"/>
    <w:rsid w:val="00703169"/>
    <w:rsid w:val="00704562"/>
    <w:rsid w:val="0070798C"/>
    <w:rsid w:val="007118D6"/>
    <w:rsid w:val="00712F44"/>
    <w:rsid w:val="00713173"/>
    <w:rsid w:val="00714FCC"/>
    <w:rsid w:val="00715BF0"/>
    <w:rsid w:val="00716329"/>
    <w:rsid w:val="00717085"/>
    <w:rsid w:val="007170BF"/>
    <w:rsid w:val="00720A99"/>
    <w:rsid w:val="00722A0E"/>
    <w:rsid w:val="00723D3A"/>
    <w:rsid w:val="00723F0A"/>
    <w:rsid w:val="007242EC"/>
    <w:rsid w:val="00725D5B"/>
    <w:rsid w:val="007264D2"/>
    <w:rsid w:val="0072732E"/>
    <w:rsid w:val="007300B4"/>
    <w:rsid w:val="00731A38"/>
    <w:rsid w:val="00732178"/>
    <w:rsid w:val="007337A3"/>
    <w:rsid w:val="00737242"/>
    <w:rsid w:val="007412FF"/>
    <w:rsid w:val="0074301D"/>
    <w:rsid w:val="00745722"/>
    <w:rsid w:val="00746132"/>
    <w:rsid w:val="00747469"/>
    <w:rsid w:val="00750CF5"/>
    <w:rsid w:val="00756E72"/>
    <w:rsid w:val="0076011B"/>
    <w:rsid w:val="00763576"/>
    <w:rsid w:val="00763F1F"/>
    <w:rsid w:val="007652EA"/>
    <w:rsid w:val="0076745F"/>
    <w:rsid w:val="00770606"/>
    <w:rsid w:val="007710E1"/>
    <w:rsid w:val="00772144"/>
    <w:rsid w:val="007749E5"/>
    <w:rsid w:val="00774F7D"/>
    <w:rsid w:val="007752EE"/>
    <w:rsid w:val="0077715C"/>
    <w:rsid w:val="0077779D"/>
    <w:rsid w:val="00782248"/>
    <w:rsid w:val="00784F31"/>
    <w:rsid w:val="00785F3E"/>
    <w:rsid w:val="007900F8"/>
    <w:rsid w:val="00791B47"/>
    <w:rsid w:val="00793EAD"/>
    <w:rsid w:val="00794D27"/>
    <w:rsid w:val="007A11B2"/>
    <w:rsid w:val="007A1279"/>
    <w:rsid w:val="007A13B9"/>
    <w:rsid w:val="007A1C7D"/>
    <w:rsid w:val="007A285D"/>
    <w:rsid w:val="007A40D5"/>
    <w:rsid w:val="007A53D4"/>
    <w:rsid w:val="007B2A6E"/>
    <w:rsid w:val="007B73E7"/>
    <w:rsid w:val="007C04D7"/>
    <w:rsid w:val="007C0959"/>
    <w:rsid w:val="007C108D"/>
    <w:rsid w:val="007C11C7"/>
    <w:rsid w:val="007C1771"/>
    <w:rsid w:val="007C254B"/>
    <w:rsid w:val="007C289F"/>
    <w:rsid w:val="007C5D29"/>
    <w:rsid w:val="007D3ED5"/>
    <w:rsid w:val="007D5364"/>
    <w:rsid w:val="007D5C11"/>
    <w:rsid w:val="007D77AD"/>
    <w:rsid w:val="007D7820"/>
    <w:rsid w:val="007D7A0F"/>
    <w:rsid w:val="007E020F"/>
    <w:rsid w:val="007E39EC"/>
    <w:rsid w:val="007E4BB4"/>
    <w:rsid w:val="007E5311"/>
    <w:rsid w:val="007E5A4A"/>
    <w:rsid w:val="007E63D8"/>
    <w:rsid w:val="007F03A0"/>
    <w:rsid w:val="007F17AF"/>
    <w:rsid w:val="007F2053"/>
    <w:rsid w:val="007F338D"/>
    <w:rsid w:val="007F3D34"/>
    <w:rsid w:val="007F6D0E"/>
    <w:rsid w:val="00800572"/>
    <w:rsid w:val="0080126E"/>
    <w:rsid w:val="00802311"/>
    <w:rsid w:val="00805C68"/>
    <w:rsid w:val="00810C14"/>
    <w:rsid w:val="008128E4"/>
    <w:rsid w:val="00820037"/>
    <w:rsid w:val="008205FF"/>
    <w:rsid w:val="00820C7B"/>
    <w:rsid w:val="008220ED"/>
    <w:rsid w:val="00822CC8"/>
    <w:rsid w:val="00824128"/>
    <w:rsid w:val="00824F72"/>
    <w:rsid w:val="00826B2F"/>
    <w:rsid w:val="00830764"/>
    <w:rsid w:val="00830C12"/>
    <w:rsid w:val="00831792"/>
    <w:rsid w:val="00832131"/>
    <w:rsid w:val="0083329E"/>
    <w:rsid w:val="00833343"/>
    <w:rsid w:val="00834BCE"/>
    <w:rsid w:val="0083713F"/>
    <w:rsid w:val="00837936"/>
    <w:rsid w:val="008419D5"/>
    <w:rsid w:val="00841C38"/>
    <w:rsid w:val="00841F27"/>
    <w:rsid w:val="00844CB7"/>
    <w:rsid w:val="008465EE"/>
    <w:rsid w:val="00850573"/>
    <w:rsid w:val="00852B8A"/>
    <w:rsid w:val="00857BA9"/>
    <w:rsid w:val="00862145"/>
    <w:rsid w:val="008637F1"/>
    <w:rsid w:val="00863B5B"/>
    <w:rsid w:val="00863DB6"/>
    <w:rsid w:val="008658A0"/>
    <w:rsid w:val="00865AD9"/>
    <w:rsid w:val="00866BDB"/>
    <w:rsid w:val="00873B85"/>
    <w:rsid w:val="00873C7F"/>
    <w:rsid w:val="00882D44"/>
    <w:rsid w:val="00883B1A"/>
    <w:rsid w:val="00884B0E"/>
    <w:rsid w:val="008864E4"/>
    <w:rsid w:val="0089117B"/>
    <w:rsid w:val="00893456"/>
    <w:rsid w:val="008934AD"/>
    <w:rsid w:val="00893DDB"/>
    <w:rsid w:val="0089523A"/>
    <w:rsid w:val="00895C44"/>
    <w:rsid w:val="008A29A4"/>
    <w:rsid w:val="008A3372"/>
    <w:rsid w:val="008A365C"/>
    <w:rsid w:val="008A38EA"/>
    <w:rsid w:val="008A4682"/>
    <w:rsid w:val="008A7680"/>
    <w:rsid w:val="008A7B29"/>
    <w:rsid w:val="008B24D5"/>
    <w:rsid w:val="008B2722"/>
    <w:rsid w:val="008B551C"/>
    <w:rsid w:val="008B5F0E"/>
    <w:rsid w:val="008B76D4"/>
    <w:rsid w:val="008C23C6"/>
    <w:rsid w:val="008C47DA"/>
    <w:rsid w:val="008C4E38"/>
    <w:rsid w:val="008C7429"/>
    <w:rsid w:val="008C7FE1"/>
    <w:rsid w:val="008D58A7"/>
    <w:rsid w:val="008D60FF"/>
    <w:rsid w:val="008D6A8B"/>
    <w:rsid w:val="008E1802"/>
    <w:rsid w:val="008F061C"/>
    <w:rsid w:val="008F198F"/>
    <w:rsid w:val="008F1995"/>
    <w:rsid w:val="008F30D3"/>
    <w:rsid w:val="008F4B28"/>
    <w:rsid w:val="008F598E"/>
    <w:rsid w:val="008F5FAC"/>
    <w:rsid w:val="008F7502"/>
    <w:rsid w:val="0090521F"/>
    <w:rsid w:val="00905F1A"/>
    <w:rsid w:val="009060F7"/>
    <w:rsid w:val="00906800"/>
    <w:rsid w:val="00906F97"/>
    <w:rsid w:val="00911B8B"/>
    <w:rsid w:val="00920454"/>
    <w:rsid w:val="009215CC"/>
    <w:rsid w:val="0092276A"/>
    <w:rsid w:val="0092365C"/>
    <w:rsid w:val="009249F7"/>
    <w:rsid w:val="00925A3A"/>
    <w:rsid w:val="009307C9"/>
    <w:rsid w:val="00933708"/>
    <w:rsid w:val="00933CBE"/>
    <w:rsid w:val="009371B1"/>
    <w:rsid w:val="009423F1"/>
    <w:rsid w:val="0094255B"/>
    <w:rsid w:val="009435E2"/>
    <w:rsid w:val="00944ABB"/>
    <w:rsid w:val="00944E19"/>
    <w:rsid w:val="00944F92"/>
    <w:rsid w:val="009468D9"/>
    <w:rsid w:val="0095396B"/>
    <w:rsid w:val="009545BB"/>
    <w:rsid w:val="0095488A"/>
    <w:rsid w:val="009551E6"/>
    <w:rsid w:val="009563A9"/>
    <w:rsid w:val="00962351"/>
    <w:rsid w:val="00963671"/>
    <w:rsid w:val="00964A41"/>
    <w:rsid w:val="00964B4A"/>
    <w:rsid w:val="00966DDE"/>
    <w:rsid w:val="00970030"/>
    <w:rsid w:val="00971480"/>
    <w:rsid w:val="00971532"/>
    <w:rsid w:val="00972B79"/>
    <w:rsid w:val="00972E32"/>
    <w:rsid w:val="00973A50"/>
    <w:rsid w:val="009745A7"/>
    <w:rsid w:val="009774C6"/>
    <w:rsid w:val="00977E59"/>
    <w:rsid w:val="009800D3"/>
    <w:rsid w:val="00982BFA"/>
    <w:rsid w:val="00982FAE"/>
    <w:rsid w:val="00983F4D"/>
    <w:rsid w:val="00984CE3"/>
    <w:rsid w:val="00986670"/>
    <w:rsid w:val="00986D5A"/>
    <w:rsid w:val="00992AFA"/>
    <w:rsid w:val="00996B1F"/>
    <w:rsid w:val="009A01B4"/>
    <w:rsid w:val="009A0F19"/>
    <w:rsid w:val="009A145F"/>
    <w:rsid w:val="009A27DC"/>
    <w:rsid w:val="009A30F3"/>
    <w:rsid w:val="009A63C4"/>
    <w:rsid w:val="009A65EE"/>
    <w:rsid w:val="009B1FC4"/>
    <w:rsid w:val="009B2180"/>
    <w:rsid w:val="009B26B8"/>
    <w:rsid w:val="009B2CC4"/>
    <w:rsid w:val="009B4A64"/>
    <w:rsid w:val="009C4BA2"/>
    <w:rsid w:val="009C6879"/>
    <w:rsid w:val="009C7438"/>
    <w:rsid w:val="009C744D"/>
    <w:rsid w:val="009D0A4E"/>
    <w:rsid w:val="009D530C"/>
    <w:rsid w:val="009D653A"/>
    <w:rsid w:val="009D69A4"/>
    <w:rsid w:val="009D6E9D"/>
    <w:rsid w:val="009E0747"/>
    <w:rsid w:val="009E176F"/>
    <w:rsid w:val="009E1D4C"/>
    <w:rsid w:val="009E2904"/>
    <w:rsid w:val="009E3ADB"/>
    <w:rsid w:val="009E491D"/>
    <w:rsid w:val="009E7390"/>
    <w:rsid w:val="009F0F6E"/>
    <w:rsid w:val="009F754B"/>
    <w:rsid w:val="00A001CD"/>
    <w:rsid w:val="00A023D9"/>
    <w:rsid w:val="00A03142"/>
    <w:rsid w:val="00A04150"/>
    <w:rsid w:val="00A04FE2"/>
    <w:rsid w:val="00A05178"/>
    <w:rsid w:val="00A05316"/>
    <w:rsid w:val="00A0591C"/>
    <w:rsid w:val="00A1017E"/>
    <w:rsid w:val="00A135FD"/>
    <w:rsid w:val="00A13A2B"/>
    <w:rsid w:val="00A14D54"/>
    <w:rsid w:val="00A1571E"/>
    <w:rsid w:val="00A1748F"/>
    <w:rsid w:val="00A20288"/>
    <w:rsid w:val="00A2212E"/>
    <w:rsid w:val="00A231E8"/>
    <w:rsid w:val="00A239A8"/>
    <w:rsid w:val="00A240D5"/>
    <w:rsid w:val="00A255E4"/>
    <w:rsid w:val="00A25DC5"/>
    <w:rsid w:val="00A33649"/>
    <w:rsid w:val="00A374A6"/>
    <w:rsid w:val="00A378CC"/>
    <w:rsid w:val="00A40010"/>
    <w:rsid w:val="00A42594"/>
    <w:rsid w:val="00A44D37"/>
    <w:rsid w:val="00A4517A"/>
    <w:rsid w:val="00A46542"/>
    <w:rsid w:val="00A4736D"/>
    <w:rsid w:val="00A51756"/>
    <w:rsid w:val="00A51882"/>
    <w:rsid w:val="00A5318C"/>
    <w:rsid w:val="00A56926"/>
    <w:rsid w:val="00A56AC6"/>
    <w:rsid w:val="00A56B94"/>
    <w:rsid w:val="00A614A6"/>
    <w:rsid w:val="00A615F5"/>
    <w:rsid w:val="00A617E5"/>
    <w:rsid w:val="00A66336"/>
    <w:rsid w:val="00A66C93"/>
    <w:rsid w:val="00A66FF8"/>
    <w:rsid w:val="00A67595"/>
    <w:rsid w:val="00A67900"/>
    <w:rsid w:val="00A70518"/>
    <w:rsid w:val="00A74AAA"/>
    <w:rsid w:val="00A76223"/>
    <w:rsid w:val="00A76330"/>
    <w:rsid w:val="00A776A6"/>
    <w:rsid w:val="00A8194C"/>
    <w:rsid w:val="00A81E60"/>
    <w:rsid w:val="00A84854"/>
    <w:rsid w:val="00A84E79"/>
    <w:rsid w:val="00A8594B"/>
    <w:rsid w:val="00A8597B"/>
    <w:rsid w:val="00A85FDC"/>
    <w:rsid w:val="00A87E10"/>
    <w:rsid w:val="00A90DDE"/>
    <w:rsid w:val="00A9282C"/>
    <w:rsid w:val="00A92887"/>
    <w:rsid w:val="00A92C10"/>
    <w:rsid w:val="00A93DCF"/>
    <w:rsid w:val="00A96024"/>
    <w:rsid w:val="00A97290"/>
    <w:rsid w:val="00AA176C"/>
    <w:rsid w:val="00AA3C78"/>
    <w:rsid w:val="00AB1013"/>
    <w:rsid w:val="00AB18BD"/>
    <w:rsid w:val="00AB20C6"/>
    <w:rsid w:val="00AB21B3"/>
    <w:rsid w:val="00AB6E3B"/>
    <w:rsid w:val="00AC2130"/>
    <w:rsid w:val="00AC2C35"/>
    <w:rsid w:val="00AC2F59"/>
    <w:rsid w:val="00AC4521"/>
    <w:rsid w:val="00AC4DC1"/>
    <w:rsid w:val="00AC6D20"/>
    <w:rsid w:val="00AD0937"/>
    <w:rsid w:val="00AD26CF"/>
    <w:rsid w:val="00AD33CE"/>
    <w:rsid w:val="00AE189D"/>
    <w:rsid w:val="00AE465C"/>
    <w:rsid w:val="00AE4BE2"/>
    <w:rsid w:val="00AE617A"/>
    <w:rsid w:val="00AE7205"/>
    <w:rsid w:val="00AE73E9"/>
    <w:rsid w:val="00AF0CC7"/>
    <w:rsid w:val="00AF1157"/>
    <w:rsid w:val="00AF255A"/>
    <w:rsid w:val="00AF6191"/>
    <w:rsid w:val="00AF78BC"/>
    <w:rsid w:val="00B03779"/>
    <w:rsid w:val="00B04190"/>
    <w:rsid w:val="00B07AF0"/>
    <w:rsid w:val="00B14398"/>
    <w:rsid w:val="00B169F3"/>
    <w:rsid w:val="00B16E72"/>
    <w:rsid w:val="00B17A4A"/>
    <w:rsid w:val="00B20846"/>
    <w:rsid w:val="00B20FFA"/>
    <w:rsid w:val="00B243B6"/>
    <w:rsid w:val="00B24DA6"/>
    <w:rsid w:val="00B25126"/>
    <w:rsid w:val="00B26AFF"/>
    <w:rsid w:val="00B26CAE"/>
    <w:rsid w:val="00B272A1"/>
    <w:rsid w:val="00B30559"/>
    <w:rsid w:val="00B3125F"/>
    <w:rsid w:val="00B33746"/>
    <w:rsid w:val="00B3573F"/>
    <w:rsid w:val="00B35BD5"/>
    <w:rsid w:val="00B3793D"/>
    <w:rsid w:val="00B4224B"/>
    <w:rsid w:val="00B425C2"/>
    <w:rsid w:val="00B438C2"/>
    <w:rsid w:val="00B43DE4"/>
    <w:rsid w:val="00B43E6E"/>
    <w:rsid w:val="00B448B4"/>
    <w:rsid w:val="00B453FA"/>
    <w:rsid w:val="00B476CF"/>
    <w:rsid w:val="00B545B3"/>
    <w:rsid w:val="00B60333"/>
    <w:rsid w:val="00B60F33"/>
    <w:rsid w:val="00B61B3A"/>
    <w:rsid w:val="00B64727"/>
    <w:rsid w:val="00B652D2"/>
    <w:rsid w:val="00B656B9"/>
    <w:rsid w:val="00B65F8F"/>
    <w:rsid w:val="00B67D04"/>
    <w:rsid w:val="00B70C59"/>
    <w:rsid w:val="00B70F65"/>
    <w:rsid w:val="00B712E8"/>
    <w:rsid w:val="00B7163D"/>
    <w:rsid w:val="00B72DB4"/>
    <w:rsid w:val="00B75ED3"/>
    <w:rsid w:val="00B8190B"/>
    <w:rsid w:val="00B82C0C"/>
    <w:rsid w:val="00B830F8"/>
    <w:rsid w:val="00B84824"/>
    <w:rsid w:val="00B85F1F"/>
    <w:rsid w:val="00B85F4D"/>
    <w:rsid w:val="00B86EAC"/>
    <w:rsid w:val="00B8736C"/>
    <w:rsid w:val="00B87472"/>
    <w:rsid w:val="00B87BC6"/>
    <w:rsid w:val="00B9176A"/>
    <w:rsid w:val="00B94724"/>
    <w:rsid w:val="00B95AC7"/>
    <w:rsid w:val="00B97866"/>
    <w:rsid w:val="00BA3284"/>
    <w:rsid w:val="00BA3990"/>
    <w:rsid w:val="00BA4A07"/>
    <w:rsid w:val="00BA531E"/>
    <w:rsid w:val="00BA79A9"/>
    <w:rsid w:val="00BA7FE9"/>
    <w:rsid w:val="00BB132B"/>
    <w:rsid w:val="00BB2B41"/>
    <w:rsid w:val="00BB2BFA"/>
    <w:rsid w:val="00BB2E21"/>
    <w:rsid w:val="00BB6C22"/>
    <w:rsid w:val="00BB7659"/>
    <w:rsid w:val="00BC1FA0"/>
    <w:rsid w:val="00BC3FE2"/>
    <w:rsid w:val="00BC577C"/>
    <w:rsid w:val="00BC629E"/>
    <w:rsid w:val="00BC6901"/>
    <w:rsid w:val="00BC79D7"/>
    <w:rsid w:val="00BC7CB6"/>
    <w:rsid w:val="00BD14ED"/>
    <w:rsid w:val="00BD3007"/>
    <w:rsid w:val="00BD3394"/>
    <w:rsid w:val="00BD3431"/>
    <w:rsid w:val="00BD3B4B"/>
    <w:rsid w:val="00BD491E"/>
    <w:rsid w:val="00BD6E9F"/>
    <w:rsid w:val="00BE09B2"/>
    <w:rsid w:val="00BE152E"/>
    <w:rsid w:val="00BE558F"/>
    <w:rsid w:val="00BE656D"/>
    <w:rsid w:val="00BE6A04"/>
    <w:rsid w:val="00BE759F"/>
    <w:rsid w:val="00BF1027"/>
    <w:rsid w:val="00BF29C5"/>
    <w:rsid w:val="00BF4700"/>
    <w:rsid w:val="00BF718A"/>
    <w:rsid w:val="00BF7A36"/>
    <w:rsid w:val="00C028A8"/>
    <w:rsid w:val="00C03A92"/>
    <w:rsid w:val="00C045FC"/>
    <w:rsid w:val="00C04D45"/>
    <w:rsid w:val="00C055CB"/>
    <w:rsid w:val="00C05AC2"/>
    <w:rsid w:val="00C06422"/>
    <w:rsid w:val="00C076BD"/>
    <w:rsid w:val="00C07E71"/>
    <w:rsid w:val="00C10884"/>
    <w:rsid w:val="00C140DF"/>
    <w:rsid w:val="00C15735"/>
    <w:rsid w:val="00C16066"/>
    <w:rsid w:val="00C16F65"/>
    <w:rsid w:val="00C22D65"/>
    <w:rsid w:val="00C25022"/>
    <w:rsid w:val="00C25269"/>
    <w:rsid w:val="00C26E10"/>
    <w:rsid w:val="00C26F3C"/>
    <w:rsid w:val="00C277D8"/>
    <w:rsid w:val="00C332CC"/>
    <w:rsid w:val="00C33CD3"/>
    <w:rsid w:val="00C34AC7"/>
    <w:rsid w:val="00C35DD3"/>
    <w:rsid w:val="00C36A88"/>
    <w:rsid w:val="00C4170F"/>
    <w:rsid w:val="00C43874"/>
    <w:rsid w:val="00C45A2F"/>
    <w:rsid w:val="00C45C22"/>
    <w:rsid w:val="00C51585"/>
    <w:rsid w:val="00C5356A"/>
    <w:rsid w:val="00C61EB1"/>
    <w:rsid w:val="00C66DAC"/>
    <w:rsid w:val="00C66F4F"/>
    <w:rsid w:val="00C67577"/>
    <w:rsid w:val="00C70A59"/>
    <w:rsid w:val="00C70DBB"/>
    <w:rsid w:val="00C70FBB"/>
    <w:rsid w:val="00C7166A"/>
    <w:rsid w:val="00C72413"/>
    <w:rsid w:val="00C755F4"/>
    <w:rsid w:val="00C75DCD"/>
    <w:rsid w:val="00C77231"/>
    <w:rsid w:val="00C81171"/>
    <w:rsid w:val="00C81E75"/>
    <w:rsid w:val="00C82F6B"/>
    <w:rsid w:val="00C83675"/>
    <w:rsid w:val="00C83DD9"/>
    <w:rsid w:val="00C85D8D"/>
    <w:rsid w:val="00C92489"/>
    <w:rsid w:val="00C929A1"/>
    <w:rsid w:val="00C93BB6"/>
    <w:rsid w:val="00C96B2C"/>
    <w:rsid w:val="00CA070E"/>
    <w:rsid w:val="00CA113D"/>
    <w:rsid w:val="00CA1AF2"/>
    <w:rsid w:val="00CA2429"/>
    <w:rsid w:val="00CA3CCD"/>
    <w:rsid w:val="00CA5DFF"/>
    <w:rsid w:val="00CA63C2"/>
    <w:rsid w:val="00CA66AD"/>
    <w:rsid w:val="00CB077B"/>
    <w:rsid w:val="00CB6A10"/>
    <w:rsid w:val="00CC0D02"/>
    <w:rsid w:val="00CC2651"/>
    <w:rsid w:val="00CC52D0"/>
    <w:rsid w:val="00CC6607"/>
    <w:rsid w:val="00CC67FE"/>
    <w:rsid w:val="00CC6AEC"/>
    <w:rsid w:val="00CC7C86"/>
    <w:rsid w:val="00CD04E1"/>
    <w:rsid w:val="00CD0AFF"/>
    <w:rsid w:val="00CD0C57"/>
    <w:rsid w:val="00CD67B8"/>
    <w:rsid w:val="00CD6A8A"/>
    <w:rsid w:val="00CE2410"/>
    <w:rsid w:val="00CE34AC"/>
    <w:rsid w:val="00CE3DE0"/>
    <w:rsid w:val="00CE63AE"/>
    <w:rsid w:val="00CE6E21"/>
    <w:rsid w:val="00CE7A24"/>
    <w:rsid w:val="00CF115E"/>
    <w:rsid w:val="00CF53AB"/>
    <w:rsid w:val="00CF7868"/>
    <w:rsid w:val="00CF7E9A"/>
    <w:rsid w:val="00D05273"/>
    <w:rsid w:val="00D06C86"/>
    <w:rsid w:val="00D109C6"/>
    <w:rsid w:val="00D10C70"/>
    <w:rsid w:val="00D114F3"/>
    <w:rsid w:val="00D169B1"/>
    <w:rsid w:val="00D22E9A"/>
    <w:rsid w:val="00D2389D"/>
    <w:rsid w:val="00D24283"/>
    <w:rsid w:val="00D26BAF"/>
    <w:rsid w:val="00D27F15"/>
    <w:rsid w:val="00D32216"/>
    <w:rsid w:val="00D342FA"/>
    <w:rsid w:val="00D34D35"/>
    <w:rsid w:val="00D3678C"/>
    <w:rsid w:val="00D36DB7"/>
    <w:rsid w:val="00D41407"/>
    <w:rsid w:val="00D45651"/>
    <w:rsid w:val="00D458F0"/>
    <w:rsid w:val="00D46F49"/>
    <w:rsid w:val="00D50A30"/>
    <w:rsid w:val="00D52B42"/>
    <w:rsid w:val="00D52BAC"/>
    <w:rsid w:val="00D54257"/>
    <w:rsid w:val="00D6219C"/>
    <w:rsid w:val="00D6528B"/>
    <w:rsid w:val="00D66262"/>
    <w:rsid w:val="00D66EF5"/>
    <w:rsid w:val="00D67D9D"/>
    <w:rsid w:val="00D7113F"/>
    <w:rsid w:val="00D71B24"/>
    <w:rsid w:val="00D7715B"/>
    <w:rsid w:val="00D80246"/>
    <w:rsid w:val="00D82490"/>
    <w:rsid w:val="00D8361E"/>
    <w:rsid w:val="00D853BB"/>
    <w:rsid w:val="00D91231"/>
    <w:rsid w:val="00D920F4"/>
    <w:rsid w:val="00D92E80"/>
    <w:rsid w:val="00D93522"/>
    <w:rsid w:val="00D9559F"/>
    <w:rsid w:val="00D95C42"/>
    <w:rsid w:val="00D960D0"/>
    <w:rsid w:val="00D97E7A"/>
    <w:rsid w:val="00DA1369"/>
    <w:rsid w:val="00DA5929"/>
    <w:rsid w:val="00DA5AA6"/>
    <w:rsid w:val="00DB06ED"/>
    <w:rsid w:val="00DB0D9D"/>
    <w:rsid w:val="00DB1019"/>
    <w:rsid w:val="00DB734E"/>
    <w:rsid w:val="00DB7395"/>
    <w:rsid w:val="00DB76D1"/>
    <w:rsid w:val="00DB7CF8"/>
    <w:rsid w:val="00DC17C4"/>
    <w:rsid w:val="00DC5383"/>
    <w:rsid w:val="00DC54AA"/>
    <w:rsid w:val="00DC683F"/>
    <w:rsid w:val="00DD0326"/>
    <w:rsid w:val="00DD0497"/>
    <w:rsid w:val="00DD1547"/>
    <w:rsid w:val="00DD1ACB"/>
    <w:rsid w:val="00DD7CB3"/>
    <w:rsid w:val="00DE3DD4"/>
    <w:rsid w:val="00DE3E2F"/>
    <w:rsid w:val="00DE3E7C"/>
    <w:rsid w:val="00DE3F07"/>
    <w:rsid w:val="00DE4D8C"/>
    <w:rsid w:val="00DE6704"/>
    <w:rsid w:val="00DE676B"/>
    <w:rsid w:val="00DE799F"/>
    <w:rsid w:val="00DF03D4"/>
    <w:rsid w:val="00DF2999"/>
    <w:rsid w:val="00DF3610"/>
    <w:rsid w:val="00DF46D0"/>
    <w:rsid w:val="00DF4D7B"/>
    <w:rsid w:val="00DF5364"/>
    <w:rsid w:val="00DF6A60"/>
    <w:rsid w:val="00DF7082"/>
    <w:rsid w:val="00E00FD5"/>
    <w:rsid w:val="00E04BE6"/>
    <w:rsid w:val="00E0712E"/>
    <w:rsid w:val="00E07E9F"/>
    <w:rsid w:val="00E109A8"/>
    <w:rsid w:val="00E10D6E"/>
    <w:rsid w:val="00E14F69"/>
    <w:rsid w:val="00E15077"/>
    <w:rsid w:val="00E15A1C"/>
    <w:rsid w:val="00E16CFF"/>
    <w:rsid w:val="00E229AD"/>
    <w:rsid w:val="00E255D7"/>
    <w:rsid w:val="00E271D2"/>
    <w:rsid w:val="00E30169"/>
    <w:rsid w:val="00E31B75"/>
    <w:rsid w:val="00E3219C"/>
    <w:rsid w:val="00E32597"/>
    <w:rsid w:val="00E33269"/>
    <w:rsid w:val="00E343CF"/>
    <w:rsid w:val="00E35533"/>
    <w:rsid w:val="00E37607"/>
    <w:rsid w:val="00E37BD1"/>
    <w:rsid w:val="00E37DD9"/>
    <w:rsid w:val="00E400F2"/>
    <w:rsid w:val="00E40409"/>
    <w:rsid w:val="00E40D23"/>
    <w:rsid w:val="00E4144C"/>
    <w:rsid w:val="00E43113"/>
    <w:rsid w:val="00E44374"/>
    <w:rsid w:val="00E50612"/>
    <w:rsid w:val="00E50D02"/>
    <w:rsid w:val="00E50D76"/>
    <w:rsid w:val="00E51AF6"/>
    <w:rsid w:val="00E52183"/>
    <w:rsid w:val="00E52D94"/>
    <w:rsid w:val="00E55414"/>
    <w:rsid w:val="00E5738E"/>
    <w:rsid w:val="00E57C3D"/>
    <w:rsid w:val="00E57CD9"/>
    <w:rsid w:val="00E614F7"/>
    <w:rsid w:val="00E6292A"/>
    <w:rsid w:val="00E6509E"/>
    <w:rsid w:val="00E65B33"/>
    <w:rsid w:val="00E65F17"/>
    <w:rsid w:val="00E7112B"/>
    <w:rsid w:val="00E746DF"/>
    <w:rsid w:val="00E74C08"/>
    <w:rsid w:val="00E800E5"/>
    <w:rsid w:val="00E806FB"/>
    <w:rsid w:val="00E807D5"/>
    <w:rsid w:val="00E80B54"/>
    <w:rsid w:val="00E814BD"/>
    <w:rsid w:val="00E83A2E"/>
    <w:rsid w:val="00E84AE9"/>
    <w:rsid w:val="00E85E7A"/>
    <w:rsid w:val="00E92797"/>
    <w:rsid w:val="00E9679F"/>
    <w:rsid w:val="00E97B63"/>
    <w:rsid w:val="00EA0224"/>
    <w:rsid w:val="00EA0C73"/>
    <w:rsid w:val="00EA4F3B"/>
    <w:rsid w:val="00EA630D"/>
    <w:rsid w:val="00EA67EA"/>
    <w:rsid w:val="00EA7A03"/>
    <w:rsid w:val="00EB25E4"/>
    <w:rsid w:val="00EB5F75"/>
    <w:rsid w:val="00EB68A3"/>
    <w:rsid w:val="00EB6AE4"/>
    <w:rsid w:val="00EC0148"/>
    <w:rsid w:val="00EC029E"/>
    <w:rsid w:val="00EC1D90"/>
    <w:rsid w:val="00EC228E"/>
    <w:rsid w:val="00EC31F9"/>
    <w:rsid w:val="00EC5806"/>
    <w:rsid w:val="00EC6BE3"/>
    <w:rsid w:val="00EC7326"/>
    <w:rsid w:val="00EC7B5E"/>
    <w:rsid w:val="00ED0773"/>
    <w:rsid w:val="00ED11C8"/>
    <w:rsid w:val="00ED2B30"/>
    <w:rsid w:val="00ED4224"/>
    <w:rsid w:val="00ED58FA"/>
    <w:rsid w:val="00ED5D1E"/>
    <w:rsid w:val="00ED6802"/>
    <w:rsid w:val="00ED7F9F"/>
    <w:rsid w:val="00EE0021"/>
    <w:rsid w:val="00EE07F4"/>
    <w:rsid w:val="00EE20BF"/>
    <w:rsid w:val="00EE2C04"/>
    <w:rsid w:val="00EE3F39"/>
    <w:rsid w:val="00EE5A19"/>
    <w:rsid w:val="00EE6773"/>
    <w:rsid w:val="00EF093F"/>
    <w:rsid w:val="00EF2C7E"/>
    <w:rsid w:val="00EF37F6"/>
    <w:rsid w:val="00EF5B6F"/>
    <w:rsid w:val="00F01299"/>
    <w:rsid w:val="00F012A7"/>
    <w:rsid w:val="00F01B20"/>
    <w:rsid w:val="00F0273F"/>
    <w:rsid w:val="00F029A5"/>
    <w:rsid w:val="00F039BE"/>
    <w:rsid w:val="00F03F7D"/>
    <w:rsid w:val="00F051EE"/>
    <w:rsid w:val="00F12AFF"/>
    <w:rsid w:val="00F12D14"/>
    <w:rsid w:val="00F13197"/>
    <w:rsid w:val="00F132A3"/>
    <w:rsid w:val="00F2122C"/>
    <w:rsid w:val="00F22F57"/>
    <w:rsid w:val="00F26331"/>
    <w:rsid w:val="00F26A48"/>
    <w:rsid w:val="00F2751B"/>
    <w:rsid w:val="00F316D9"/>
    <w:rsid w:val="00F347A9"/>
    <w:rsid w:val="00F3782E"/>
    <w:rsid w:val="00F40650"/>
    <w:rsid w:val="00F44290"/>
    <w:rsid w:val="00F4474E"/>
    <w:rsid w:val="00F44AA6"/>
    <w:rsid w:val="00F45885"/>
    <w:rsid w:val="00F47414"/>
    <w:rsid w:val="00F477DE"/>
    <w:rsid w:val="00F52A98"/>
    <w:rsid w:val="00F5313B"/>
    <w:rsid w:val="00F53237"/>
    <w:rsid w:val="00F545CF"/>
    <w:rsid w:val="00F55148"/>
    <w:rsid w:val="00F56895"/>
    <w:rsid w:val="00F60F07"/>
    <w:rsid w:val="00F63183"/>
    <w:rsid w:val="00F63E12"/>
    <w:rsid w:val="00F6478F"/>
    <w:rsid w:val="00F66291"/>
    <w:rsid w:val="00F74B61"/>
    <w:rsid w:val="00F74DD2"/>
    <w:rsid w:val="00F912FC"/>
    <w:rsid w:val="00F9146C"/>
    <w:rsid w:val="00F94941"/>
    <w:rsid w:val="00F94EBC"/>
    <w:rsid w:val="00F9602A"/>
    <w:rsid w:val="00FA5FCC"/>
    <w:rsid w:val="00FA769E"/>
    <w:rsid w:val="00FA7B77"/>
    <w:rsid w:val="00FA7CBE"/>
    <w:rsid w:val="00FA7F27"/>
    <w:rsid w:val="00FB0289"/>
    <w:rsid w:val="00FB0C49"/>
    <w:rsid w:val="00FB2663"/>
    <w:rsid w:val="00FB5425"/>
    <w:rsid w:val="00FB5DED"/>
    <w:rsid w:val="00FC0EA6"/>
    <w:rsid w:val="00FC1DDF"/>
    <w:rsid w:val="00FC1E3C"/>
    <w:rsid w:val="00FC47C0"/>
    <w:rsid w:val="00FC4979"/>
    <w:rsid w:val="00FD29BC"/>
    <w:rsid w:val="00FD50BD"/>
    <w:rsid w:val="00FD5199"/>
    <w:rsid w:val="00FD5286"/>
    <w:rsid w:val="00FD67E3"/>
    <w:rsid w:val="00FD68E3"/>
    <w:rsid w:val="00FD7AD3"/>
    <w:rsid w:val="00FE01A0"/>
    <w:rsid w:val="00FE02A1"/>
    <w:rsid w:val="00FE187B"/>
    <w:rsid w:val="00FE239F"/>
    <w:rsid w:val="00FE3C35"/>
    <w:rsid w:val="00FE4AB6"/>
    <w:rsid w:val="00FE731D"/>
    <w:rsid w:val="00FE7A26"/>
    <w:rsid w:val="00FF3DEF"/>
    <w:rsid w:val="00FF4627"/>
    <w:rsid w:val="00FF49BE"/>
    <w:rsid w:val="00FF5267"/>
    <w:rsid w:val="00FF58DE"/>
    <w:rsid w:val="04AC5B58"/>
    <w:rsid w:val="0528580D"/>
    <w:rsid w:val="064450F4"/>
    <w:rsid w:val="10E54ECE"/>
    <w:rsid w:val="177E2536"/>
    <w:rsid w:val="20577E1E"/>
    <w:rsid w:val="26DC4C68"/>
    <w:rsid w:val="381E5D80"/>
    <w:rsid w:val="3E173A67"/>
    <w:rsid w:val="4B3519D1"/>
    <w:rsid w:val="4F6C798B"/>
    <w:rsid w:val="5AE23D02"/>
    <w:rsid w:val="5BD66CD5"/>
    <w:rsid w:val="60506406"/>
    <w:rsid w:val="61923049"/>
    <w:rsid w:val="619F6EA3"/>
    <w:rsid w:val="61A23CDB"/>
    <w:rsid w:val="61B01959"/>
    <w:rsid w:val="625E13B5"/>
    <w:rsid w:val="6CED4F52"/>
    <w:rsid w:val="6F98430C"/>
    <w:rsid w:val="70AF233C"/>
    <w:rsid w:val="767F88DB"/>
    <w:rsid w:val="7D5D61DB"/>
    <w:rsid w:val="7F77B8A9"/>
    <w:rsid w:val="7FAB483B"/>
    <w:rsid w:val="BBF9E22B"/>
    <w:rsid w:val="DADE9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9"/>
    <w:autoRedefine/>
    <w:qFormat/>
    <w:uiPriority w:val="9"/>
    <w:pPr>
      <w:keepNext/>
      <w:keepLines/>
      <w:spacing w:before="340" w:after="330" w:line="578" w:lineRule="auto"/>
      <w:outlineLvl w:val="0"/>
    </w:pPr>
    <w:rPr>
      <w:rFonts w:eastAsia="Times New Roman"/>
      <w:b/>
      <w:bCs/>
      <w:kern w:val="44"/>
      <w:sz w:val="20"/>
      <w:szCs w:val="44"/>
    </w:rPr>
  </w:style>
  <w:style w:type="paragraph" w:styleId="3">
    <w:name w:val="heading 2"/>
    <w:basedOn w:val="1"/>
    <w:next w:val="1"/>
    <w:link w:val="30"/>
    <w:autoRedefine/>
    <w:unhideWhenUsed/>
    <w:qFormat/>
    <w:uiPriority w:val="9"/>
    <w:pPr>
      <w:keepNext/>
      <w:keepLines/>
      <w:spacing w:before="260" w:after="260" w:line="416" w:lineRule="auto"/>
      <w:outlineLvl w:val="1"/>
    </w:pPr>
    <w:rPr>
      <w:rFonts w:eastAsia="Times New Roman" w:asciiTheme="majorHAnsi" w:hAnsiTheme="majorHAnsi" w:cstheme="majorBidi"/>
      <w:b/>
      <w:bCs/>
      <w:sz w:val="20"/>
      <w:szCs w:val="32"/>
    </w:rPr>
  </w:style>
  <w:style w:type="paragraph" w:styleId="4">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ind w:left="1440"/>
    </w:pPr>
    <w:rPr>
      <w:rFonts w:asciiTheme="minorHAnsi" w:eastAsiaTheme="minorHAnsi"/>
      <w:sz w:val="20"/>
      <w:szCs w:val="20"/>
    </w:rPr>
  </w:style>
  <w:style w:type="paragraph" w:styleId="6">
    <w:name w:val="annotation text"/>
    <w:basedOn w:val="1"/>
    <w:link w:val="33"/>
    <w:autoRedefine/>
    <w:semiHidden/>
    <w:unhideWhenUsed/>
    <w:qFormat/>
    <w:uiPriority w:val="99"/>
    <w:pPr>
      <w:widowControl w:val="0"/>
    </w:pPr>
    <w:rPr>
      <w:rFonts w:asciiTheme="minorHAnsi" w:hAnsiTheme="minorHAnsi" w:eastAsiaTheme="minorEastAsia" w:cstheme="minorBidi"/>
      <w:kern w:val="2"/>
      <w:sz w:val="21"/>
    </w:rPr>
  </w:style>
  <w:style w:type="paragraph" w:styleId="7">
    <w:name w:val="toc 5"/>
    <w:basedOn w:val="1"/>
    <w:next w:val="1"/>
    <w:autoRedefine/>
    <w:unhideWhenUsed/>
    <w:qFormat/>
    <w:uiPriority w:val="39"/>
    <w:pPr>
      <w:ind w:left="960"/>
    </w:pPr>
    <w:rPr>
      <w:rFonts w:asciiTheme="minorHAnsi" w:eastAsiaTheme="minorHAnsi"/>
      <w:sz w:val="20"/>
      <w:szCs w:val="20"/>
    </w:rPr>
  </w:style>
  <w:style w:type="paragraph" w:styleId="8">
    <w:name w:val="toc 3"/>
    <w:basedOn w:val="1"/>
    <w:next w:val="1"/>
    <w:autoRedefine/>
    <w:unhideWhenUsed/>
    <w:qFormat/>
    <w:uiPriority w:val="39"/>
    <w:pPr>
      <w:ind w:left="480"/>
    </w:pPr>
    <w:rPr>
      <w:rFonts w:asciiTheme="minorHAnsi" w:eastAsiaTheme="minorHAnsi"/>
      <w:sz w:val="20"/>
      <w:szCs w:val="20"/>
    </w:rPr>
  </w:style>
  <w:style w:type="paragraph" w:styleId="9">
    <w:name w:val="toc 8"/>
    <w:basedOn w:val="1"/>
    <w:next w:val="1"/>
    <w:autoRedefine/>
    <w:unhideWhenUsed/>
    <w:qFormat/>
    <w:uiPriority w:val="39"/>
    <w:pPr>
      <w:ind w:left="1680"/>
    </w:pPr>
    <w:rPr>
      <w:rFonts w:asciiTheme="minorHAnsi" w:eastAsiaTheme="minorHAnsi"/>
      <w:sz w:val="20"/>
      <w:szCs w:val="20"/>
    </w:rPr>
  </w:style>
  <w:style w:type="paragraph" w:styleId="10">
    <w:name w:val="Date"/>
    <w:basedOn w:val="1"/>
    <w:next w:val="1"/>
    <w:link w:val="55"/>
    <w:autoRedefine/>
    <w:semiHidden/>
    <w:unhideWhenUsed/>
    <w:qFormat/>
    <w:uiPriority w:val="99"/>
    <w:pPr>
      <w:ind w:left="100" w:leftChars="2500"/>
    </w:pPr>
  </w:style>
  <w:style w:type="paragraph" w:styleId="11">
    <w:name w:val="Balloon Text"/>
    <w:basedOn w:val="1"/>
    <w:link w:val="32"/>
    <w:autoRedefine/>
    <w:semiHidden/>
    <w:unhideWhenUsed/>
    <w:qFormat/>
    <w:uiPriority w:val="99"/>
    <w:rPr>
      <w:sz w:val="18"/>
      <w:szCs w:val="18"/>
    </w:rPr>
  </w:style>
  <w:style w:type="paragraph" w:styleId="12">
    <w:name w:val="footer"/>
    <w:basedOn w:val="1"/>
    <w:link w:val="54"/>
    <w:autoRedefine/>
    <w:unhideWhenUsed/>
    <w:qFormat/>
    <w:uiPriority w:val="99"/>
    <w:pPr>
      <w:tabs>
        <w:tab w:val="center" w:pos="4153"/>
        <w:tab w:val="right" w:pos="8306"/>
      </w:tabs>
      <w:snapToGrid w:val="0"/>
    </w:pPr>
    <w:rPr>
      <w:sz w:val="18"/>
      <w:szCs w:val="18"/>
    </w:rPr>
  </w:style>
  <w:style w:type="paragraph" w:styleId="13">
    <w:name w:val="header"/>
    <w:basedOn w:val="1"/>
    <w:link w:val="5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39"/>
    <w:pPr>
      <w:spacing w:before="240" w:after="120"/>
    </w:pPr>
    <w:rPr>
      <w:rFonts w:asciiTheme="minorHAnsi" w:eastAsiaTheme="minorHAnsi"/>
      <w:b/>
      <w:bCs/>
      <w:sz w:val="20"/>
      <w:szCs w:val="20"/>
    </w:rPr>
  </w:style>
  <w:style w:type="paragraph" w:styleId="15">
    <w:name w:val="toc 4"/>
    <w:basedOn w:val="1"/>
    <w:next w:val="1"/>
    <w:autoRedefine/>
    <w:unhideWhenUsed/>
    <w:qFormat/>
    <w:uiPriority w:val="39"/>
    <w:pPr>
      <w:ind w:left="720"/>
    </w:pPr>
    <w:rPr>
      <w:rFonts w:asciiTheme="minorHAnsi" w:eastAsiaTheme="minorHAnsi"/>
      <w:sz w:val="20"/>
      <w:szCs w:val="20"/>
    </w:rPr>
  </w:style>
  <w:style w:type="paragraph" w:styleId="16">
    <w:name w:val="toc 6"/>
    <w:basedOn w:val="1"/>
    <w:next w:val="1"/>
    <w:autoRedefine/>
    <w:unhideWhenUsed/>
    <w:qFormat/>
    <w:uiPriority w:val="39"/>
    <w:pPr>
      <w:ind w:left="1200"/>
    </w:pPr>
    <w:rPr>
      <w:rFonts w:asciiTheme="minorHAnsi" w:eastAsiaTheme="minorHAnsi"/>
      <w:sz w:val="20"/>
      <w:szCs w:val="20"/>
    </w:rPr>
  </w:style>
  <w:style w:type="paragraph" w:styleId="17">
    <w:name w:val="toc 2"/>
    <w:basedOn w:val="1"/>
    <w:next w:val="1"/>
    <w:autoRedefine/>
    <w:unhideWhenUsed/>
    <w:qFormat/>
    <w:uiPriority w:val="39"/>
    <w:pPr>
      <w:spacing w:before="120"/>
      <w:ind w:left="240"/>
    </w:pPr>
    <w:rPr>
      <w:rFonts w:asciiTheme="minorHAnsi" w:eastAsiaTheme="minorHAnsi"/>
      <w:i/>
      <w:iCs/>
      <w:sz w:val="20"/>
      <w:szCs w:val="20"/>
    </w:rPr>
  </w:style>
  <w:style w:type="paragraph" w:styleId="18">
    <w:name w:val="toc 9"/>
    <w:basedOn w:val="1"/>
    <w:next w:val="1"/>
    <w:autoRedefine/>
    <w:unhideWhenUsed/>
    <w:qFormat/>
    <w:uiPriority w:val="39"/>
    <w:pPr>
      <w:ind w:left="1920"/>
    </w:pPr>
    <w:rPr>
      <w:rFonts w:asciiTheme="minorHAnsi" w:eastAsiaTheme="minorHAnsi"/>
      <w:sz w:val="20"/>
      <w:szCs w:val="20"/>
    </w:rPr>
  </w:style>
  <w:style w:type="paragraph" w:styleId="19">
    <w:name w:val="Normal (Web)"/>
    <w:basedOn w:val="1"/>
    <w:autoRedefine/>
    <w:unhideWhenUsed/>
    <w:qFormat/>
    <w:uiPriority w:val="99"/>
    <w:pPr>
      <w:spacing w:before="100" w:beforeAutospacing="1" w:after="100" w:afterAutospacing="1"/>
    </w:pPr>
  </w:style>
  <w:style w:type="paragraph" w:styleId="20">
    <w:name w:val="Title"/>
    <w:basedOn w:val="1"/>
    <w:next w:val="1"/>
    <w:link w:val="64"/>
    <w:autoRedefine/>
    <w:qFormat/>
    <w:uiPriority w:val="10"/>
    <w:pPr>
      <w:spacing w:before="240" w:after="60"/>
      <w:outlineLvl w:val="0"/>
    </w:pPr>
    <w:rPr>
      <w:rFonts w:ascii="Times New Roman" w:hAnsi="Times New Roman" w:eastAsia="Times New Roman" w:cstheme="majorBidi"/>
      <w:b/>
      <w:bCs/>
      <w:sz w:val="20"/>
      <w:szCs w:val="32"/>
    </w:rPr>
  </w:style>
  <w:style w:type="paragraph" w:styleId="21">
    <w:name w:val="annotation subject"/>
    <w:basedOn w:val="6"/>
    <w:next w:val="6"/>
    <w:link w:val="39"/>
    <w:autoRedefine/>
    <w:semiHidden/>
    <w:unhideWhenUsed/>
    <w:qFormat/>
    <w:uiPriority w:val="99"/>
    <w:pPr>
      <w:widowControl/>
    </w:pPr>
    <w:rPr>
      <w:rFonts w:ascii="宋体" w:hAnsi="宋体" w:eastAsia="宋体" w:cs="宋体"/>
      <w:b/>
      <w:bCs/>
      <w:kern w:val="0"/>
      <w:sz w:val="24"/>
    </w:rPr>
  </w:style>
  <w:style w:type="table" w:styleId="23">
    <w:name w:val="Table Grid"/>
    <w:basedOn w:val="2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autoRedefine/>
    <w:semiHidden/>
    <w:unhideWhenUsed/>
    <w:qFormat/>
    <w:uiPriority w:val="99"/>
  </w:style>
  <w:style w:type="character" w:styleId="26">
    <w:name w:val="FollowedHyperlink"/>
    <w:basedOn w:val="24"/>
    <w:autoRedefine/>
    <w:semiHidden/>
    <w:unhideWhenUsed/>
    <w:qFormat/>
    <w:uiPriority w:val="99"/>
    <w:rPr>
      <w:color w:val="954F72" w:themeColor="followedHyperlink"/>
      <w:u w:val="single"/>
      <w14:textFill>
        <w14:solidFill>
          <w14:schemeClr w14:val="folHlink"/>
        </w14:solidFill>
      </w14:textFill>
    </w:rPr>
  </w:style>
  <w:style w:type="character" w:styleId="27">
    <w:name w:val="Hyperlink"/>
    <w:basedOn w:val="24"/>
    <w:autoRedefine/>
    <w:unhideWhenUsed/>
    <w:qFormat/>
    <w:uiPriority w:val="99"/>
    <w:rPr>
      <w:color w:val="0563C1" w:themeColor="hyperlink"/>
      <w:u w:val="single"/>
      <w14:textFill>
        <w14:solidFill>
          <w14:schemeClr w14:val="hlink"/>
        </w14:solidFill>
      </w14:textFill>
    </w:rPr>
  </w:style>
  <w:style w:type="character" w:styleId="28">
    <w:name w:val="annotation reference"/>
    <w:basedOn w:val="24"/>
    <w:autoRedefine/>
    <w:semiHidden/>
    <w:unhideWhenUsed/>
    <w:qFormat/>
    <w:uiPriority w:val="99"/>
    <w:rPr>
      <w:sz w:val="21"/>
      <w:szCs w:val="21"/>
    </w:rPr>
  </w:style>
  <w:style w:type="character" w:customStyle="1" w:styleId="29">
    <w:name w:val="标题 1 字符"/>
    <w:basedOn w:val="24"/>
    <w:link w:val="2"/>
    <w:autoRedefine/>
    <w:qFormat/>
    <w:uiPriority w:val="9"/>
    <w:rPr>
      <w:rFonts w:ascii="宋体" w:hAnsi="宋体" w:eastAsia="Times New Roman" w:cs="宋体"/>
      <w:b/>
      <w:bCs/>
      <w:kern w:val="44"/>
      <w:sz w:val="20"/>
      <w:szCs w:val="44"/>
    </w:rPr>
  </w:style>
  <w:style w:type="character" w:customStyle="1" w:styleId="30">
    <w:name w:val="标题 2 字符"/>
    <w:basedOn w:val="24"/>
    <w:link w:val="3"/>
    <w:autoRedefine/>
    <w:qFormat/>
    <w:uiPriority w:val="9"/>
    <w:rPr>
      <w:rFonts w:eastAsia="Times New Roman" w:asciiTheme="majorHAnsi" w:hAnsiTheme="majorHAnsi" w:cstheme="majorBidi"/>
      <w:b/>
      <w:bCs/>
      <w:kern w:val="0"/>
      <w:sz w:val="20"/>
      <w:szCs w:val="32"/>
    </w:rPr>
  </w:style>
  <w:style w:type="paragraph" w:customStyle="1" w:styleId="31">
    <w:name w:val="Default"/>
    <w:autoRedefine/>
    <w:qFormat/>
    <w:uiPriority w:val="0"/>
    <w:pPr>
      <w:widowControl w:val="0"/>
      <w:autoSpaceDE w:val="0"/>
      <w:autoSpaceDN w:val="0"/>
      <w:adjustRightInd w:val="0"/>
    </w:pPr>
    <w:rPr>
      <w:rFonts w:ascii="Calibri" w:hAnsi="Calibri" w:cs="Calibri" w:eastAsiaTheme="minorEastAsia"/>
      <w:color w:val="000000"/>
      <w:sz w:val="24"/>
      <w:szCs w:val="24"/>
      <w:lang w:val="en-CA" w:eastAsia="en-CA" w:bidi="ar-SA"/>
    </w:rPr>
  </w:style>
  <w:style w:type="character" w:customStyle="1" w:styleId="32">
    <w:name w:val="批注框文本 字符"/>
    <w:basedOn w:val="24"/>
    <w:link w:val="11"/>
    <w:autoRedefine/>
    <w:semiHidden/>
    <w:qFormat/>
    <w:uiPriority w:val="99"/>
    <w:rPr>
      <w:rFonts w:ascii="宋体" w:hAnsi="宋体" w:eastAsia="宋体" w:cs="宋体"/>
      <w:kern w:val="0"/>
      <w:sz w:val="18"/>
      <w:szCs w:val="18"/>
    </w:rPr>
  </w:style>
  <w:style w:type="character" w:customStyle="1" w:styleId="33">
    <w:name w:val="批注文字 字符"/>
    <w:basedOn w:val="24"/>
    <w:link w:val="6"/>
    <w:autoRedefine/>
    <w:semiHidden/>
    <w:qFormat/>
    <w:uiPriority w:val="99"/>
  </w:style>
  <w:style w:type="paragraph" w:customStyle="1" w:styleId="34">
    <w:name w:val="EndNote Bibliography"/>
    <w:basedOn w:val="1"/>
    <w:link w:val="35"/>
    <w:autoRedefine/>
    <w:qFormat/>
    <w:uiPriority w:val="0"/>
  </w:style>
  <w:style w:type="character" w:customStyle="1" w:styleId="35">
    <w:name w:val="EndNote Bibliography 字符"/>
    <w:basedOn w:val="24"/>
    <w:link w:val="34"/>
    <w:autoRedefine/>
    <w:qFormat/>
    <w:uiPriority w:val="0"/>
    <w:rPr>
      <w:rFonts w:ascii="宋体" w:hAnsi="宋体" w:cs="宋体"/>
      <w:sz w:val="24"/>
      <w:szCs w:val="24"/>
    </w:rPr>
  </w:style>
  <w:style w:type="paragraph" w:customStyle="1" w:styleId="36">
    <w:name w:val="EndNote Bibliography Title"/>
    <w:basedOn w:val="1"/>
    <w:link w:val="37"/>
    <w:autoRedefine/>
    <w:qFormat/>
    <w:uiPriority w:val="0"/>
    <w:pPr>
      <w:jc w:val="center"/>
    </w:pPr>
  </w:style>
  <w:style w:type="character" w:customStyle="1" w:styleId="37">
    <w:name w:val="EndNote Bibliography Title 字符"/>
    <w:basedOn w:val="35"/>
    <w:link w:val="36"/>
    <w:autoRedefine/>
    <w:qFormat/>
    <w:uiPriority w:val="0"/>
    <w:rPr>
      <w:rFonts w:ascii="宋体" w:hAnsi="宋体" w:cs="宋体"/>
      <w:sz w:val="24"/>
      <w:szCs w:val="24"/>
    </w:rPr>
  </w:style>
  <w:style w:type="character" w:customStyle="1" w:styleId="38">
    <w:name w:val="未处理的提及1"/>
    <w:basedOn w:val="24"/>
    <w:autoRedefine/>
    <w:semiHidden/>
    <w:unhideWhenUsed/>
    <w:qFormat/>
    <w:uiPriority w:val="99"/>
    <w:rPr>
      <w:color w:val="605E5C"/>
      <w:shd w:val="clear" w:color="auto" w:fill="E1DFDD"/>
    </w:rPr>
  </w:style>
  <w:style w:type="character" w:customStyle="1" w:styleId="39">
    <w:name w:val="批注主题 字符"/>
    <w:basedOn w:val="33"/>
    <w:link w:val="21"/>
    <w:autoRedefine/>
    <w:semiHidden/>
    <w:qFormat/>
    <w:uiPriority w:val="99"/>
    <w:rPr>
      <w:rFonts w:ascii="宋体" w:hAnsi="宋体" w:eastAsia="宋体" w:cs="宋体"/>
      <w:b/>
      <w:bCs/>
      <w:kern w:val="0"/>
      <w:sz w:val="24"/>
    </w:rPr>
  </w:style>
  <w:style w:type="paragraph" w:customStyle="1" w:styleId="40">
    <w:name w:val="msonormal"/>
    <w:basedOn w:val="1"/>
    <w:autoRedefine/>
    <w:qFormat/>
    <w:uiPriority w:val="0"/>
    <w:pPr>
      <w:spacing w:before="100" w:beforeAutospacing="1" w:after="100" w:afterAutospacing="1"/>
    </w:pPr>
  </w:style>
  <w:style w:type="paragraph" w:customStyle="1" w:styleId="41">
    <w:name w:val="font5"/>
    <w:basedOn w:val="1"/>
    <w:autoRedefine/>
    <w:qFormat/>
    <w:uiPriority w:val="0"/>
    <w:pPr>
      <w:spacing w:before="100" w:beforeAutospacing="1" w:after="100" w:afterAutospacing="1"/>
    </w:pPr>
    <w:rPr>
      <w:color w:val="000000"/>
      <w:sz w:val="21"/>
      <w:szCs w:val="21"/>
    </w:rPr>
  </w:style>
  <w:style w:type="paragraph" w:customStyle="1" w:styleId="42">
    <w:name w:val="font6"/>
    <w:basedOn w:val="1"/>
    <w:autoRedefine/>
    <w:qFormat/>
    <w:uiPriority w:val="0"/>
    <w:pPr>
      <w:spacing w:before="100" w:beforeAutospacing="1" w:after="100" w:afterAutospacing="1"/>
    </w:pPr>
    <w:rPr>
      <w:rFonts w:ascii="等线" w:hAnsi="等线" w:eastAsia="等线"/>
      <w:sz w:val="18"/>
      <w:szCs w:val="18"/>
    </w:rPr>
  </w:style>
  <w:style w:type="paragraph" w:customStyle="1" w:styleId="43">
    <w:name w:val="xl6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18"/>
      <w:szCs w:val="18"/>
    </w:rPr>
  </w:style>
  <w:style w:type="paragraph" w:customStyle="1" w:styleId="44">
    <w:name w:val="xl6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000000"/>
      <w:sz w:val="21"/>
      <w:szCs w:val="21"/>
    </w:rPr>
  </w:style>
  <w:style w:type="paragraph" w:customStyle="1" w:styleId="45">
    <w:name w:val="xl65"/>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Times New Roman" w:hAnsi="Times New Roman" w:cs="Times New Roman"/>
      <w:color w:val="000000"/>
      <w:sz w:val="21"/>
      <w:szCs w:val="21"/>
    </w:rPr>
  </w:style>
  <w:style w:type="paragraph" w:customStyle="1" w:styleId="46">
    <w:name w:val="xl66"/>
    <w:basedOn w:val="1"/>
    <w:autoRedefine/>
    <w:qFormat/>
    <w:uiPriority w:val="0"/>
    <w:pPr>
      <w:pBdr>
        <w:top w:val="single" w:color="auto" w:sz="4" w:space="0"/>
        <w:left w:val="single" w:color="auto" w:sz="4" w:space="0"/>
        <w:bottom w:val="single" w:color="auto" w:sz="4" w:space="0"/>
        <w:right w:val="single" w:color="auto" w:sz="4" w:space="0"/>
      </w:pBdr>
      <w:shd w:val="clear" w:color="000000" w:fill="00B050"/>
      <w:spacing w:before="100" w:beforeAutospacing="1" w:after="100" w:afterAutospacing="1"/>
      <w:jc w:val="center"/>
    </w:pPr>
    <w:rPr>
      <w:rFonts w:ascii="Times New Roman" w:hAnsi="Times New Roman" w:cs="Times New Roman"/>
      <w:color w:val="000000"/>
      <w:sz w:val="21"/>
      <w:szCs w:val="21"/>
    </w:rPr>
  </w:style>
  <w:style w:type="paragraph" w:customStyle="1" w:styleId="47">
    <w:name w:val="xl67"/>
    <w:basedOn w:val="1"/>
    <w:autoRedefine/>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jc w:val="center"/>
    </w:pPr>
    <w:rPr>
      <w:rFonts w:ascii="Times New Roman" w:hAnsi="Times New Roman" w:cs="Times New Roman"/>
      <w:color w:val="000000"/>
      <w:sz w:val="21"/>
      <w:szCs w:val="21"/>
    </w:rPr>
  </w:style>
  <w:style w:type="paragraph" w:customStyle="1" w:styleId="48">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9">
    <w:name w:val="xl69"/>
    <w:basedOn w:val="1"/>
    <w:autoRedefine/>
    <w:qFormat/>
    <w:uiPriority w:val="0"/>
    <w:pPr>
      <w:pBdr>
        <w:top w:val="single" w:color="auto" w:sz="4" w:space="0"/>
        <w:left w:val="single" w:color="auto" w:sz="4" w:space="0"/>
        <w:bottom w:val="single" w:color="auto" w:sz="4" w:space="0"/>
        <w:right w:val="single" w:color="auto" w:sz="4" w:space="0"/>
      </w:pBdr>
      <w:shd w:val="clear" w:color="000000" w:fill="00B050"/>
      <w:spacing w:before="100" w:beforeAutospacing="1" w:after="100" w:afterAutospacing="1"/>
      <w:jc w:val="center"/>
    </w:pPr>
    <w:rPr>
      <w:rFonts w:ascii="Times New Roman" w:hAnsi="Times New Roman" w:cs="Times New Roman"/>
      <w:color w:val="000000"/>
      <w:sz w:val="21"/>
      <w:szCs w:val="21"/>
    </w:rPr>
  </w:style>
  <w:style w:type="paragraph" w:customStyle="1" w:styleId="50">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rPr>
  </w:style>
  <w:style w:type="paragraph" w:customStyle="1" w:styleId="51">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18"/>
      <w:szCs w:val="18"/>
    </w:rPr>
  </w:style>
  <w:style w:type="paragraph" w:customStyle="1" w:styleId="52">
    <w:name w:val="xl72"/>
    <w:basedOn w:val="1"/>
    <w:autoRedefine/>
    <w:qFormat/>
    <w:uiPriority w:val="0"/>
    <w:pPr>
      <w:pBdr>
        <w:top w:val="single" w:color="auto" w:sz="4" w:space="0"/>
        <w:left w:val="single" w:color="auto" w:sz="4" w:space="0"/>
        <w:bottom w:val="single" w:color="auto" w:sz="4" w:space="0"/>
        <w:right w:val="single" w:color="auto" w:sz="4" w:space="0"/>
      </w:pBdr>
      <w:shd w:val="clear" w:color="000000" w:fill="00B050"/>
      <w:spacing w:before="100" w:beforeAutospacing="1" w:after="100" w:afterAutospacing="1"/>
      <w:jc w:val="center"/>
    </w:pPr>
    <w:rPr>
      <w:color w:val="000000"/>
      <w:sz w:val="21"/>
      <w:szCs w:val="21"/>
    </w:rPr>
  </w:style>
  <w:style w:type="character" w:customStyle="1" w:styleId="53">
    <w:name w:val="页眉 字符"/>
    <w:basedOn w:val="24"/>
    <w:link w:val="13"/>
    <w:autoRedefine/>
    <w:qFormat/>
    <w:uiPriority w:val="99"/>
    <w:rPr>
      <w:rFonts w:ascii="宋体" w:hAnsi="宋体" w:eastAsia="宋体" w:cs="宋体"/>
      <w:kern w:val="0"/>
      <w:sz w:val="18"/>
      <w:szCs w:val="18"/>
    </w:rPr>
  </w:style>
  <w:style w:type="character" w:customStyle="1" w:styleId="54">
    <w:name w:val="页脚 字符"/>
    <w:basedOn w:val="24"/>
    <w:link w:val="12"/>
    <w:autoRedefine/>
    <w:qFormat/>
    <w:uiPriority w:val="99"/>
    <w:rPr>
      <w:rFonts w:ascii="宋体" w:hAnsi="宋体" w:eastAsia="宋体" w:cs="宋体"/>
      <w:kern w:val="0"/>
      <w:sz w:val="18"/>
      <w:szCs w:val="18"/>
    </w:rPr>
  </w:style>
  <w:style w:type="character" w:customStyle="1" w:styleId="55">
    <w:name w:val="日期 字符"/>
    <w:basedOn w:val="24"/>
    <w:link w:val="10"/>
    <w:autoRedefine/>
    <w:semiHidden/>
    <w:qFormat/>
    <w:uiPriority w:val="99"/>
    <w:rPr>
      <w:rFonts w:ascii="宋体" w:hAnsi="宋体" w:eastAsia="宋体" w:cs="宋体"/>
      <w:kern w:val="0"/>
      <w:sz w:val="24"/>
    </w:rPr>
  </w:style>
  <w:style w:type="character" w:customStyle="1" w:styleId="56">
    <w:name w:val="日期 字符1"/>
    <w:basedOn w:val="24"/>
    <w:autoRedefine/>
    <w:semiHidden/>
    <w:qFormat/>
    <w:uiPriority w:val="99"/>
    <w:rPr>
      <w:rFonts w:ascii="宋体" w:hAnsi="宋体" w:eastAsia="宋体" w:cs="宋体"/>
      <w:kern w:val="0"/>
      <w:sz w:val="24"/>
    </w:rPr>
  </w:style>
  <w:style w:type="paragraph" w:customStyle="1" w:styleId="57">
    <w:name w:val="EndNote Category Heading"/>
    <w:basedOn w:val="1"/>
    <w:link w:val="58"/>
    <w:autoRedefine/>
    <w:qFormat/>
    <w:uiPriority w:val="0"/>
    <w:pPr>
      <w:spacing w:before="120" w:after="120"/>
    </w:pPr>
    <w:rPr>
      <w:b/>
    </w:rPr>
  </w:style>
  <w:style w:type="character" w:customStyle="1" w:styleId="58">
    <w:name w:val="EndNote Category Heading 字符"/>
    <w:basedOn w:val="24"/>
    <w:link w:val="57"/>
    <w:autoRedefine/>
    <w:qFormat/>
    <w:uiPriority w:val="0"/>
    <w:rPr>
      <w:rFonts w:ascii="宋体" w:hAnsi="宋体" w:eastAsia="宋体" w:cs="宋体"/>
      <w:b/>
      <w:kern w:val="0"/>
      <w:sz w:val="24"/>
    </w:rPr>
  </w:style>
  <w:style w:type="paragraph" w:customStyle="1" w:styleId="59">
    <w:name w:val="xl73"/>
    <w:basedOn w:val="1"/>
    <w:autoRedefine/>
    <w:qFormat/>
    <w:uiPriority w:val="0"/>
    <w:pPr>
      <w:pBdr>
        <w:bottom w:val="single" w:color="auto" w:sz="8" w:space="0"/>
        <w:right w:val="single" w:color="auto" w:sz="8" w:space="0"/>
      </w:pBdr>
      <w:shd w:val="clear" w:color="000000" w:fill="FFFF00"/>
      <w:spacing w:before="100" w:beforeAutospacing="1" w:after="100" w:afterAutospacing="1"/>
      <w:jc w:val="center"/>
    </w:pPr>
    <w:rPr>
      <w:rFonts w:ascii="Times New Roman" w:hAnsi="Times New Roman" w:cs="Times New Roman"/>
      <w:color w:val="000000"/>
      <w:sz w:val="16"/>
      <w:szCs w:val="16"/>
    </w:rPr>
  </w:style>
  <w:style w:type="paragraph" w:customStyle="1" w:styleId="60">
    <w:name w:val="xl74"/>
    <w:basedOn w:val="1"/>
    <w:autoRedefine/>
    <w:qFormat/>
    <w:uiPriority w:val="0"/>
    <w:pPr>
      <w:pBdr>
        <w:bottom w:val="single" w:color="auto" w:sz="8" w:space="0"/>
        <w:right w:val="single" w:color="auto" w:sz="8" w:space="0"/>
      </w:pBdr>
      <w:shd w:val="clear" w:color="000000" w:fill="FF0000"/>
      <w:spacing w:before="100" w:beforeAutospacing="1" w:after="100" w:afterAutospacing="1"/>
      <w:jc w:val="center"/>
    </w:pPr>
    <w:rPr>
      <w:rFonts w:ascii="Times New Roman" w:hAnsi="Times New Roman" w:cs="Times New Roman"/>
      <w:color w:val="000000"/>
      <w:sz w:val="16"/>
      <w:szCs w:val="16"/>
    </w:rPr>
  </w:style>
  <w:style w:type="paragraph" w:customStyle="1" w:styleId="61">
    <w:name w:val="TOC 标题1"/>
    <w:basedOn w:val="2"/>
    <w:next w:val="1"/>
    <w:autoRedefine/>
    <w:unhideWhenUsed/>
    <w:qFormat/>
    <w:uiPriority w:val="39"/>
    <w:pPr>
      <w:spacing w:before="480" w:after="0" w:line="276" w:lineRule="auto"/>
      <w:outlineLvl w:val="9"/>
    </w:pPr>
    <w:rPr>
      <w:rFonts w:asciiTheme="majorHAnsi" w:hAnsiTheme="majorHAnsi" w:eastAsiaTheme="majorEastAsia" w:cstheme="majorBidi"/>
      <w:color w:val="2F5597" w:themeColor="accent1" w:themeShade="BF"/>
      <w:kern w:val="0"/>
      <w:sz w:val="28"/>
      <w:szCs w:val="28"/>
    </w:rPr>
  </w:style>
  <w:style w:type="paragraph" w:styleId="62">
    <w:name w:val="List Paragraph"/>
    <w:basedOn w:val="1"/>
    <w:autoRedefine/>
    <w:qFormat/>
    <w:uiPriority w:val="34"/>
    <w:pPr>
      <w:ind w:firstLine="420" w:firstLineChars="200"/>
    </w:pPr>
  </w:style>
  <w:style w:type="character" w:customStyle="1" w:styleId="63">
    <w:name w:val="标题 3 字符"/>
    <w:basedOn w:val="24"/>
    <w:link w:val="4"/>
    <w:autoRedefine/>
    <w:semiHidden/>
    <w:qFormat/>
    <w:uiPriority w:val="9"/>
    <w:rPr>
      <w:rFonts w:ascii="宋体" w:hAnsi="宋体" w:eastAsia="宋体" w:cs="宋体"/>
      <w:b/>
      <w:bCs/>
      <w:kern w:val="0"/>
      <w:sz w:val="32"/>
      <w:szCs w:val="32"/>
    </w:rPr>
  </w:style>
  <w:style w:type="character" w:customStyle="1" w:styleId="64">
    <w:name w:val="标题 字符"/>
    <w:basedOn w:val="24"/>
    <w:link w:val="20"/>
    <w:autoRedefine/>
    <w:qFormat/>
    <w:uiPriority w:val="10"/>
    <w:rPr>
      <w:rFonts w:ascii="Times New Roman" w:hAnsi="Times New Roman" w:eastAsia="Times New Roman" w:cstheme="majorBidi"/>
      <w:b/>
      <w:bCs/>
      <w:kern w:val="0"/>
      <w:sz w:val="20"/>
      <w:szCs w:val="32"/>
    </w:rPr>
  </w:style>
  <w:style w:type="table" w:customStyle="1" w:styleId="65">
    <w:name w:val="无格式表格 31"/>
    <w:basedOn w:val="22"/>
    <w:autoRedefine/>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66">
    <w:name w:val="无格式表格 32"/>
    <w:basedOn w:val="22"/>
    <w:autoRedefine/>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67">
    <w:name w:val="未处理的提及2"/>
    <w:basedOn w:val="24"/>
    <w:autoRedefine/>
    <w:semiHidden/>
    <w:unhideWhenUsed/>
    <w:qFormat/>
    <w:uiPriority w:val="99"/>
    <w:rPr>
      <w:color w:val="605E5C"/>
      <w:shd w:val="clear" w:color="auto" w:fill="E1DFDD"/>
    </w:rPr>
  </w:style>
  <w:style w:type="character" w:customStyle="1" w:styleId="68">
    <w:name w:val="font51"/>
    <w:basedOn w:val="24"/>
    <w:autoRedefine/>
    <w:qFormat/>
    <w:uiPriority w:val="0"/>
    <w:rPr>
      <w:rFonts w:hint="eastAsia" w:ascii="宋体" w:hAnsi="宋体" w:eastAsia="宋体" w:cs="宋体"/>
      <w:color w:val="000000"/>
      <w:sz w:val="24"/>
      <w:szCs w:val="24"/>
      <w:u w:val="none"/>
    </w:rPr>
  </w:style>
  <w:style w:type="character" w:customStyle="1" w:styleId="69">
    <w:name w:val="font41"/>
    <w:basedOn w:val="24"/>
    <w:autoRedefine/>
    <w:qFormat/>
    <w:uiPriority w:val="0"/>
    <w:rPr>
      <w:rFonts w:hint="default" w:ascii="Times New Roman" w:hAnsi="Times New Roman" w:cs="Times New Roman"/>
      <w:color w:val="000000"/>
      <w:sz w:val="24"/>
      <w:szCs w:val="24"/>
      <w:u w:val="none"/>
    </w:rPr>
  </w:style>
  <w:style w:type="character" w:customStyle="1" w:styleId="70">
    <w:name w:val="Unresolved Mention"/>
    <w:basedOn w:val="24"/>
    <w:autoRedefine/>
    <w:semiHidden/>
    <w:unhideWhenUsed/>
    <w:qFormat/>
    <w:uiPriority w:val="99"/>
    <w:rPr>
      <w:color w:val="605E5C"/>
      <w:shd w:val="clear" w:color="auto" w:fill="E1DFDD"/>
    </w:rPr>
  </w:style>
  <w:style w:type="character" w:customStyle="1" w:styleId="71">
    <w:name w:val="font31"/>
    <w:basedOn w:val="24"/>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42</Pages>
  <Words>316</Words>
  <Characters>3383</Characters>
  <Lines>169</Lines>
  <Paragraphs>47</Paragraphs>
  <TotalTime>4</TotalTime>
  <ScaleCrop>false</ScaleCrop>
  <LinksUpToDate>false</LinksUpToDate>
  <CharactersWithSpaces>3655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2023-10-12T04:21:00Z</dcterms:created>
  <dc:creator>A2397</dc:creator>
  <cp:lastModifiedBy>老景</cp:lastModifiedBy>
  <cp:lastPrinted>2021-12-19T03:20:00Z</cp:lastPrinted>
  <dcterms:modified xsi:type="dcterms:W3CDTF">2025-04-20T06:43:57Z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BA88C26EF1FB4757B8E2FFAEAA392636_13</vt:lpwstr>
  </property>
  <property fmtid="{D5CDD505-2E9C-101B-9397-08002B2CF9AE}" pid="4" name="KSOTemplateDocerSaveRecord">
    <vt:lpwstr>eyJoZGlkIjoiYjMxOWQ1YmZiOTEyY2U1ZjA5ZjFkMTU0MTdjNTNiNWIiLCJ1c2VySWQiOiIzNjM3NjIwMDcifQ==</vt:lpwstr>
  </property>
</Properties>
</file>