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8E4EF">
      <w:pPr>
        <w:rPr>
          <w:rFonts w:ascii="Times New Roman" w:hAnsi="Times New Roman" w:cs="Times New Roman"/>
          <w:b/>
          <w:bCs/>
          <w:sz w:val="36"/>
          <w:szCs w:val="36"/>
        </w:rPr>
      </w:pPr>
      <w:r>
        <w:rPr>
          <w:rFonts w:ascii="Times New Roman" w:hAnsi="Times New Roman" w:cs="Times New Roman"/>
          <w:b/>
          <w:bCs/>
          <w:sz w:val="36"/>
          <w:szCs w:val="36"/>
        </w:rPr>
        <w:t>Table of Contents</w:t>
      </w:r>
    </w:p>
    <w:p w14:paraId="2E0C92D2">
      <w:pPr>
        <w:rPr>
          <w:rFonts w:ascii="Times New Roman" w:hAnsi="Times New Roman" w:cs="Times New Roman"/>
          <w:sz w:val="32"/>
          <w:szCs w:val="32"/>
        </w:rPr>
      </w:pPr>
      <w:r>
        <w:rPr>
          <w:rFonts w:ascii="Times New Roman" w:hAnsi="Times New Roman" w:cs="Times New Roman"/>
          <w:b/>
          <w:bCs/>
          <w:sz w:val="32"/>
          <w:szCs w:val="32"/>
        </w:rPr>
        <w:t>S</w:t>
      </w:r>
      <w:r>
        <w:rPr>
          <w:rFonts w:hint="eastAsia" w:ascii="Times New Roman" w:hAnsi="Times New Roman" w:cs="Times New Roman"/>
          <w:b/>
          <w:bCs/>
          <w:sz w:val="32"/>
          <w:szCs w:val="32"/>
          <w:lang w:val="en-US" w:eastAsia="zh-CN"/>
        </w:rPr>
        <w:t>4</w:t>
      </w:r>
      <w:r>
        <w:rPr>
          <w:rFonts w:ascii="Times New Roman" w:hAnsi="Times New Roman" w:cs="Times New Roman"/>
          <w:b/>
          <w:bCs/>
          <w:sz w:val="32"/>
          <w:szCs w:val="32"/>
        </w:rPr>
        <w:t xml:space="preserve"> Table:</w:t>
      </w:r>
      <w:r>
        <w:rPr>
          <w:rFonts w:ascii="Times New Roman" w:hAnsi="Times New Roman" w:eastAsia="宋体" w:cs="Times New Roman"/>
          <w:sz w:val="32"/>
          <w:szCs w:val="32"/>
          <w:lang w:bidi="ar"/>
        </w:rPr>
        <w:t xml:space="preserve"> </w:t>
      </w:r>
      <w:r>
        <w:rPr>
          <w:rFonts w:hint="eastAsia" w:ascii="Times New Roman" w:hAnsi="Times New Roman" w:eastAsia="宋体" w:cs="Times New Roman"/>
          <w:sz w:val="32"/>
          <w:szCs w:val="32"/>
          <w:lang w:bidi="ar"/>
        </w:rPr>
        <w:t xml:space="preserve">the </w:t>
      </w:r>
      <w:r>
        <w:rPr>
          <w:rFonts w:ascii="Times New Roman" w:hAnsi="Times New Roman" w:eastAsia="宋体" w:cs="Times New Roman"/>
          <w:bCs/>
          <w:sz w:val="32"/>
          <w:szCs w:val="32"/>
          <w:lang w:bidi="ar"/>
        </w:rPr>
        <w:t>included and excluded studies</w:t>
      </w:r>
    </w:p>
    <w:tbl>
      <w:tblPr>
        <w:tblStyle w:val="5"/>
        <w:tblW w:w="9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2"/>
      </w:tblGrid>
      <w:tr w14:paraId="0630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02" w:type="dxa"/>
            <w:tcBorders>
              <w:top w:val="single" w:color="auto" w:sz="4" w:space="0"/>
              <w:left w:val="single" w:color="auto" w:sz="4" w:space="0"/>
              <w:bottom w:val="single" w:color="auto" w:sz="4" w:space="0"/>
              <w:right w:val="single" w:color="auto" w:sz="4" w:space="0"/>
            </w:tcBorders>
          </w:tcPr>
          <w:p w14:paraId="348ABA9B">
            <w:pPr>
              <w:widowControl/>
              <w:jc w:val="left"/>
              <w:rPr>
                <w:rFonts w:ascii="Times New Roman" w:hAnsi="Times New Roman" w:cs="Times New Roman"/>
                <w:sz w:val="18"/>
                <w:szCs w:val="18"/>
              </w:rPr>
            </w:pPr>
            <w:r>
              <w:rPr>
                <w:rFonts w:hint="eastAsia" w:ascii="Times New Roman" w:hAnsi="Times New Roman" w:cs="Times New Roman"/>
                <w:b/>
                <w:bCs/>
                <w:sz w:val="24"/>
                <w:szCs w:val="24"/>
              </w:rPr>
              <w:t>I</w:t>
            </w:r>
            <w:r>
              <w:rPr>
                <w:rFonts w:ascii="Times New Roman" w:hAnsi="Times New Roman" w:eastAsia="宋体" w:cs="Times New Roman"/>
                <w:b/>
                <w:bCs/>
                <w:sz w:val="24"/>
                <w:szCs w:val="24"/>
                <w:lang w:bidi="ar"/>
              </w:rPr>
              <w:t>ncluded studies</w:t>
            </w:r>
            <w:r>
              <w:rPr>
                <w:rFonts w:hint="eastAsia" w:ascii="Times New Roman" w:hAnsi="Times New Roman" w:eastAsia="宋体" w:cs="Times New Roman"/>
                <w:b/>
                <w:bCs/>
                <w:sz w:val="24"/>
                <w:szCs w:val="24"/>
                <w:lang w:bidi="ar"/>
              </w:rPr>
              <w:t>(n=1</w:t>
            </w:r>
            <w:r>
              <w:rPr>
                <w:rFonts w:hint="eastAsia" w:ascii="Times New Roman" w:hAnsi="Times New Roman" w:eastAsia="宋体" w:cs="Times New Roman"/>
                <w:b/>
                <w:bCs/>
                <w:sz w:val="24"/>
                <w:szCs w:val="24"/>
                <w:lang w:val="en-US" w:eastAsia="zh-CN" w:bidi="ar"/>
              </w:rPr>
              <w:t>2</w:t>
            </w:r>
            <w:r>
              <w:rPr>
                <w:rFonts w:hint="eastAsia" w:ascii="Times New Roman" w:hAnsi="Times New Roman" w:eastAsia="宋体" w:cs="Times New Roman"/>
                <w:b/>
                <w:bCs/>
                <w:sz w:val="24"/>
                <w:szCs w:val="24"/>
                <w:lang w:bidi="ar"/>
              </w:rPr>
              <w:t>)</w:t>
            </w:r>
          </w:p>
        </w:tc>
      </w:tr>
      <w:tr w14:paraId="1CBC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02" w:type="dxa"/>
            <w:tcBorders>
              <w:top w:val="single" w:color="auto" w:sz="4" w:space="0"/>
              <w:left w:val="single" w:color="auto" w:sz="4" w:space="0"/>
              <w:bottom w:val="single" w:color="auto" w:sz="4" w:space="0"/>
              <w:right w:val="single" w:color="auto" w:sz="4" w:space="0"/>
            </w:tcBorders>
          </w:tcPr>
          <w:p w14:paraId="298A9E98">
            <w:pPr>
              <w:numPr>
                <w:ilvl w:val="0"/>
                <w:numId w:val="1"/>
              </w:numPr>
              <w:ind w:left="283" w:hanging="283"/>
              <w:rPr>
                <w:rFonts w:ascii="Times New Roman" w:hAnsi="Times New Roman" w:cs="Times New Roman"/>
                <w:sz w:val="18"/>
                <w:szCs w:val="18"/>
              </w:rPr>
            </w:pPr>
            <w:bookmarkStart w:id="0" w:name="_Ref9172"/>
            <w:r>
              <w:rPr>
                <w:rFonts w:ascii="Times New Roman" w:hAnsi="Times New Roman" w:eastAsia="宋体" w:cs="Times New Roman"/>
                <w:bCs/>
                <w:sz w:val="18"/>
                <w:szCs w:val="18"/>
                <w:lang w:bidi="ar"/>
              </w:rPr>
              <w:t xml:space="preserve">Kong F, Gao F, Chen J, et al. Elevated serum C-reactive protein level predicts a poor prognosis for recurrent gastric cancer. Oncotarget. 2016;7(34):55765-55770. </w:t>
            </w:r>
            <w:bookmarkEnd w:id="0"/>
            <w:r>
              <w:rPr>
                <w:rFonts w:ascii="Times New Roman" w:hAnsi="Times New Roman" w:eastAsia="宋体" w:cs="Times New Roman"/>
                <w:bCs/>
                <w:sz w:val="18"/>
                <w:szCs w:val="18"/>
                <w:lang w:bidi="ar"/>
              </w:rPr>
              <w:fldChar w:fldCharType="begin"/>
            </w:r>
            <w:r>
              <w:rPr>
                <w:rFonts w:ascii="Times New Roman" w:hAnsi="Times New Roman" w:eastAsia="宋体" w:cs="Times New Roman"/>
                <w:bCs/>
                <w:sz w:val="18"/>
                <w:szCs w:val="18"/>
                <w:lang w:bidi="ar"/>
              </w:rPr>
              <w:instrText xml:space="preserve"> HYPERLINK "https://doi.org/10.18632/oncotarget.9910" </w:instrText>
            </w:r>
            <w:r>
              <w:rPr>
                <w:rFonts w:ascii="Times New Roman" w:hAnsi="Times New Roman" w:eastAsia="宋体" w:cs="Times New Roman"/>
                <w:bCs/>
                <w:sz w:val="18"/>
                <w:szCs w:val="18"/>
                <w:lang w:bidi="ar"/>
              </w:rPr>
              <w:fldChar w:fldCharType="separate"/>
            </w:r>
            <w:r>
              <w:rPr>
                <w:rStyle w:val="9"/>
                <w:rFonts w:ascii="Times New Roman" w:hAnsi="Times New Roman" w:eastAsia="宋体" w:cs="Times New Roman"/>
                <w:bCs/>
                <w:sz w:val="18"/>
                <w:szCs w:val="18"/>
                <w:lang w:bidi="ar"/>
              </w:rPr>
              <w:t>https://doi.org/10.18632/oncotarget.9910</w:t>
            </w:r>
            <w:r>
              <w:rPr>
                <w:rFonts w:ascii="Times New Roman" w:hAnsi="Times New Roman" w:eastAsia="宋体" w:cs="Times New Roman"/>
                <w:bCs/>
                <w:sz w:val="18"/>
                <w:szCs w:val="18"/>
                <w:lang w:bidi="ar"/>
              </w:rPr>
              <w:fldChar w:fldCharType="end"/>
            </w:r>
          </w:p>
          <w:p w14:paraId="1C258D38">
            <w:pPr>
              <w:numPr>
                <w:ilvl w:val="0"/>
                <w:numId w:val="1"/>
              </w:numPr>
              <w:ind w:left="283" w:hanging="283"/>
              <w:rPr>
                <w:rFonts w:ascii="Times New Roman" w:hAnsi="Times New Roman" w:cs="Times New Roman"/>
                <w:sz w:val="18"/>
                <w:szCs w:val="18"/>
              </w:rPr>
            </w:pPr>
            <w:bookmarkStart w:id="1" w:name="_Ref9221"/>
            <w:r>
              <w:rPr>
                <w:rFonts w:ascii="Times New Roman" w:hAnsi="Times New Roman" w:eastAsia="宋体" w:cs="Times New Roman"/>
                <w:bCs/>
                <w:sz w:val="18"/>
                <w:szCs w:val="18"/>
                <w:lang w:bidi="ar"/>
              </w:rPr>
              <w:t xml:space="preserve">Kuroda K, Toyokawa T, Miki Y, et al. Prognostic impact of postoperative systemic inflammatory response in patients with stage II/III gastric cancer. Sci Rep. 2022;12(1):3025. </w:t>
            </w:r>
            <w:bookmarkEnd w:id="1"/>
            <w:r>
              <w:rPr>
                <w:rFonts w:ascii="Times New Roman" w:hAnsi="Times New Roman" w:eastAsia="宋体" w:cs="Times New Roman"/>
                <w:bCs/>
                <w:sz w:val="18"/>
                <w:szCs w:val="18"/>
                <w:lang w:bidi="ar"/>
              </w:rPr>
              <w:fldChar w:fldCharType="begin"/>
            </w:r>
            <w:r>
              <w:rPr>
                <w:rFonts w:ascii="Times New Roman" w:hAnsi="Times New Roman" w:eastAsia="宋体" w:cs="Times New Roman"/>
                <w:bCs/>
                <w:sz w:val="18"/>
                <w:szCs w:val="18"/>
                <w:lang w:bidi="ar"/>
              </w:rPr>
              <w:instrText xml:space="preserve"> HYPERLINK "https://doi.org/10.1038/s41598-022-07098-3" </w:instrText>
            </w:r>
            <w:r>
              <w:rPr>
                <w:rFonts w:ascii="Times New Roman" w:hAnsi="Times New Roman" w:eastAsia="宋体" w:cs="Times New Roman"/>
                <w:bCs/>
                <w:sz w:val="18"/>
                <w:szCs w:val="18"/>
                <w:lang w:bidi="ar"/>
              </w:rPr>
              <w:fldChar w:fldCharType="separate"/>
            </w:r>
            <w:r>
              <w:rPr>
                <w:rStyle w:val="9"/>
                <w:rFonts w:ascii="Times New Roman" w:hAnsi="Times New Roman" w:eastAsia="宋体" w:cs="Times New Roman"/>
                <w:bCs/>
                <w:sz w:val="18"/>
                <w:szCs w:val="18"/>
                <w:lang w:bidi="ar"/>
              </w:rPr>
              <w:t>https://doi.org/10.1038/s41598-022-07098-3</w:t>
            </w:r>
            <w:r>
              <w:rPr>
                <w:rFonts w:ascii="Times New Roman" w:hAnsi="Times New Roman" w:eastAsia="宋体" w:cs="Times New Roman"/>
                <w:bCs/>
                <w:sz w:val="18"/>
                <w:szCs w:val="18"/>
                <w:lang w:bidi="ar"/>
              </w:rPr>
              <w:fldChar w:fldCharType="end"/>
            </w:r>
          </w:p>
          <w:p w14:paraId="186FA9A0">
            <w:pPr>
              <w:numPr>
                <w:ilvl w:val="0"/>
                <w:numId w:val="1"/>
              </w:numPr>
              <w:ind w:left="283" w:hanging="283"/>
              <w:rPr>
                <w:rFonts w:ascii="Times New Roman" w:hAnsi="Times New Roman" w:eastAsia="宋体" w:cs="Times New Roman"/>
                <w:bCs/>
                <w:sz w:val="18"/>
                <w:szCs w:val="18"/>
                <w:lang w:bidi="ar"/>
              </w:rPr>
            </w:pPr>
            <w:bookmarkStart w:id="2" w:name="_Ref9240"/>
            <w:r>
              <w:rPr>
                <w:rFonts w:ascii="Times New Roman" w:hAnsi="Times New Roman" w:eastAsia="宋体" w:cs="Times New Roman"/>
                <w:bCs/>
                <w:sz w:val="18"/>
                <w:szCs w:val="18"/>
                <w:lang w:bidi="ar"/>
              </w:rPr>
              <w:t xml:space="preserve">Kurokawa Y, Yamashita K, Kawabata R, et al. Prognostic value of postoperative C-reactive protein elevation versus complication occurrence: a multicenter validation study. Gastric Cancer. 2020;23(5):937-943. </w:t>
            </w:r>
            <w:bookmarkEnd w:id="2"/>
            <w:r>
              <w:rPr>
                <w:rFonts w:ascii="Times New Roman" w:hAnsi="Times New Roman" w:eastAsia="宋体" w:cs="Times New Roman"/>
                <w:bCs/>
                <w:sz w:val="18"/>
                <w:szCs w:val="18"/>
                <w:lang w:bidi="ar"/>
              </w:rPr>
              <w:fldChar w:fldCharType="begin"/>
            </w:r>
            <w:r>
              <w:rPr>
                <w:rFonts w:ascii="Times New Roman" w:hAnsi="Times New Roman" w:eastAsia="宋体" w:cs="Times New Roman"/>
                <w:bCs/>
                <w:sz w:val="18"/>
                <w:szCs w:val="18"/>
                <w:lang w:bidi="ar"/>
              </w:rPr>
              <w:instrText xml:space="preserve"> HYPERLINK "https://doi.org/10.1007/s10120-020-01073-5" </w:instrText>
            </w:r>
            <w:r>
              <w:rPr>
                <w:rFonts w:ascii="Times New Roman" w:hAnsi="Times New Roman" w:eastAsia="宋体" w:cs="Times New Roman"/>
                <w:bCs/>
                <w:sz w:val="18"/>
                <w:szCs w:val="18"/>
                <w:lang w:bidi="ar"/>
              </w:rPr>
              <w:fldChar w:fldCharType="separate"/>
            </w:r>
            <w:r>
              <w:rPr>
                <w:rStyle w:val="9"/>
                <w:rFonts w:ascii="Times New Roman" w:hAnsi="Times New Roman" w:eastAsia="宋体" w:cs="Times New Roman"/>
                <w:bCs/>
                <w:sz w:val="18"/>
                <w:szCs w:val="18"/>
                <w:lang w:bidi="ar"/>
              </w:rPr>
              <w:t>https://doi.org/10.1007/s10120-020-01073-5</w:t>
            </w:r>
            <w:r>
              <w:rPr>
                <w:rFonts w:ascii="Times New Roman" w:hAnsi="Times New Roman" w:eastAsia="宋体" w:cs="Times New Roman"/>
                <w:bCs/>
                <w:sz w:val="18"/>
                <w:szCs w:val="18"/>
                <w:lang w:bidi="ar"/>
              </w:rPr>
              <w:fldChar w:fldCharType="end"/>
            </w:r>
          </w:p>
          <w:p w14:paraId="1628737E">
            <w:pPr>
              <w:numPr>
                <w:ilvl w:val="0"/>
                <w:numId w:val="1"/>
              </w:numPr>
              <w:ind w:left="283" w:hanging="283"/>
              <w:rPr>
                <w:rFonts w:ascii="Times New Roman" w:hAnsi="Times New Roman" w:eastAsia="宋体" w:cs="Times New Roman"/>
                <w:bCs/>
                <w:sz w:val="18"/>
                <w:szCs w:val="18"/>
                <w:lang w:bidi="ar"/>
              </w:rPr>
            </w:pPr>
            <w:r>
              <w:rPr>
                <w:rFonts w:hint="eastAsia" w:ascii="Times New Roman" w:hAnsi="Times New Roman" w:eastAsia="宋体" w:cs="Times New Roman"/>
                <w:bCs/>
                <w:sz w:val="18"/>
                <w:szCs w:val="18"/>
                <w:lang w:bidi="ar"/>
              </w:rPr>
              <w:t xml:space="preserve">Li C, Yang X, Li H, et al. Postoperative ratio of C-reactive protein to albumin is an independent prognostic factor for gastric cancer. Eur J Med Res. 2023;28(1):360. Published 2023 Sep 21. </w:t>
            </w:r>
            <w:r>
              <w:rPr>
                <w:rStyle w:val="9"/>
                <w:rFonts w:ascii="Times New Roman" w:hAnsi="Times New Roman" w:eastAsia="宋体" w:cs="Times New Roman"/>
                <w:bCs/>
                <w:sz w:val="18"/>
                <w:szCs w:val="18"/>
                <w:lang w:bidi="ar"/>
              </w:rPr>
              <w:fldChar w:fldCharType="begin"/>
            </w:r>
            <w:r>
              <w:rPr>
                <w:rStyle w:val="9"/>
                <w:rFonts w:ascii="Times New Roman" w:hAnsi="Times New Roman" w:eastAsia="宋体" w:cs="Times New Roman"/>
                <w:bCs/>
                <w:sz w:val="18"/>
                <w:szCs w:val="18"/>
                <w:lang w:bidi="ar"/>
              </w:rPr>
              <w:instrText xml:space="preserve"> HYPERLINK "https://doi:10.1186/s40001-023-01334-w" </w:instrText>
            </w:r>
            <w:r>
              <w:rPr>
                <w:rStyle w:val="9"/>
                <w:rFonts w:ascii="Times New Roman" w:hAnsi="Times New Roman" w:eastAsia="宋体" w:cs="Times New Roman"/>
                <w:bCs/>
                <w:sz w:val="18"/>
                <w:szCs w:val="18"/>
                <w:lang w:bidi="ar"/>
              </w:rPr>
              <w:fldChar w:fldCharType="separate"/>
            </w:r>
            <w:r>
              <w:rPr>
                <w:rStyle w:val="9"/>
                <w:rFonts w:ascii="Times New Roman" w:hAnsi="Times New Roman" w:eastAsia="宋体" w:cs="Times New Roman"/>
                <w:bCs/>
                <w:sz w:val="18"/>
                <w:szCs w:val="18"/>
                <w:lang w:bidi="ar"/>
              </w:rPr>
              <w:t>https://</w:t>
            </w:r>
            <w:r>
              <w:rPr>
                <w:rStyle w:val="9"/>
                <w:rFonts w:hint="eastAsia" w:ascii="Times New Roman" w:hAnsi="Times New Roman" w:eastAsia="宋体" w:cs="Times New Roman"/>
                <w:bCs/>
                <w:sz w:val="18"/>
                <w:szCs w:val="18"/>
                <w:lang w:bidi="ar"/>
              </w:rPr>
              <w:t>doi:10.1186/s40001-023-01334-w</w:t>
            </w:r>
            <w:r>
              <w:rPr>
                <w:rStyle w:val="9"/>
                <w:rFonts w:ascii="Times New Roman" w:hAnsi="Times New Roman" w:eastAsia="宋体" w:cs="Times New Roman"/>
                <w:bCs/>
                <w:sz w:val="18"/>
                <w:szCs w:val="18"/>
                <w:lang w:bidi="ar"/>
              </w:rPr>
              <w:fldChar w:fldCharType="end"/>
            </w:r>
          </w:p>
          <w:p w14:paraId="4F5A92BE">
            <w:pPr>
              <w:numPr>
                <w:ilvl w:val="0"/>
                <w:numId w:val="1"/>
              </w:numPr>
              <w:ind w:left="283" w:hanging="283"/>
              <w:rPr>
                <w:rFonts w:ascii="Times New Roman" w:hAnsi="Times New Roman" w:eastAsia="宋体" w:cs="Times New Roman"/>
                <w:bCs/>
                <w:sz w:val="18"/>
                <w:szCs w:val="18"/>
                <w:lang w:bidi="ar"/>
              </w:rPr>
            </w:pPr>
            <w:bookmarkStart w:id="3" w:name="_Ref9256"/>
            <w:r>
              <w:rPr>
                <w:rFonts w:ascii="Times New Roman" w:hAnsi="Times New Roman" w:eastAsia="宋体" w:cs="Times New Roman"/>
                <w:bCs/>
                <w:sz w:val="18"/>
                <w:szCs w:val="18"/>
                <w:lang w:bidi="ar"/>
              </w:rPr>
              <w:t xml:space="preserve">Lu J, Xu BB, Xue Z, et al. Perioperative CRP: A novel inflammation-based classification in gastric cancer for recurrence and chemotherapy benefit. Cancer Med. 2021;10(1):34-44. </w:t>
            </w:r>
            <w:bookmarkEnd w:id="3"/>
            <w:r>
              <w:rPr>
                <w:rFonts w:ascii="Times New Roman" w:hAnsi="Times New Roman" w:eastAsia="宋体" w:cs="Times New Roman"/>
                <w:bCs/>
                <w:sz w:val="18"/>
                <w:szCs w:val="18"/>
                <w:lang w:bidi="ar"/>
              </w:rPr>
              <w:fldChar w:fldCharType="begin"/>
            </w:r>
            <w:r>
              <w:rPr>
                <w:rFonts w:ascii="Times New Roman" w:hAnsi="Times New Roman" w:eastAsia="宋体" w:cs="Times New Roman"/>
                <w:bCs/>
                <w:sz w:val="18"/>
                <w:szCs w:val="18"/>
                <w:lang w:bidi="ar"/>
              </w:rPr>
              <w:instrText xml:space="preserve"> HYPERLINK "https://doi.org/10.1002/cam4.3514" </w:instrText>
            </w:r>
            <w:r>
              <w:rPr>
                <w:rFonts w:ascii="Times New Roman" w:hAnsi="Times New Roman" w:eastAsia="宋体" w:cs="Times New Roman"/>
                <w:bCs/>
                <w:sz w:val="18"/>
                <w:szCs w:val="18"/>
                <w:lang w:bidi="ar"/>
              </w:rPr>
              <w:fldChar w:fldCharType="separate"/>
            </w:r>
            <w:r>
              <w:rPr>
                <w:rStyle w:val="9"/>
                <w:rFonts w:ascii="Times New Roman" w:hAnsi="Times New Roman" w:eastAsia="宋体" w:cs="Times New Roman"/>
                <w:bCs/>
                <w:sz w:val="18"/>
                <w:szCs w:val="18"/>
                <w:lang w:bidi="ar"/>
              </w:rPr>
              <w:t>https://doi.org/10.1002/cam4.3514</w:t>
            </w:r>
            <w:r>
              <w:rPr>
                <w:rFonts w:ascii="Times New Roman" w:hAnsi="Times New Roman" w:eastAsia="宋体" w:cs="Times New Roman"/>
                <w:bCs/>
                <w:sz w:val="18"/>
                <w:szCs w:val="18"/>
                <w:lang w:bidi="ar"/>
              </w:rPr>
              <w:fldChar w:fldCharType="end"/>
            </w:r>
          </w:p>
          <w:p w14:paraId="47098ABE">
            <w:pPr>
              <w:numPr>
                <w:ilvl w:val="0"/>
                <w:numId w:val="1"/>
              </w:numPr>
              <w:ind w:left="283" w:hanging="283"/>
              <w:rPr>
                <w:rFonts w:ascii="Times New Roman" w:hAnsi="Times New Roman" w:eastAsia="宋体" w:cs="Times New Roman"/>
                <w:bCs/>
                <w:sz w:val="18"/>
                <w:szCs w:val="18"/>
                <w:lang w:bidi="ar"/>
              </w:rPr>
            </w:pPr>
            <w:r>
              <w:rPr>
                <w:rFonts w:ascii="Times New Roman" w:hAnsi="Times New Roman" w:eastAsia="宋体" w:cs="Times New Roman"/>
                <w:bCs/>
                <w:sz w:val="18"/>
                <w:szCs w:val="18"/>
                <w:lang w:bidi="ar"/>
              </w:rPr>
              <w:t>Matsui</w:t>
            </w:r>
            <w:r>
              <w:rPr>
                <w:rFonts w:hint="default" w:ascii="Times New Roman" w:hAnsi="Times New Roman" w:eastAsia="宋体" w:cs="Times New Roman"/>
                <w:bCs/>
                <w:sz w:val="18"/>
                <w:szCs w:val="18"/>
                <w:lang w:bidi="ar"/>
              </w:rPr>
              <w:t> R, Ohashi M, Ri M, Makuuchi R, Irino T, Hayami M, et al. Prognostic impact of postoperative fixed-point inflammation in patients with gastric cancer after curative gastrectomy: A validation cohort study. Ann Gastroenterol Surg. 2025; 00:1–13. </w:t>
            </w:r>
            <w:r>
              <w:rPr>
                <w:rStyle w:val="9"/>
                <w:rFonts w:hint="default" w:ascii="Times New Roman" w:hAnsi="Times New Roman" w:eastAsia="宋体" w:cs="Times New Roman"/>
                <w:bCs/>
                <w:sz w:val="18"/>
                <w:szCs w:val="18"/>
                <w:lang w:bidi="ar"/>
              </w:rPr>
              <w:fldChar w:fldCharType="begin"/>
            </w:r>
            <w:r>
              <w:rPr>
                <w:rStyle w:val="9"/>
                <w:rFonts w:hint="default" w:ascii="Times New Roman" w:hAnsi="Times New Roman" w:eastAsia="宋体" w:cs="Times New Roman"/>
                <w:bCs/>
                <w:sz w:val="18"/>
                <w:szCs w:val="18"/>
                <w:lang w:bidi="ar"/>
              </w:rPr>
              <w:instrText xml:space="preserve"> HYPERLINK "https://doi.org/10.1002/ags3.70006" </w:instrText>
            </w:r>
            <w:r>
              <w:rPr>
                <w:rStyle w:val="9"/>
                <w:rFonts w:hint="default" w:ascii="Times New Roman" w:hAnsi="Times New Roman" w:eastAsia="宋体" w:cs="Times New Roman"/>
                <w:bCs/>
                <w:sz w:val="18"/>
                <w:szCs w:val="18"/>
                <w:lang w:bidi="ar"/>
              </w:rPr>
              <w:fldChar w:fldCharType="separate"/>
            </w:r>
            <w:r>
              <w:rPr>
                <w:rStyle w:val="9"/>
                <w:rFonts w:hint="default" w:ascii="Times New Roman" w:hAnsi="Times New Roman" w:eastAsia="宋体" w:cs="Times New Roman"/>
                <w:bCs/>
                <w:sz w:val="18"/>
                <w:szCs w:val="18"/>
                <w:lang w:bidi="ar"/>
              </w:rPr>
              <w:t>https://doi.org/10.1002/ags3.70006</w:t>
            </w:r>
            <w:r>
              <w:rPr>
                <w:rStyle w:val="9"/>
                <w:rFonts w:hint="default" w:ascii="Times New Roman" w:hAnsi="Times New Roman" w:eastAsia="宋体" w:cs="Times New Roman"/>
                <w:bCs/>
                <w:sz w:val="18"/>
                <w:szCs w:val="18"/>
                <w:lang w:bidi="ar"/>
              </w:rPr>
              <w:fldChar w:fldCharType="end"/>
            </w:r>
          </w:p>
          <w:p w14:paraId="6E157A99">
            <w:pPr>
              <w:numPr>
                <w:ilvl w:val="0"/>
                <w:numId w:val="1"/>
              </w:numPr>
              <w:ind w:left="283" w:hanging="283"/>
              <w:rPr>
                <w:rFonts w:ascii="Times New Roman" w:hAnsi="Times New Roman" w:cs="Times New Roman"/>
                <w:sz w:val="18"/>
                <w:szCs w:val="18"/>
              </w:rPr>
            </w:pPr>
            <w:bookmarkStart w:id="4" w:name="_Ref9276"/>
            <w:r>
              <w:rPr>
                <w:rFonts w:ascii="Times New Roman" w:hAnsi="Times New Roman" w:eastAsia="宋体" w:cs="Times New Roman"/>
                <w:bCs/>
                <w:sz w:val="18"/>
                <w:szCs w:val="18"/>
                <w:lang w:bidi="ar"/>
              </w:rPr>
              <w:t xml:space="preserve">Migita K, Matsumoto S, Wakatsuki K, et al. Postoperative Serum C-Reactive Protein Level Predicts Long-term Outcomes in Stage I Gastric Cancer. J Surg Res. 2019; 242:323-331. </w:t>
            </w:r>
            <w:bookmarkEnd w:id="4"/>
            <w:r>
              <w:rPr>
                <w:rFonts w:ascii="Times New Roman" w:hAnsi="Times New Roman" w:eastAsia="宋体" w:cs="Times New Roman"/>
                <w:bCs/>
                <w:sz w:val="18"/>
                <w:szCs w:val="18"/>
                <w:lang w:bidi="ar"/>
              </w:rPr>
              <w:fldChar w:fldCharType="begin"/>
            </w:r>
            <w:r>
              <w:rPr>
                <w:rFonts w:ascii="Times New Roman" w:hAnsi="Times New Roman" w:eastAsia="宋体" w:cs="Times New Roman"/>
                <w:bCs/>
                <w:sz w:val="18"/>
                <w:szCs w:val="18"/>
                <w:lang w:bidi="ar"/>
              </w:rPr>
              <w:instrText xml:space="preserve"> HYPERLINK "https://doi.org/10.1016/j.jss.2019.04.075" </w:instrText>
            </w:r>
            <w:r>
              <w:rPr>
                <w:rFonts w:ascii="Times New Roman" w:hAnsi="Times New Roman" w:eastAsia="宋体" w:cs="Times New Roman"/>
                <w:bCs/>
                <w:sz w:val="18"/>
                <w:szCs w:val="18"/>
                <w:lang w:bidi="ar"/>
              </w:rPr>
              <w:fldChar w:fldCharType="separate"/>
            </w:r>
            <w:r>
              <w:rPr>
                <w:rStyle w:val="9"/>
                <w:rFonts w:ascii="Times New Roman" w:hAnsi="Times New Roman" w:eastAsia="宋体" w:cs="Times New Roman"/>
                <w:bCs/>
                <w:sz w:val="18"/>
                <w:szCs w:val="18"/>
                <w:lang w:bidi="ar"/>
              </w:rPr>
              <w:t>https://doi.org/10.1016/j.jss.2019.04.075</w:t>
            </w:r>
            <w:r>
              <w:rPr>
                <w:rFonts w:ascii="Times New Roman" w:hAnsi="Times New Roman" w:eastAsia="宋体" w:cs="Times New Roman"/>
                <w:bCs/>
                <w:sz w:val="18"/>
                <w:szCs w:val="18"/>
                <w:lang w:bidi="ar"/>
              </w:rPr>
              <w:fldChar w:fldCharType="end"/>
            </w:r>
          </w:p>
          <w:p w14:paraId="70745F03">
            <w:pPr>
              <w:numPr>
                <w:ilvl w:val="0"/>
                <w:numId w:val="1"/>
              </w:numPr>
              <w:ind w:left="283" w:hanging="283"/>
              <w:rPr>
                <w:rFonts w:ascii="Times New Roman" w:hAnsi="Times New Roman" w:cs="Times New Roman"/>
                <w:sz w:val="18"/>
                <w:szCs w:val="18"/>
              </w:rPr>
            </w:pPr>
            <w:bookmarkStart w:id="5" w:name="_Ref9302"/>
            <w:r>
              <w:rPr>
                <w:rFonts w:ascii="Times New Roman" w:hAnsi="Times New Roman" w:eastAsia="宋体" w:cs="Times New Roman"/>
                <w:bCs/>
                <w:sz w:val="18"/>
                <w:szCs w:val="18"/>
                <w:lang w:bidi="ar"/>
              </w:rPr>
              <w:t xml:space="preserve">Nagata T, Adachi Y, Taniguchi A, et al. Prognostic impacts of categorized postoperative complications in surgery for gastric cancer. Asian J Surg. 2023;46(1):451-457. </w:t>
            </w:r>
            <w:bookmarkEnd w:id="5"/>
            <w:r>
              <w:rPr>
                <w:rFonts w:ascii="Times New Roman" w:hAnsi="Times New Roman" w:eastAsia="宋体" w:cs="Times New Roman"/>
                <w:bCs/>
                <w:sz w:val="18"/>
                <w:szCs w:val="18"/>
                <w:lang w:bidi="ar"/>
              </w:rPr>
              <w:fldChar w:fldCharType="begin"/>
            </w:r>
            <w:r>
              <w:rPr>
                <w:rFonts w:ascii="Times New Roman" w:hAnsi="Times New Roman" w:eastAsia="宋体" w:cs="Times New Roman"/>
                <w:bCs/>
                <w:sz w:val="18"/>
                <w:szCs w:val="18"/>
                <w:lang w:bidi="ar"/>
              </w:rPr>
              <w:instrText xml:space="preserve"> HYPERLINK "https://doi.org/10.1016/j.asjsur.2022.05.087" </w:instrText>
            </w:r>
            <w:r>
              <w:rPr>
                <w:rFonts w:ascii="Times New Roman" w:hAnsi="Times New Roman" w:eastAsia="宋体" w:cs="Times New Roman"/>
                <w:bCs/>
                <w:sz w:val="18"/>
                <w:szCs w:val="18"/>
                <w:lang w:bidi="ar"/>
              </w:rPr>
              <w:fldChar w:fldCharType="separate"/>
            </w:r>
            <w:r>
              <w:rPr>
                <w:rStyle w:val="9"/>
                <w:rFonts w:ascii="Times New Roman" w:hAnsi="Times New Roman" w:eastAsia="宋体" w:cs="Times New Roman"/>
                <w:bCs/>
                <w:sz w:val="18"/>
                <w:szCs w:val="18"/>
                <w:lang w:bidi="ar"/>
              </w:rPr>
              <w:t>https://doi.org/10.1016/j.asjsur.2022.05.087</w:t>
            </w:r>
            <w:r>
              <w:rPr>
                <w:rFonts w:ascii="Times New Roman" w:hAnsi="Times New Roman" w:eastAsia="宋体" w:cs="Times New Roman"/>
                <w:bCs/>
                <w:sz w:val="18"/>
                <w:szCs w:val="18"/>
                <w:lang w:bidi="ar"/>
              </w:rPr>
              <w:fldChar w:fldCharType="end"/>
            </w:r>
          </w:p>
          <w:p w14:paraId="4CA3E340">
            <w:pPr>
              <w:numPr>
                <w:ilvl w:val="0"/>
                <w:numId w:val="1"/>
              </w:numPr>
              <w:ind w:left="283" w:hanging="283"/>
              <w:rPr>
                <w:rFonts w:ascii="Times New Roman" w:hAnsi="Times New Roman" w:cs="Times New Roman"/>
                <w:sz w:val="18"/>
                <w:szCs w:val="18"/>
              </w:rPr>
            </w:pPr>
            <w:bookmarkStart w:id="6" w:name="_Ref9325"/>
            <w:r>
              <w:rPr>
                <w:rFonts w:ascii="Times New Roman" w:hAnsi="Times New Roman" w:eastAsia="宋体" w:cs="Times New Roman"/>
                <w:bCs/>
                <w:sz w:val="18"/>
                <w:szCs w:val="18"/>
                <w:lang w:bidi="ar"/>
              </w:rPr>
              <w:t>Saito T, Kurokawa Y, Miyazaki Y, et al. Which is a more reliable indicator of survival after gastric cancer surgery: Postoperative complication occurrence or C-reactive protein elevation? J Surg Oncol. 2015;112(8):894-899.</w:t>
            </w:r>
            <w:bookmarkEnd w:id="6"/>
            <w:r>
              <w:rPr>
                <w:rFonts w:ascii="Times New Roman" w:hAnsi="Times New Roman" w:eastAsia="宋体" w:cs="Times New Roman"/>
                <w:bCs/>
                <w:sz w:val="18"/>
                <w:szCs w:val="18"/>
                <w:lang w:bidi="ar"/>
              </w:rPr>
              <w:t xml:space="preserve"> </w:t>
            </w:r>
            <w:r>
              <w:rPr>
                <w:sz w:val="18"/>
                <w:szCs w:val="18"/>
              </w:rPr>
              <w:fldChar w:fldCharType="begin"/>
            </w:r>
            <w:r>
              <w:rPr>
                <w:sz w:val="18"/>
                <w:szCs w:val="18"/>
              </w:rPr>
              <w:instrText xml:space="preserve"> HYPERLINK "https://doi.org/10.1002/jso.24067" </w:instrText>
            </w:r>
            <w:r>
              <w:rPr>
                <w:sz w:val="18"/>
                <w:szCs w:val="18"/>
              </w:rPr>
              <w:fldChar w:fldCharType="separate"/>
            </w:r>
            <w:r>
              <w:rPr>
                <w:rStyle w:val="9"/>
                <w:rFonts w:ascii="Times New Roman" w:hAnsi="Times New Roman" w:eastAsia="宋体" w:cs="Times New Roman"/>
                <w:bCs/>
                <w:sz w:val="18"/>
                <w:szCs w:val="18"/>
                <w:lang w:bidi="ar"/>
              </w:rPr>
              <w:t>https://doi.org/10.1002/jso.24067</w:t>
            </w:r>
            <w:r>
              <w:rPr>
                <w:rStyle w:val="9"/>
                <w:rFonts w:ascii="Times New Roman" w:hAnsi="Times New Roman" w:eastAsia="宋体" w:cs="Times New Roman"/>
                <w:bCs/>
                <w:sz w:val="18"/>
                <w:szCs w:val="18"/>
                <w:lang w:bidi="ar"/>
              </w:rPr>
              <w:fldChar w:fldCharType="end"/>
            </w:r>
          </w:p>
          <w:p w14:paraId="23F3ED1B">
            <w:pPr>
              <w:numPr>
                <w:ilvl w:val="0"/>
                <w:numId w:val="1"/>
              </w:numPr>
              <w:ind w:left="283" w:hanging="283"/>
              <w:rPr>
                <w:rFonts w:ascii="Times New Roman" w:hAnsi="Times New Roman" w:cs="Times New Roman"/>
                <w:sz w:val="18"/>
                <w:szCs w:val="18"/>
              </w:rPr>
            </w:pPr>
            <w:bookmarkStart w:id="7" w:name="_Ref9351"/>
            <w:r>
              <w:rPr>
                <w:rFonts w:ascii="Times New Roman" w:hAnsi="Times New Roman" w:eastAsia="宋体" w:cs="Times New Roman"/>
                <w:bCs/>
                <w:sz w:val="18"/>
                <w:szCs w:val="18"/>
                <w:lang w:bidi="ar"/>
              </w:rPr>
              <w:t xml:space="preserve">Urakawa S, Yamasaki M, Goto K, et al. Peri-operative monocyte count is a marker of poor prognosis in gastric cancer: increased monocytes are a characteristic of myeloid-derived suppressor cells. Cancer Immunol Immunother. 2019;68(8):1341-1350. </w:t>
            </w:r>
            <w:bookmarkEnd w:id="7"/>
            <w:r>
              <w:rPr>
                <w:rFonts w:ascii="Times New Roman" w:hAnsi="Times New Roman" w:eastAsia="宋体" w:cs="Times New Roman"/>
                <w:bCs/>
                <w:sz w:val="18"/>
                <w:szCs w:val="18"/>
                <w:lang w:bidi="ar"/>
              </w:rPr>
              <w:fldChar w:fldCharType="begin"/>
            </w:r>
            <w:r>
              <w:rPr>
                <w:rFonts w:ascii="Times New Roman" w:hAnsi="Times New Roman" w:eastAsia="宋体" w:cs="Times New Roman"/>
                <w:bCs/>
                <w:sz w:val="18"/>
                <w:szCs w:val="18"/>
                <w:lang w:bidi="ar"/>
              </w:rPr>
              <w:instrText xml:space="preserve"> HYPERLINK "https://doi.org/10.1007/s00262-019-02366-0" </w:instrText>
            </w:r>
            <w:r>
              <w:rPr>
                <w:rFonts w:ascii="Times New Roman" w:hAnsi="Times New Roman" w:eastAsia="宋体" w:cs="Times New Roman"/>
                <w:bCs/>
                <w:sz w:val="18"/>
                <w:szCs w:val="18"/>
                <w:lang w:bidi="ar"/>
              </w:rPr>
              <w:fldChar w:fldCharType="separate"/>
            </w:r>
            <w:r>
              <w:rPr>
                <w:rStyle w:val="9"/>
                <w:rFonts w:ascii="Times New Roman" w:hAnsi="Times New Roman" w:eastAsia="宋体" w:cs="Times New Roman"/>
                <w:bCs/>
                <w:sz w:val="18"/>
                <w:szCs w:val="18"/>
                <w:lang w:bidi="ar"/>
              </w:rPr>
              <w:t>https://doi.org/10.1007/s00262-019-02366-0</w:t>
            </w:r>
            <w:r>
              <w:rPr>
                <w:rFonts w:ascii="Times New Roman" w:hAnsi="Times New Roman" w:eastAsia="宋体" w:cs="Times New Roman"/>
                <w:bCs/>
                <w:sz w:val="18"/>
                <w:szCs w:val="18"/>
                <w:lang w:bidi="ar"/>
              </w:rPr>
              <w:fldChar w:fldCharType="end"/>
            </w:r>
          </w:p>
          <w:p w14:paraId="40BAB5E5">
            <w:pPr>
              <w:numPr>
                <w:ilvl w:val="0"/>
                <w:numId w:val="1"/>
              </w:numPr>
              <w:ind w:left="283" w:hanging="283"/>
              <w:rPr>
                <w:rFonts w:ascii="Times New Roman" w:hAnsi="Times New Roman" w:cs="Times New Roman"/>
                <w:sz w:val="18"/>
                <w:szCs w:val="18"/>
              </w:rPr>
            </w:pPr>
            <w:bookmarkStart w:id="8" w:name="_Ref9384"/>
            <w:r>
              <w:rPr>
                <w:rFonts w:ascii="Times New Roman" w:hAnsi="Times New Roman" w:eastAsia="宋体" w:cs="Times New Roman"/>
                <w:bCs/>
                <w:sz w:val="18"/>
                <w:szCs w:val="18"/>
                <w:lang w:bidi="ar"/>
              </w:rPr>
              <w:t>van Winsen M, McSorley ST, McLeod R, et al. Postoperative C-reactive protein concentrations to predict infective complications following gastrectomy for cancer. J Surg Oncol. 2021;124(7):1060-1069.</w:t>
            </w:r>
            <w:bookmarkEnd w:id="8"/>
            <w:r>
              <w:rPr>
                <w:rFonts w:ascii="Times New Roman" w:hAnsi="Times New Roman" w:eastAsia="宋体" w:cs="Times New Roman"/>
                <w:bCs/>
                <w:sz w:val="18"/>
                <w:szCs w:val="18"/>
                <w:lang w:bidi="ar"/>
              </w:rPr>
              <w:t xml:space="preserve"> </w:t>
            </w:r>
            <w:r>
              <w:rPr>
                <w:sz w:val="18"/>
                <w:szCs w:val="18"/>
              </w:rPr>
              <w:fldChar w:fldCharType="begin"/>
            </w:r>
            <w:r>
              <w:rPr>
                <w:sz w:val="18"/>
                <w:szCs w:val="18"/>
              </w:rPr>
              <w:instrText xml:space="preserve"> HYPERLINK "https://doi.org/10.1002/jso.26613" </w:instrText>
            </w:r>
            <w:r>
              <w:rPr>
                <w:sz w:val="18"/>
                <w:szCs w:val="18"/>
              </w:rPr>
              <w:fldChar w:fldCharType="separate"/>
            </w:r>
            <w:r>
              <w:rPr>
                <w:rStyle w:val="9"/>
                <w:rFonts w:ascii="Times New Roman" w:hAnsi="Times New Roman" w:eastAsia="宋体" w:cs="Times New Roman"/>
                <w:bCs/>
                <w:sz w:val="18"/>
                <w:szCs w:val="18"/>
                <w:lang w:bidi="ar"/>
              </w:rPr>
              <w:t>https://doi.org/10.1002/jso.26613</w:t>
            </w:r>
            <w:r>
              <w:rPr>
                <w:rStyle w:val="9"/>
                <w:rFonts w:ascii="Times New Roman" w:hAnsi="Times New Roman" w:eastAsia="宋体" w:cs="Times New Roman"/>
                <w:bCs/>
                <w:sz w:val="18"/>
                <w:szCs w:val="18"/>
                <w:lang w:bidi="ar"/>
              </w:rPr>
              <w:fldChar w:fldCharType="end"/>
            </w:r>
          </w:p>
          <w:p w14:paraId="2F072CF2">
            <w:pPr>
              <w:numPr>
                <w:ilvl w:val="0"/>
                <w:numId w:val="1"/>
              </w:numPr>
              <w:ind w:left="283" w:hanging="283"/>
              <w:rPr>
                <w:rFonts w:ascii="Times New Roman" w:hAnsi="Times New Roman" w:cs="Times New Roman"/>
                <w:sz w:val="18"/>
                <w:szCs w:val="18"/>
              </w:rPr>
            </w:pPr>
            <w:bookmarkStart w:id="9" w:name="_Ref9403"/>
            <w:r>
              <w:rPr>
                <w:rFonts w:ascii="Times New Roman" w:hAnsi="Times New Roman" w:eastAsia="宋体" w:cs="Times New Roman"/>
                <w:bCs/>
                <w:sz w:val="18"/>
                <w:szCs w:val="18"/>
                <w:lang w:bidi="ar"/>
              </w:rPr>
              <w:t xml:space="preserve">Yuan SQ, Nie RC, Chen YM, et al. Glasgow Prognostic Score is superior to ECOG PS as a prognostic factor in patients with gastric cancer with peritoneal seeding. Oncol Lett. 2018;15(4):4193-4200. </w:t>
            </w:r>
            <w:bookmarkEnd w:id="9"/>
            <w:r>
              <w:rPr>
                <w:rFonts w:ascii="Times New Roman" w:hAnsi="Times New Roman" w:eastAsia="宋体" w:cs="Times New Roman"/>
                <w:bCs/>
                <w:sz w:val="18"/>
                <w:szCs w:val="18"/>
                <w:lang w:bidi="ar"/>
              </w:rPr>
              <w:fldChar w:fldCharType="begin"/>
            </w:r>
            <w:r>
              <w:rPr>
                <w:rFonts w:ascii="Times New Roman" w:hAnsi="Times New Roman" w:eastAsia="宋体" w:cs="Times New Roman"/>
                <w:bCs/>
                <w:sz w:val="18"/>
                <w:szCs w:val="18"/>
                <w:lang w:bidi="ar"/>
              </w:rPr>
              <w:instrText xml:space="preserve"> HYPERLINK "https://doi.org/10.3892/ol.2018.7826" </w:instrText>
            </w:r>
            <w:r>
              <w:rPr>
                <w:rFonts w:ascii="Times New Roman" w:hAnsi="Times New Roman" w:eastAsia="宋体" w:cs="Times New Roman"/>
                <w:bCs/>
                <w:sz w:val="18"/>
                <w:szCs w:val="18"/>
                <w:lang w:bidi="ar"/>
              </w:rPr>
              <w:fldChar w:fldCharType="separate"/>
            </w:r>
            <w:r>
              <w:rPr>
                <w:rStyle w:val="9"/>
                <w:rFonts w:ascii="Times New Roman" w:hAnsi="Times New Roman" w:eastAsia="宋体" w:cs="Times New Roman"/>
                <w:bCs/>
                <w:sz w:val="18"/>
                <w:szCs w:val="18"/>
                <w:lang w:bidi="ar"/>
              </w:rPr>
              <w:t>https://doi.org/10.3892/ol.2018.7826</w:t>
            </w:r>
            <w:r>
              <w:rPr>
                <w:rFonts w:ascii="Times New Roman" w:hAnsi="Times New Roman" w:eastAsia="宋体" w:cs="Times New Roman"/>
                <w:bCs/>
                <w:sz w:val="18"/>
                <w:szCs w:val="18"/>
                <w:lang w:bidi="ar"/>
              </w:rPr>
              <w:fldChar w:fldCharType="end"/>
            </w:r>
          </w:p>
          <w:p w14:paraId="47394129">
            <w:pPr>
              <w:numPr>
                <w:ilvl w:val="0"/>
                <w:numId w:val="1"/>
              </w:numPr>
              <w:ind w:left="283" w:hanging="283"/>
              <w:rPr>
                <w:rFonts w:ascii="Times New Roman" w:hAnsi="Times New Roman" w:cs="Times New Roman"/>
                <w:sz w:val="18"/>
                <w:szCs w:val="18"/>
              </w:rPr>
            </w:pPr>
            <w:r>
              <w:rPr>
                <w:rFonts w:hint="eastAsia" w:ascii="Times New Roman" w:hAnsi="Times New Roman" w:cs="Times New Roman"/>
                <w:sz w:val="18"/>
                <w:szCs w:val="18"/>
              </w:rPr>
              <w:t>Zang J, Gao M, Wang L, et al. Correlation analysis of serum C-reactive protein level with clinical features and prognosis in patients with laparoscopic radical gastrectomy for gastric cancer. Zhejiang Clinical Medical Journal.2021,23(6):846-848.</w:t>
            </w:r>
          </w:p>
        </w:tc>
      </w:tr>
      <w:tr w14:paraId="283F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02" w:type="dxa"/>
            <w:tcBorders>
              <w:top w:val="single" w:color="auto" w:sz="4" w:space="0"/>
              <w:left w:val="nil"/>
              <w:bottom w:val="single" w:color="auto" w:sz="4" w:space="0"/>
              <w:right w:val="nil"/>
            </w:tcBorders>
          </w:tcPr>
          <w:p w14:paraId="542DD94C">
            <w:pPr>
              <w:jc w:val="left"/>
              <w:rPr>
                <w:rFonts w:ascii="Times New Roman" w:hAnsi="Times New Roman" w:cs="Times New Roman"/>
                <w:b/>
                <w:bCs/>
                <w:szCs w:val="21"/>
              </w:rPr>
            </w:pPr>
          </w:p>
        </w:tc>
      </w:tr>
      <w:tr w14:paraId="7204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02" w:type="dxa"/>
            <w:tcBorders>
              <w:top w:val="single" w:color="auto" w:sz="4" w:space="0"/>
              <w:left w:val="single" w:color="auto" w:sz="4" w:space="0"/>
              <w:right w:val="single" w:color="auto" w:sz="4" w:space="0"/>
            </w:tcBorders>
          </w:tcPr>
          <w:p w14:paraId="22F58DAA">
            <w:pPr>
              <w:jc w:val="left"/>
              <w:rPr>
                <w:rFonts w:ascii="Times New Roman" w:hAnsi="Times New Roman" w:cs="Times New Roman"/>
                <w:sz w:val="18"/>
                <w:szCs w:val="18"/>
              </w:rPr>
            </w:pPr>
            <w:r>
              <w:rPr>
                <w:rFonts w:ascii="Times New Roman" w:hAnsi="Times New Roman" w:cs="Times New Roman"/>
                <w:b/>
                <w:bCs/>
                <w:sz w:val="24"/>
                <w:szCs w:val="24"/>
              </w:rPr>
              <w:t>Excluded studies and reasons for exclusion</w:t>
            </w:r>
            <w:r>
              <w:rPr>
                <w:rFonts w:hint="eastAsia" w:ascii="Times New Roman" w:hAnsi="Times New Roman" w:eastAsia="宋体" w:cs="Times New Roman"/>
                <w:b/>
                <w:bCs/>
                <w:sz w:val="24"/>
                <w:szCs w:val="24"/>
                <w:lang w:bidi="ar"/>
              </w:rPr>
              <w:t>(n=</w:t>
            </w:r>
            <w:r>
              <w:rPr>
                <w:rFonts w:hint="eastAsia" w:ascii="Times New Roman" w:hAnsi="Times New Roman" w:eastAsia="宋体" w:cs="Times New Roman"/>
                <w:b/>
                <w:bCs/>
                <w:sz w:val="24"/>
                <w:szCs w:val="24"/>
                <w:lang w:val="en-US" w:eastAsia="zh-CN" w:bidi="ar"/>
              </w:rPr>
              <w:t>167</w:t>
            </w:r>
            <w:r>
              <w:rPr>
                <w:rFonts w:hint="eastAsia" w:ascii="Times New Roman" w:hAnsi="Times New Roman" w:eastAsia="宋体" w:cs="Times New Roman"/>
                <w:b/>
                <w:bCs/>
                <w:sz w:val="24"/>
                <w:szCs w:val="24"/>
                <w:lang w:bidi="ar"/>
              </w:rPr>
              <w:t>)</w:t>
            </w:r>
          </w:p>
        </w:tc>
      </w:tr>
      <w:tr w14:paraId="1E39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02" w:type="dxa"/>
            <w:vAlign w:val="center"/>
          </w:tcPr>
          <w:p w14:paraId="18FDBA4A">
            <w:pPr>
              <w:widowControl/>
              <w:jc w:val="center"/>
              <w:textAlignment w:val="center"/>
              <w:rPr>
                <w:rFonts w:ascii="Times New Roman" w:hAnsi="Times New Roman" w:eastAsia="宋体" w:cs="Times New Roman"/>
                <w:color w:val="000000"/>
                <w:sz w:val="18"/>
                <w:szCs w:val="18"/>
              </w:rPr>
            </w:pPr>
            <w:bookmarkStart w:id="10" w:name="OLE_LINK3"/>
            <w:r>
              <w:rPr>
                <w:rFonts w:ascii="Times New Roman" w:hAnsi="Times New Roman" w:eastAsia="宋体" w:cs="Times New Roman"/>
                <w:color w:val="000000" w:themeColor="text1"/>
                <w:kern w:val="0"/>
                <w:sz w:val="18"/>
                <w:szCs w:val="18"/>
                <w:lang w:bidi="ar"/>
                <w14:textFill>
                  <w14:solidFill>
                    <w14:schemeClr w14:val="tx1"/>
                  </w14:solidFill>
                </w14:textFill>
              </w:rPr>
              <w:t>Palliative surgery of gastric cancer</w:t>
            </w:r>
            <w:bookmarkEnd w:id="10"/>
            <w:r>
              <w:rPr>
                <w:rFonts w:hint="eastAsia" w:ascii="Times New Roman" w:hAnsi="Times New Roman" w:eastAsia="宋体" w:cs="Times New Roman"/>
                <w:color w:val="000000" w:themeColor="text1"/>
                <w:kern w:val="0"/>
                <w:sz w:val="18"/>
                <w:szCs w:val="18"/>
                <w:lang w:bidi="ar"/>
                <w14:textFill>
                  <w14:solidFill>
                    <w14:schemeClr w14:val="tx1"/>
                  </w14:solidFill>
                </w14:textFill>
              </w:rPr>
              <w:t xml:space="preserve"> </w:t>
            </w:r>
            <w:r>
              <w:rPr>
                <w:rFonts w:ascii="Times New Roman" w:hAnsi="Times New Roman" w:eastAsia="宋体" w:cs="Times New Roman"/>
                <w:color w:val="000000" w:themeColor="text1"/>
                <w:kern w:val="0"/>
                <w:sz w:val="18"/>
                <w:szCs w:val="18"/>
                <w:lang w:bidi="ar"/>
                <w14:textFill>
                  <w14:solidFill>
                    <w14:schemeClr w14:val="tx1"/>
                  </w14:solidFill>
                </w14:textFill>
              </w:rPr>
              <w:t xml:space="preserve">(n = </w:t>
            </w:r>
            <w:r>
              <w:rPr>
                <w:rFonts w:hint="eastAsia" w:ascii="Times New Roman" w:hAnsi="Times New Roman" w:eastAsia="宋体" w:cs="Times New Roman"/>
                <w:color w:val="000000" w:themeColor="text1"/>
                <w:kern w:val="0"/>
                <w:sz w:val="18"/>
                <w:szCs w:val="18"/>
                <w:lang w:val="en-US" w:eastAsia="zh-CN" w:bidi="ar"/>
                <w14:textFill>
                  <w14:solidFill>
                    <w14:schemeClr w14:val="tx1"/>
                  </w14:solidFill>
                </w14:textFill>
              </w:rPr>
              <w:t>7</w:t>
            </w:r>
            <w:r>
              <w:rPr>
                <w:rFonts w:ascii="Times New Roman" w:hAnsi="Times New Roman" w:eastAsia="宋体" w:cs="Times New Roman"/>
                <w:color w:val="000000" w:themeColor="text1"/>
                <w:kern w:val="0"/>
                <w:sz w:val="18"/>
                <w:szCs w:val="18"/>
                <w:lang w:bidi="ar"/>
                <w14:textFill>
                  <w14:solidFill>
                    <w14:schemeClr w14:val="tx1"/>
                  </w14:solidFill>
                </w14:textFill>
              </w:rPr>
              <w:t>)</w:t>
            </w:r>
          </w:p>
        </w:tc>
      </w:tr>
      <w:tr w14:paraId="0D8F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02" w:type="dxa"/>
          </w:tcPr>
          <w:p w14:paraId="4A6B7187">
            <w:pPr>
              <w:numPr>
                <w:ilvl w:val="0"/>
                <w:numId w:val="2"/>
              </w:numPr>
              <w:rPr>
                <w:rFonts w:ascii="Times New Roman" w:hAnsi="Times New Roman" w:cs="Times New Roman"/>
                <w:sz w:val="18"/>
                <w:szCs w:val="18"/>
              </w:rPr>
            </w:pPr>
            <w:r>
              <w:rPr>
                <w:rFonts w:hint="eastAsia" w:ascii="Times New Roman" w:hAnsi="Times New Roman" w:cs="Times New Roman"/>
                <w:sz w:val="18"/>
                <w:szCs w:val="18"/>
              </w:rPr>
              <w:t xml:space="preserve">Kawabata R, Fujitani K, Sakamaki K, et al. </w:t>
            </w:r>
            <w:bookmarkStart w:id="11" w:name="OLE_LINK4"/>
            <w:r>
              <w:rPr>
                <w:rFonts w:hint="eastAsia" w:ascii="Times New Roman" w:hAnsi="Times New Roman" w:cs="Times New Roman"/>
                <w:sz w:val="18"/>
                <w:szCs w:val="18"/>
              </w:rPr>
              <w:t>Survival analysis of a prospective multicenter observational study on surgical palliation among patients with malignant bowel obstruction caused by peritoneal dissemination of gastric cancer</w:t>
            </w:r>
            <w:bookmarkEnd w:id="11"/>
            <w:r>
              <w:rPr>
                <w:rFonts w:hint="eastAsia" w:ascii="Times New Roman" w:hAnsi="Times New Roman" w:cs="Times New Roman"/>
                <w:sz w:val="18"/>
                <w:szCs w:val="18"/>
              </w:rPr>
              <w:t>. Gastric Cancer. 2022;25(2):422-429. doi:10.1007/s10120-021-01251-z</w:t>
            </w:r>
          </w:p>
          <w:p w14:paraId="6C53F2A2">
            <w:pPr>
              <w:numPr>
                <w:ilvl w:val="0"/>
                <w:numId w:val="2"/>
              </w:numPr>
              <w:wordWrap w:val="0"/>
              <w:rPr>
                <w:rFonts w:ascii="Times New Roman" w:hAnsi="Times New Roman" w:cs="Times New Roman"/>
                <w:sz w:val="18"/>
                <w:szCs w:val="18"/>
              </w:rPr>
            </w:pPr>
            <w:r>
              <w:rPr>
                <w:rFonts w:hint="eastAsia" w:ascii="Times New Roman" w:hAnsi="Times New Roman" w:cs="Times New Roman"/>
                <w:sz w:val="18"/>
                <w:szCs w:val="18"/>
              </w:rPr>
              <w:t xml:space="preserve">Takeno A, Takiguchi S, Fujita J, et al. </w:t>
            </w:r>
            <w:bookmarkStart w:id="12" w:name="OLE_LINK5"/>
            <w:r>
              <w:rPr>
                <w:rFonts w:hint="eastAsia" w:ascii="Times New Roman" w:hAnsi="Times New Roman" w:cs="Times New Roman"/>
                <w:sz w:val="18"/>
                <w:szCs w:val="18"/>
              </w:rPr>
              <w:t>Clinical outcome and indications for palliative gastrojejunostomy in unresectable advanced gastric cancer: multi-institutional retrospective analysis</w:t>
            </w:r>
            <w:bookmarkEnd w:id="12"/>
            <w:r>
              <w:rPr>
                <w:rFonts w:hint="eastAsia" w:ascii="Times New Roman" w:hAnsi="Times New Roman" w:cs="Times New Roman"/>
                <w:sz w:val="18"/>
                <w:szCs w:val="18"/>
              </w:rPr>
              <w:t>. Ann Surg Oncol. 2013;20(11):3527-3533. doi:10.1245/s10434-013-3033-3</w:t>
            </w:r>
          </w:p>
          <w:p w14:paraId="7CCDCE64">
            <w:pPr>
              <w:numPr>
                <w:ilvl w:val="0"/>
                <w:numId w:val="2"/>
              </w:numPr>
              <w:wordWrap w:val="0"/>
              <w:rPr>
                <w:rFonts w:ascii="Times New Roman" w:hAnsi="Times New Roman" w:cs="Times New Roman"/>
                <w:sz w:val="18"/>
                <w:szCs w:val="18"/>
              </w:rPr>
            </w:pPr>
            <w:r>
              <w:rPr>
                <w:rFonts w:hint="eastAsia" w:ascii="Times New Roman" w:hAnsi="Times New Roman" w:cs="Times New Roman"/>
                <w:sz w:val="18"/>
                <w:szCs w:val="18"/>
              </w:rPr>
              <w:t>Blakely AM, Heffernan DS, McPhillips J, et al. Elevated C-reactive protein as a predictor of patient outcomes following palliative surgery. J Surg Oncol. 2014;110(6):651-655. doi:10.1002/jso.23682</w:t>
            </w:r>
          </w:p>
          <w:p w14:paraId="22014846">
            <w:pPr>
              <w:numPr>
                <w:ilvl w:val="0"/>
                <w:numId w:val="2"/>
              </w:numPr>
              <w:wordWrap w:val="0"/>
              <w:rPr>
                <w:rFonts w:ascii="Times New Roman" w:hAnsi="Times New Roman" w:cs="Times New Roman"/>
                <w:sz w:val="18"/>
                <w:szCs w:val="18"/>
              </w:rPr>
            </w:pPr>
            <w:r>
              <w:rPr>
                <w:rFonts w:hint="eastAsia" w:ascii="Times New Roman" w:hAnsi="Times New Roman" w:cs="Times New Roman"/>
                <w:sz w:val="18"/>
                <w:szCs w:val="18"/>
              </w:rPr>
              <w:t>Kawabata R, Yoshikawa M, Kameda C, et al. Surgical Outcome of Palliative Surgery for Gastric Cancer Patients with Bowel Obstruction Due to Peritoneal Dissemination. Gan To Kagaku Ryoho. 2016 Nov;43(12):1576-1578.</w:t>
            </w:r>
          </w:p>
          <w:p w14:paraId="3F86F525">
            <w:pPr>
              <w:numPr>
                <w:ilvl w:val="0"/>
                <w:numId w:val="2"/>
              </w:numPr>
              <w:wordWrap w:val="0"/>
              <w:rPr>
                <w:rFonts w:hint="eastAsia" w:ascii="Times New Roman" w:hAnsi="Times New Roman" w:cs="Times New Roman"/>
                <w:sz w:val="18"/>
                <w:szCs w:val="18"/>
              </w:rPr>
            </w:pPr>
            <w:r>
              <w:rPr>
                <w:rFonts w:hint="eastAsia" w:ascii="Times New Roman" w:hAnsi="Times New Roman" w:cs="Times New Roman"/>
                <w:sz w:val="18"/>
                <w:szCs w:val="18"/>
              </w:rPr>
              <w:t>Mimatsu K, Fukino N, Ogasawara Y, Saino Y, Oida T. Utility of Inflammatory Marker- and Nutritional Status-based Prognostic Factors for Predicting the Prognosis of Stage IV Gastric Cancer Patients Undergoing Non-curative Surgery. Anticancer Res. 2017;37(8):4215-4222. doi:10.21873/anticanres.11812</w:t>
            </w:r>
          </w:p>
          <w:p w14:paraId="1DBC3AFE">
            <w:pPr>
              <w:numPr>
                <w:ilvl w:val="0"/>
                <w:numId w:val="2"/>
              </w:numPr>
              <w:wordWrap w:val="0"/>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 xml:space="preserve">Fujitani K, Yamada M, Hirao, M. et al. Optimal indications of surgical palliation for incurable advanced gastric cancer presenting with malignant gastrointestinal obstruction. Gastric Cancer 14, 353–359 (2011). </w:t>
            </w:r>
            <w:r>
              <w:rPr>
                <w:rFonts w:hint="default" w:ascii="Times New Roman" w:hAnsi="Times New Roman" w:cs="Times New Roman"/>
                <w:sz w:val="18"/>
                <w:szCs w:val="18"/>
                <w:u w:val="single"/>
                <w:lang w:val="en-US" w:eastAsia="zh-CN"/>
              </w:rPr>
              <w:t>https://doi.org/10.1007/s10120-011-0053-1</w:t>
            </w:r>
          </w:p>
          <w:p w14:paraId="64E753B8">
            <w:pPr>
              <w:numPr>
                <w:ilvl w:val="0"/>
                <w:numId w:val="2"/>
              </w:numPr>
              <w:wordWrap w:val="0"/>
              <w:rPr>
                <w:rFonts w:ascii="Times New Roman" w:hAnsi="Times New Roman" w:cs="Times New Roman"/>
                <w:sz w:val="18"/>
                <w:szCs w:val="18"/>
              </w:rPr>
            </w:pPr>
            <w:r>
              <w:rPr>
                <w:rFonts w:hint="default" w:ascii="Times New Roman" w:hAnsi="Times New Roman" w:cs="Times New Roman"/>
                <w:sz w:val="18"/>
                <w:szCs w:val="18"/>
                <w:lang w:val="en-US" w:eastAsia="zh-CN"/>
              </w:rPr>
              <w:t>da Silva T M, Wanderley B D, de Souza Santos R, et al. Gastrostomies and clinical outcomes: a cohort of different enteral feeding techniques in advanced cancer palliative care[J]. Palliative Medicine in Practice, 2025, 19(1): 5-14.</w:t>
            </w:r>
          </w:p>
        </w:tc>
      </w:tr>
      <w:tr w14:paraId="5A2F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02" w:type="dxa"/>
            <w:vAlign w:val="center"/>
          </w:tcPr>
          <w:p w14:paraId="173F05F6">
            <w:pPr>
              <w:widowControl/>
              <w:jc w:val="center"/>
              <w:textAlignment w:val="center"/>
              <w:rPr>
                <w:rFonts w:ascii="Times New Roman" w:hAnsi="Times New Roman" w:eastAsia="宋体" w:cs="Times New Roman"/>
                <w:color w:val="000000"/>
                <w:sz w:val="18"/>
                <w:szCs w:val="18"/>
              </w:rPr>
            </w:pPr>
            <w:bookmarkStart w:id="13" w:name="OLE_LINK1"/>
            <w:r>
              <w:rPr>
                <w:rFonts w:ascii="Times New Roman" w:hAnsi="Times New Roman" w:eastAsia="宋体" w:cs="Times New Roman"/>
                <w:color w:val="000000" w:themeColor="text1"/>
                <w:kern w:val="0"/>
                <w:sz w:val="18"/>
                <w:szCs w:val="18"/>
                <w:lang w:bidi="ar"/>
                <w14:textFill>
                  <w14:solidFill>
                    <w14:schemeClr w14:val="tx1"/>
                  </w14:solidFill>
                </w14:textFill>
              </w:rPr>
              <w:t>Non-surgical treatment of gastric cancer</w:t>
            </w:r>
            <w:bookmarkEnd w:id="13"/>
            <w:r>
              <w:rPr>
                <w:rFonts w:hint="eastAsia" w:ascii="Times New Roman" w:hAnsi="Times New Roman" w:eastAsia="宋体" w:cs="Times New Roman"/>
                <w:color w:val="000000" w:themeColor="text1"/>
                <w:kern w:val="0"/>
                <w:sz w:val="18"/>
                <w:szCs w:val="18"/>
                <w:lang w:bidi="ar"/>
                <w14:textFill>
                  <w14:solidFill>
                    <w14:schemeClr w14:val="tx1"/>
                  </w14:solidFill>
                </w14:textFill>
              </w:rPr>
              <w:t xml:space="preserve"> </w:t>
            </w:r>
            <w:r>
              <w:rPr>
                <w:rFonts w:ascii="Times New Roman" w:hAnsi="Times New Roman" w:eastAsia="宋体" w:cs="Times New Roman"/>
                <w:color w:val="000000" w:themeColor="text1"/>
                <w:kern w:val="0"/>
                <w:sz w:val="18"/>
                <w:szCs w:val="18"/>
                <w:lang w:bidi="ar"/>
                <w14:textFill>
                  <w14:solidFill>
                    <w14:schemeClr w14:val="tx1"/>
                  </w14:solidFill>
                </w14:textFill>
              </w:rPr>
              <w:t xml:space="preserve">(n = </w:t>
            </w:r>
            <w:r>
              <w:rPr>
                <w:rFonts w:hint="eastAsia" w:ascii="Times New Roman" w:hAnsi="Times New Roman" w:eastAsia="宋体" w:cs="Times New Roman"/>
                <w:color w:val="000000" w:themeColor="text1"/>
                <w:kern w:val="0"/>
                <w:sz w:val="18"/>
                <w:szCs w:val="18"/>
                <w:lang w:val="en-US" w:eastAsia="zh-CN" w:bidi="ar"/>
                <w14:textFill>
                  <w14:solidFill>
                    <w14:schemeClr w14:val="tx1"/>
                  </w14:solidFill>
                </w14:textFill>
              </w:rPr>
              <w:t>57</w:t>
            </w:r>
            <w:r>
              <w:rPr>
                <w:rFonts w:ascii="Times New Roman" w:hAnsi="Times New Roman" w:eastAsia="宋体" w:cs="Times New Roman"/>
                <w:color w:val="000000" w:themeColor="text1"/>
                <w:kern w:val="0"/>
                <w:sz w:val="18"/>
                <w:szCs w:val="18"/>
                <w:lang w:bidi="ar"/>
                <w14:textFill>
                  <w14:solidFill>
                    <w14:schemeClr w14:val="tx1"/>
                  </w14:solidFill>
                </w14:textFill>
              </w:rPr>
              <w:t>)</w:t>
            </w:r>
          </w:p>
        </w:tc>
      </w:tr>
      <w:tr w14:paraId="6503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02" w:type="dxa"/>
          </w:tcPr>
          <w:p w14:paraId="3DACF78E">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 xml:space="preserve">Jeong JH, Lim SM, Yun JY, et al. </w:t>
            </w:r>
            <w:bookmarkStart w:id="14" w:name="OLE_LINK2"/>
            <w:r>
              <w:rPr>
                <w:rFonts w:hint="eastAsia" w:ascii="Times New Roman" w:hAnsi="Times New Roman" w:cs="Times New Roman"/>
                <w:sz w:val="18"/>
                <w:szCs w:val="18"/>
              </w:rPr>
              <w:t>Comparison of two inflammation-based prognostic scores in patients with unresectable advanced gastric cancer</w:t>
            </w:r>
            <w:bookmarkEnd w:id="14"/>
            <w:r>
              <w:rPr>
                <w:rFonts w:hint="eastAsia" w:ascii="Times New Roman" w:hAnsi="Times New Roman" w:cs="Times New Roman"/>
                <w:sz w:val="18"/>
                <w:szCs w:val="18"/>
              </w:rPr>
              <w:t>. Oncology. 2012;83(5):292-299. doi:10.1159/000342376</w:t>
            </w:r>
          </w:p>
          <w:p w14:paraId="1F644576">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Kunisaki C, Takahashi M, Ono HA, et al. Inflammation-based prognostic score predicts survival in patients with advanced gastric cancer receiving biweekly docetaxel and s-1 combination chemotherapy. Oncology. 2012;83(4):183-191. doi:10.1159/000341346</w:t>
            </w:r>
          </w:p>
          <w:p w14:paraId="67BA7C55">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Li QQ, Lu ZH, Yang L, et al. Neutrophil count and the inflammation-based glasgow prognostic score predict survival in patients with advanced gastric cancer receiving first-line chemotherapy. Asian Pac J Cancer Prev. 2014;15(2):945-950. doi:10.7314/apjcp.2014.15.2.945</w:t>
            </w:r>
          </w:p>
          <w:p w14:paraId="01575153">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Namikawa T, Yokota K, Yamaguchi S, et al. Evaluation of Systemic Inflammatory Response and Nutritional Biomarkers as Predictive Factors in Patients with Recurrent Gastric Cancer. Oncology. 2020;98(7):452-459. doi:10.1159/000505973</w:t>
            </w:r>
          </w:p>
          <w:p w14:paraId="3AE2110F">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Hashimoto I, Kano K, Onuma S, et al. Clinical Effect of the C-Reactive Protein to Serum Albumin Ratio in Patients with Metastatic Gastric or Gastroesophageal Junction Cancer Treated with Trifluridine/Tipiracil. J Pers Med. 2023;13(6):923. Published 2023 May 31. doi:10.3390/jpm13060923</w:t>
            </w:r>
          </w:p>
          <w:p w14:paraId="5339B168">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Baba H, Kuwabara K, Ishiguro T, et al. C-reactive protein as a significant prognostic factor for stage IV gastric cancer patients. Anticancer Res. 2013;33(12):5591-5595.</w:t>
            </w:r>
          </w:p>
          <w:p w14:paraId="79D0BDFD">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Jeong JH, Lim SM, Yun JY, et al. Comparison of two inflammation-based prognostic scores in patients with unresectable advanced gastric cancer. Oncology. 2012;83(5):292-299. doi:10.1159/000342376</w:t>
            </w:r>
          </w:p>
          <w:p w14:paraId="7AE8433C">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Namikawa T, Munekage E, Munekage M, et al. Evaluation of Systemic Inflammatory Response Biomarkers in Patients Receiving Chemotherapy for Unresectable and Recurrent Advanced Gastric Cancer. Oncology. 2016;90(6):321-326. doi:10.1159/000446373</w:t>
            </w:r>
          </w:p>
          <w:p w14:paraId="277A7232">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Kurosaki T, Kawakami H, Mitani S, et al. Glasgow Prognostic Score (GPS) and Tumor Response as Biomarkers of Nivolumab Monotherapy in Third- or Later-line Setting for Advanced Gastric Cancer. In Vivo. 2020;34(4):1921-1929. doi:10.21873/invivo.11989</w:t>
            </w:r>
          </w:p>
          <w:p w14:paraId="26771650">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Mimatsu K, Oida T, Fukino N, et al. Glasgow prognostic score is a useful predictive factor of outcome after palliative gastrectomy for stage IV gastric cancer. Anticancer Res. 2014;34(6):3131-3136.</w:t>
            </w:r>
          </w:p>
          <w:p w14:paraId="0AEB5B14">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Melling N, Grüning A, Tachezy M, et al. Glasgow Prognostic Score may be a prognostic index for overall and perioperative survival in gastric cancer without perioperative treatment. Surgery. 2016;159(6):1548-1556. doi:10.1016/j.surg.2016.01.018</w:t>
            </w:r>
          </w:p>
          <w:p w14:paraId="5B61FD2A">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Sugiyama K, Shiraishi K, Motohashi T, et al. The Impact of Nutritional Support on Survival Outcomes in Patients with Advanced Gastric Adenocarcinoma Treated with Chemotherapy. Nutr Cancer. 2023;75(3):867-875. doi:10.1080/01635581.2022.2162090</w:t>
            </w:r>
          </w:p>
          <w:p w14:paraId="00F68786">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Matsunaga T, Saito H, Miyauchi W, et al. Impact of skeletal muscle mass in patients with unresectable gastric cancer who received palliative first-line chemotherapy based on 5-fluorouracil. BMC Cancer. 2021;21(1):1219. Published 2021 Nov 13. doi:10.1186/s12885-021-08953-8</w:t>
            </w:r>
          </w:p>
          <w:p w14:paraId="16DD6161">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Crumley AB, Stuart RC, McKernan M, McMillan DC. Is hypoalbuminemia an independent prognostic factor in patients with gastric cancer?. World J Surg. 2010;34(10):2393-2398. doi:10.1007/s00268-010-0641-y</w:t>
            </w:r>
          </w:p>
          <w:p w14:paraId="4251E8D1">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Sugiyama K, Shiraishi K, Motohashi T, et al. The Impact of Nutritional Support on Survival Outcomes in Patients with Advanced Gastric Adenocarcinoma Treated with Chemotherapy. Nutr Cancer. 2023;75(3):867-875. doi:10.1080/01635581.2022.2162090</w:t>
            </w:r>
          </w:p>
          <w:p w14:paraId="38DA8588">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Demirelli B, Babacan NA, Ercelep Ö, et al. Modified Glasgow Prognostic Score, Prognostic Nutritional Index and ECOG Performance Score Predicts Survival Better than Sarcopenia, Cachexia and Some Inflammatory Indices in Metastatic Gastric Cancer. Nutr Cancer. 2021;73(2):230-238. doi:10.1080/01635581.2020.1749290</w:t>
            </w:r>
          </w:p>
          <w:p w14:paraId="7CDD9DEC">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Murakami Y, Saito H, Shimizu S, et al. Neutrophil-to-Lymphocyte Ratio as a Prognostic Indicator in Patients With Unresectable Gastric Cancer. Anticancer Res. 2019;39(5):2583-2589. doi:10.21873/anticanres.13381</w:t>
            </w:r>
          </w:p>
          <w:p w14:paraId="16F5AB93">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Sato S, Oshima Y, Matsumoto Y, et al. The new prognostic score for unresectable or recurrent gastric cancer treated with nivolumab: A multi-institutional cohort study. Ann Gastroenterol Surg. 2021;5(6):794-803. Published 2021 Jul 13. doi:10.1002/ags3.12489</w:t>
            </w:r>
          </w:p>
          <w:p w14:paraId="395346CD">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Esfahani A, Somi MH, Asghari Jafarabadi M, et al. A new score for screening of malnutrition in patients with inoperable gastric adenocarcinoma. Jpn J Clin Oncol. 2017;47(6):475-479. doi:10.1093/jjco/hyx034</w:t>
            </w:r>
          </w:p>
          <w:p w14:paraId="552FBF03">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Qiu M, Zhou YX, Jin Y, et al. Nutrition support can bring survival benefit to high nutrition risk gastric cancer patients who received chemotherapy. Support Care Cancer. 2015;23(7):1933-1939. doi:10.1007/s00520-014-2523-6</w:t>
            </w:r>
          </w:p>
          <w:p w14:paraId="6A6234AE">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Esfahani A, Makhdami N, Faramarzi E, et al. Prealbumin/CRP Based Prognostic Score, a New Tool for Predicting Metastasis in Patients with Inoperable Gastric Cancer. Gastroenterol Res Pract. 2016;2016:4686189. doi:10.1155/2016/4686189</w:t>
            </w:r>
          </w:p>
          <w:p w14:paraId="7128CCF5">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Hsieh MC, Wang SH, Chuah SK, Lin YH, Lan J, Rau KM. A Prognostic Model Using Inflammation- and Nutrition-Based Scores in Patients With Metastatic Gastric Adenocarcinoma Treated With Chemotherapy. Medicine (Baltimore). 2016;95(17):e3504. doi:10.1097/MD.0000000000003504</w:t>
            </w:r>
          </w:p>
          <w:p w14:paraId="572AFF6E">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Namikawa T, Ishida N, Tsuda S, et al. Prognostic significance of serum alkaline phosphatase and lactate dehydrogenase levels in patients with unresectable advanced gastric cancer. Gastric Cancer. 2019;22(4):684-691. doi:10.1007/s10120-018-0897-8</w:t>
            </w:r>
          </w:p>
          <w:p w14:paraId="37A09E5E">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Elahi MM, McMillan DC, McArdle CS, Angerson WJ, Sattar N. Score based on hypoalbuminemia and elevated C-reactive protein predicts survival in patients with advanced gastrointestinal cancer. Nutr Cancer. 2004;48(2):171-173. doi:10.1207/s15327914nc4802_6</w:t>
            </w:r>
          </w:p>
          <w:p w14:paraId="018E7039">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Suzuki O, Fukuchi M, Onozawa H, et al. Significant prognostic factors in stage IV gastric cancer. Gan To Kagaku Ryoho. 2014 Oct;41(10):1310-2. Japanese. PMID: 25335727.</w:t>
            </w:r>
          </w:p>
          <w:p w14:paraId="302DDD8C">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Hong JH, Rho SY, Hong YS. Trends in the Aggressiveness of End-of-Life Care for Advanced Stomach Cancer Patients. Cancer Res Treat. 2013;45(4):270-275. doi:10.4143/crt.2013.45.4.270</w:t>
            </w:r>
          </w:p>
          <w:p w14:paraId="784275C8">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Kunisaki C, Takahashi M, Ono HA, et al. Inflammation-based prognostic score predicts survival in patients with advanced gastric cancer receiving biweekly docetaxel and s-1 combination chemotherapy. Oncology. 2012;83(4):183-191. doi:10.1159/000341346</w:t>
            </w:r>
          </w:p>
          <w:p w14:paraId="48C0DE80">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Deng HJ, He W, Yu J, et al. Effects of laparoscope-assisted D2 radical resection on C-reactive protein and visceral protein in patients with distal gastric cancer.Journal of Southern Medical University.2009,29(08):1596-1598. DOI:10.3321/j.issn:1673-4254.2009.08.035.</w:t>
            </w:r>
          </w:p>
          <w:p w14:paraId="6A308D71">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Ye YS, Yuan YC, Pan QW, et al. Clinical significance of serum C-reactive protein detection in lymphoid metastasis of gastric cancer.China Medical Herald.2010,7(06):60-61.DOI:10.3969/j.issn.1673-7210.2010.06.030.</w:t>
            </w:r>
          </w:p>
          <w:p w14:paraId="1C33B626">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Pu WG, Tan JF, Tang W. Clinical significance of detecting serum high sensitive C-reactive protein and CA19-9 in patients with gastric cancer before and after operation. Modern Medicine Journal of China.2010,12(08):49-50. DOI:10.3969/j.issn.1672-9463.2010.08.019.</w:t>
            </w:r>
          </w:p>
          <w:p w14:paraId="46CB8456">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Wang XH, Qiao W, Gao LY, et al. Effect of intensive insulin pump therapy on C-reactive protein in patients with gastric cancer complicated with type 2 diabetes.Chinese General Practice.2011,14(28):3241-3242.DOI:10.3969/j.issn.1007-9572.2011.28.017.</w:t>
            </w:r>
          </w:p>
          <w:p w14:paraId="668EB12B">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Sheng JJ, Sun GR, He QS, et al. Effect of preserving vagus nerve on postoperative acute inflammation after radical gastrectomy for gastric cancer .Chinese Journal of Current Advances in General Surgery.2012,15(09):703-706. DOI:10.3969/j.issn.1009-9905.2012.09.010.</w:t>
            </w:r>
          </w:p>
          <w:p w14:paraId="2644FC99">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Wei SH, Li BL, Li W, et al. Effects of laparoscopic radical gastrectomy on systemic inflammatory response and immune function and its clinical significance. Suzhou University Journal of Medical Science.2012,32(06):868-871.</w:t>
            </w:r>
          </w:p>
          <w:p w14:paraId="6B8F454A">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Liu P, Zhang J, Zhang ZT</w:t>
            </w:r>
            <w:bookmarkStart w:id="15" w:name="OLE_LINK6"/>
            <w:r>
              <w:rPr>
                <w:rFonts w:hint="eastAsia" w:ascii="Times New Roman" w:hAnsi="Times New Roman" w:cs="Times New Roman"/>
                <w:sz w:val="18"/>
                <w:szCs w:val="18"/>
              </w:rPr>
              <w:t>, et al.</w:t>
            </w:r>
            <w:bookmarkEnd w:id="15"/>
            <w:r>
              <w:rPr>
                <w:rFonts w:hint="eastAsia" w:ascii="Times New Roman" w:hAnsi="Times New Roman" w:cs="Times New Roman"/>
                <w:sz w:val="18"/>
                <w:szCs w:val="18"/>
              </w:rPr>
              <w:t xml:space="preserve"> A prospective study of the effects of laparoscopic and laparotomy on stress response of gastric cancer. Journal of Clinical and Experimental Medicine.2013,12(14):1113-1115+1117.</w:t>
            </w:r>
          </w:p>
          <w:p w14:paraId="005BDA49">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Lin WX, Xie CF, Xu SW, et al. Study on the safety and long-term survival of laparoscopic radical gastrectomy for advanced gastric cancer. International Medicine and Health Guidance News.2014, 20 (4) : 507-509. DOI:10.3760/cma.j.issn.1007-1245.2014.04.022.</w:t>
            </w:r>
          </w:p>
          <w:p w14:paraId="485C943F">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Liu JW, Sun L, Tong DF, et al. Comparative study on perioperative immune function of patients with advanced gastric cancer after laparoscopic-assisted and laparotomy for radical gastrectomy. Chinese Journal of Bases and Clinics in General.2014,21(10):1232-1236.DOI:10.7507/1007-9424.20140295.</w:t>
            </w:r>
          </w:p>
          <w:p w14:paraId="46EAC97A">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Wei B, Huang SR, Zhong XG, et al. Comparative analysis of the effects of laparoscopic radical gastrectomy and open radical gastrectomy on inflammatory factors in patients with gastric cancer. Chinese Journal for Clinicians.2014,42(10):25-27. DOI:10.3969/j.issn.1008-1089.2014.10.08.</w:t>
            </w:r>
          </w:p>
          <w:p w14:paraId="471D352B">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Zhao B, ZAN JB, Xu AZ, et al. Effects of glutamine combined with enteral nutrition on serum C-reactive protein and immune function in patients with gastric cancer after surgery. Anhui Medical and Pharmaceutical Journal.2016,20(05):992-994. DOI:10.3969/j.issn.1009-6469.2016.05.056.</w:t>
            </w:r>
          </w:p>
          <w:p w14:paraId="3EEC3709">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Wang ZY, Chen T, Wang Y</w:t>
            </w:r>
            <w:bookmarkStart w:id="16" w:name="OLE_LINK7"/>
            <w:r>
              <w:rPr>
                <w:rFonts w:hint="eastAsia" w:ascii="Times New Roman" w:hAnsi="Times New Roman" w:cs="Times New Roman"/>
                <w:sz w:val="18"/>
                <w:szCs w:val="18"/>
              </w:rPr>
              <w:t>, et al.</w:t>
            </w:r>
            <w:bookmarkEnd w:id="16"/>
            <w:r>
              <w:rPr>
                <w:rFonts w:hint="eastAsia" w:ascii="Times New Roman" w:hAnsi="Times New Roman" w:cs="Times New Roman"/>
                <w:sz w:val="18"/>
                <w:szCs w:val="18"/>
              </w:rPr>
              <w:t xml:space="preserve"> Effects of laparoscopic surgery on hs-CRP, T lymphocyte subsets and immunoglobulin in patients with cardiac cancer. Chinese Modern Doctor,2016,54(13):12-15.</w:t>
            </w:r>
          </w:p>
          <w:p w14:paraId="70A5F15E">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Guo R. The effect of laparoscope-assisted radical gastrectomy on gastric cancer and its influence on serum CRP and CEA levels. Chinese Journal of Practical Medicine.2017,44(18):71-75.DOI:10.3760/cma.j.issn.1674-4756.2017.18.022.</w:t>
            </w:r>
          </w:p>
          <w:p w14:paraId="4BF4408F">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Wang ZY, Zang J. The application value of serum C-reactive protein and adiponectin detection in evaluating the effect of nutritional therapy in gastrointestinal surgery. Chinese Journal of Health Laboratory Technology.2017,27(15):2214-2216.</w:t>
            </w:r>
          </w:p>
          <w:p w14:paraId="58FE222E">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Wu WD, QIN YC, Zhang ZH, et al. Effects of hydromorphone hydrochloride on serum CRP, IL-6 and TNF-α levels in patients with gastric cancer after surgery. Jiangsu Medical Journal.2017,43(19):1424-1425. DOI:10.19460/j.cnki.0253-3685.2017.19.022.</w:t>
            </w:r>
          </w:p>
          <w:p w14:paraId="39BB423C">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Wu T, Yang L. Effects of Sijunzi Decoction combined with nutritional support on stress, inflammation and immune response after gastric cancer surgery. Journal of Hainan Medical University.2018,24(6):696-699.DOI:10.13210/j.cnki.jbmu.20180403.010.</w:t>
            </w:r>
          </w:p>
          <w:p w14:paraId="76F282FC">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Xue ZQ, Chen XM. Effect of laparoscopic radical gastrectomy on perioperative immune function in patients with gastric cancer. Journal of Laparoscopic Surgery.2018,23(6):422-425. DOI:10.13499/j.cnki.fqjwkzz.2018.06.422.</w:t>
            </w:r>
          </w:p>
          <w:p w14:paraId="5B485226">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Zhang YH, LI JF, Tang J, et al. Effects of laparoscopic radical gastrectomy on stress, immune changes and complications of advanced gastric cancer. Chinese Journal of Clinical Research.2018,31(2):150-153. DOI:10.13429/j.cnki.cjcr.2018.02.002.</w:t>
            </w:r>
          </w:p>
          <w:p w14:paraId="15CA00B2">
            <w:pPr>
              <w:numPr>
                <w:ilvl w:val="0"/>
                <w:numId w:val="3"/>
              </w:numPr>
              <w:ind w:left="283" w:hanging="283"/>
              <w:rPr>
                <w:rFonts w:hint="eastAsia" w:ascii="Times New Roman" w:hAnsi="Times New Roman" w:cs="Times New Roman"/>
                <w:sz w:val="18"/>
                <w:szCs w:val="18"/>
              </w:rPr>
            </w:pPr>
            <w:r>
              <w:rPr>
                <w:rFonts w:hint="eastAsia" w:ascii="Times New Roman" w:hAnsi="Times New Roman" w:cs="Times New Roman"/>
                <w:sz w:val="18"/>
                <w:szCs w:val="18"/>
              </w:rPr>
              <w:t>Feng DS. Effect of laparoscope-assisted radical gastrectomy on inflammatory factors and tumor markers. Journal of Modern Oncology.2019,27(11):1953-1956. DOI:10.3969/j.issn.1672-4992.2019.11.025.</w:t>
            </w:r>
          </w:p>
          <w:p w14:paraId="14A6555C">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Inukai M, Nishi T, Matsuoka H, et al. Measurement of changes in serum-based inflammatory indicators to monitor response to nivolumab monotherapy in advanced gastric cancer: a multicenter retrospective study[J]. BMC cancer, 2024, 24(1): 1121.</w:t>
            </w:r>
          </w:p>
          <w:p w14:paraId="76906B61">
            <w:pPr>
              <w:numPr>
                <w:ilvl w:val="0"/>
                <w:numId w:val="3"/>
              </w:numPr>
              <w:ind w:left="283" w:hanging="283"/>
              <w:rPr>
                <w:rFonts w:hint="eastAsia" w:ascii="Times New Roman" w:hAnsi="Times New Roman" w:cs="Times New Roman"/>
                <w:sz w:val="18"/>
                <w:szCs w:val="18"/>
              </w:rPr>
            </w:pPr>
            <w:r>
              <w:rPr>
                <w:rFonts w:hint="eastAsia" w:ascii="Times New Roman" w:hAnsi="Times New Roman" w:cs="Times New Roman"/>
                <w:sz w:val="18"/>
                <w:szCs w:val="18"/>
              </w:rPr>
              <w:t>Namikawa T, Marui A, Yokota K, et al. Frequency and prognostic impact of cachexia during drug treatment for unresectable advanced gastric cancer patients[J]. Surgery Today, 2022, 52(11): 1560-1567.</w:t>
            </w:r>
          </w:p>
          <w:p w14:paraId="28ABB8B2">
            <w:pPr>
              <w:numPr>
                <w:ilvl w:val="0"/>
                <w:numId w:val="3"/>
              </w:numPr>
              <w:ind w:left="283" w:hanging="283"/>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Zhang YJ, Zhu zy, Xue YB, et al. Study on relationship of C-reactive protein with peritoneal cavity metastasis and prognosis of gastric carci</w:t>
            </w:r>
            <w:r>
              <w:rPr>
                <w:rFonts w:hint="default" w:ascii="Times New Roman" w:hAnsi="Times New Roman" w:cs="Times New Roman"/>
                <w:sz w:val="18"/>
                <w:szCs w:val="18"/>
                <w:lang w:val="en-US" w:eastAsia="zh-CN"/>
              </w:rPr>
              <w:t>noma</w:t>
            </w:r>
            <w:r>
              <w:rPr>
                <w:rFonts w:hint="eastAsia" w:ascii="Times New Roman" w:hAnsi="Times New Roman" w:cs="Times New Roman"/>
                <w:sz w:val="18"/>
                <w:szCs w:val="18"/>
              </w:rPr>
              <w:t>[J]</w:t>
            </w:r>
            <w:r>
              <w:rPr>
                <w:rFonts w:hint="eastAsia" w:ascii="Times New Roman" w:hAnsi="Times New Roman" w:cs="Times New Roman"/>
                <w:sz w:val="18"/>
                <w:szCs w:val="18"/>
                <w:lang w:val="en-US" w:eastAsia="zh-CN"/>
              </w:rPr>
              <w:t>.</w:t>
            </w:r>
            <w:r>
              <w:rPr>
                <w:rFonts w:hint="eastAsia" w:ascii="Times New Roman" w:hAnsi="Times New Roman" w:cs="Times New Roman"/>
                <w:sz w:val="18"/>
                <w:szCs w:val="18"/>
              </w:rPr>
              <w:t>Chinese Clinical Oncology</w:t>
            </w:r>
            <w:r>
              <w:rPr>
                <w:rFonts w:hint="eastAsia" w:ascii="Times New Roman" w:hAnsi="Times New Roman" w:cs="Times New Roman"/>
                <w:sz w:val="18"/>
                <w:szCs w:val="18"/>
                <w:lang w:val="en-US" w:eastAsia="zh-CN"/>
              </w:rPr>
              <w:t>,2015,20(06):535-539.</w:t>
            </w:r>
          </w:p>
          <w:p w14:paraId="01B82306">
            <w:pPr>
              <w:numPr>
                <w:ilvl w:val="0"/>
                <w:numId w:val="3"/>
              </w:numPr>
              <w:ind w:left="283" w:hanging="283"/>
              <w:rPr>
                <w:rFonts w:hint="eastAsia" w:ascii="Times New Roman" w:hAnsi="Times New Roman" w:cs="Times New Roman"/>
                <w:sz w:val="18"/>
                <w:szCs w:val="18"/>
              </w:rPr>
            </w:pPr>
            <w:r>
              <w:rPr>
                <w:rFonts w:hint="eastAsia" w:ascii="Times New Roman" w:hAnsi="Times New Roman" w:cs="Times New Roman"/>
                <w:sz w:val="18"/>
                <w:szCs w:val="18"/>
                <w:lang w:val="en-US" w:eastAsia="zh-CN"/>
              </w:rPr>
              <w:t>Zhu M, Wei J, Li YF, et al.Study on the Correlation between Serum C-reactive Protein Level and Prognosis of Advanced Gastric Cancer</w:t>
            </w:r>
            <w:r>
              <w:rPr>
                <w:rFonts w:hint="eastAsia" w:ascii="Times New Roman" w:hAnsi="Times New Roman" w:cs="Times New Roman"/>
                <w:sz w:val="18"/>
                <w:szCs w:val="18"/>
              </w:rPr>
              <w:t>[J]</w:t>
            </w:r>
            <w:r>
              <w:rPr>
                <w:rFonts w:hint="eastAsia" w:ascii="Times New Roman" w:hAnsi="Times New Roman" w:cs="Times New Roman"/>
                <w:sz w:val="18"/>
                <w:szCs w:val="18"/>
                <w:lang w:val="en-US" w:eastAsia="zh-CN"/>
              </w:rPr>
              <w:t>.Guizhou Medical Journal,2016,40(03):249-251+337.</w:t>
            </w:r>
          </w:p>
          <w:p w14:paraId="28466E41">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Baba H, Kuwabara K, Ishiguro T, et al. C-reactive protein as a significant prognostic factor for stage IV gastric cancer patients[J]. Anticancer Research, 2013, 33(12): 5591-5595.</w:t>
            </w:r>
          </w:p>
          <w:p w14:paraId="45A1019E">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Hashimoto K, Takashima A, Nagashima K, et al. Progression-free survival in first-line chemotherapy is a prognostic factor in second-line chemotherapy in patients with advanced gastric cancer. J Cancer Res Clin Oncol. 2010;136(7):1059-1064. doi:10.1007/s00432-009-0752-8</w:t>
            </w:r>
          </w:p>
          <w:p w14:paraId="3BD4C890">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Hwang JE, Kim HN, Kim DE, et al. Prognostic significance of a systemic inflammatory response in patients receiving first-line palliative chemotherapy for recurred or metastatic gastric cancer. BMC Cancer. 2011;11:489. Published 2011 Nov 21. doi:10.1186/1471-2407-11-489</w:t>
            </w:r>
          </w:p>
          <w:p w14:paraId="371BED0E">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Iwasa S, Nakajima TE, Nakamura K, et al. Systemic chemotherapy for peritoneal disseminated gastric cancer with inadequate oral intake: a retrospective study. Int J Clin Oncol. 2011;16(1):57-62. doi:10.1007/s10147-010-0135-9</w:t>
            </w:r>
          </w:p>
          <w:p w14:paraId="45F4B39E">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Jeong JH, Lim SM, Yun JY, et al. Comparison of two inflammation-based prognostic scores in patients with unresectable advanced gastric cancer. Oncology. 2012;83(5):292-299. doi:10.1159/000342376</w:t>
            </w:r>
          </w:p>
          <w:p w14:paraId="6430DBD6">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rPr>
              <w:t xml:space="preserve">Shimura T, Kitagawa M, Yamada T, et al. C-reactive protein is a potential prognostic factor for metastatic gastric cancer. Anticancer Res. 2012;32(2):491-496. </w:t>
            </w:r>
          </w:p>
          <w:p w14:paraId="71F28B38">
            <w:pPr>
              <w:numPr>
                <w:ilvl w:val="0"/>
                <w:numId w:val="3"/>
              </w:numPr>
              <w:ind w:left="283" w:hanging="283"/>
              <w:rPr>
                <w:rFonts w:ascii="Times New Roman" w:hAnsi="Times New Roman" w:cs="Times New Roman"/>
                <w:sz w:val="18"/>
                <w:szCs w:val="18"/>
              </w:rPr>
            </w:pPr>
            <w:r>
              <w:rPr>
                <w:rFonts w:hint="eastAsia" w:ascii="Times New Roman" w:hAnsi="Times New Roman" w:cs="Times New Roman"/>
                <w:sz w:val="18"/>
                <w:szCs w:val="18"/>
                <w:lang w:val="en-US" w:eastAsia="zh-CN"/>
              </w:rPr>
              <w:t>Cui Y, Li J, Cao YH</w:t>
            </w:r>
            <w:r>
              <w:rPr>
                <w:rFonts w:hint="eastAsia" w:ascii="Times New Roman" w:hAnsi="Times New Roman" w:cs="Times New Roman"/>
                <w:sz w:val="18"/>
                <w:szCs w:val="18"/>
              </w:rPr>
              <w:t>, et al.</w:t>
            </w:r>
            <w:r>
              <w:rPr>
                <w:rFonts w:hint="eastAsia" w:ascii="Times New Roman" w:hAnsi="Times New Roman" w:cs="Times New Roman"/>
                <w:sz w:val="18"/>
                <w:szCs w:val="18"/>
                <w:lang w:val="en-US" w:eastAsia="zh-CN"/>
              </w:rPr>
              <w:t xml:space="preserve"> </w:t>
            </w:r>
            <w:r>
              <w:rPr>
                <w:rFonts w:hint="eastAsia" w:ascii="Times New Roman" w:hAnsi="Times New Roman" w:cs="Times New Roman"/>
                <w:sz w:val="18"/>
                <w:szCs w:val="18"/>
              </w:rPr>
              <w:t>Predictive and Prognostic significance of high-sensitivity modified Glasgow Prognostic Score (HS-mGPS) in advanced gastric cancer patients treated with neoadjuvant chemotherapy</w:t>
            </w:r>
            <w:r>
              <w:rPr>
                <w:rFonts w:hint="eastAsia" w:ascii="Times New Roman" w:hAnsi="Times New Roman" w:cs="Times New Roman"/>
                <w:sz w:val="18"/>
                <w:szCs w:val="18"/>
                <w:lang w:val="en-US" w:eastAsia="zh-CN"/>
              </w:rPr>
              <w:t xml:space="preserve">. </w:t>
            </w:r>
            <w:r>
              <w:rPr>
                <w:rFonts w:hint="eastAsia" w:ascii="Times New Roman" w:hAnsi="Times New Roman" w:cs="Times New Roman"/>
                <w:sz w:val="18"/>
                <w:szCs w:val="18"/>
              </w:rPr>
              <w:t>Chinese Journal of Oncology</w:t>
            </w:r>
            <w:r>
              <w:rPr>
                <w:rFonts w:hint="eastAsia" w:ascii="Times New Roman" w:hAnsi="Times New Roman" w:cs="Times New Roman"/>
                <w:sz w:val="18"/>
                <w:szCs w:val="18"/>
                <w:lang w:val="en-US" w:eastAsia="zh-CN"/>
              </w:rPr>
              <w:t xml:space="preserve">, </w:t>
            </w:r>
            <w:r>
              <w:rPr>
                <w:rFonts w:hint="eastAsia" w:ascii="Times New Roman" w:hAnsi="Times New Roman" w:cs="Times New Roman"/>
                <w:sz w:val="18"/>
                <w:szCs w:val="18"/>
              </w:rPr>
              <w:t>2017,39(3)：195-200.DOI:10.3760/cma.j.issn.0253-3766.2017.03.007</w:t>
            </w:r>
          </w:p>
        </w:tc>
      </w:tr>
      <w:tr w14:paraId="5448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02" w:type="dxa"/>
          </w:tcPr>
          <w:p w14:paraId="04833525">
            <w:pPr>
              <w:numPr>
                <w:ilvl w:val="0"/>
                <w:numId w:val="0"/>
              </w:numPr>
              <w:ind w:left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Gastric cancer combined with other tumors(n = 1)</w:t>
            </w:r>
          </w:p>
        </w:tc>
      </w:tr>
      <w:tr w14:paraId="59B3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2" w:type="dxa"/>
          </w:tcPr>
          <w:p w14:paraId="24359856">
            <w:pPr>
              <w:numPr>
                <w:ilvl w:val="0"/>
                <w:numId w:val="4"/>
              </w:numPr>
              <w:ind w:left="170" w:leftChars="0" w:hanging="170" w:firstLineChars="0"/>
              <w:jc w:val="both"/>
              <w:rPr>
                <w:rFonts w:ascii="Times New Roman" w:hAnsi="Times New Roman" w:cs="Times New Roman"/>
                <w:sz w:val="18"/>
                <w:szCs w:val="18"/>
              </w:rPr>
            </w:pPr>
            <w:r>
              <w:rPr>
                <w:rFonts w:hint="eastAsia" w:ascii="Times New Roman" w:hAnsi="Times New Roman" w:cs="Times New Roman"/>
                <w:sz w:val="18"/>
                <w:szCs w:val="18"/>
              </w:rPr>
              <w:t xml:space="preserve">Munteanu A, Munteanu D, Iancu M, et al. Assessing immunological surgical stress markers in patients undergoing digestive surgery for pancreatic, hepatic and gastric tumors. J BUON. 2018;23(6):1655. </w:t>
            </w:r>
          </w:p>
        </w:tc>
      </w:tr>
      <w:tr w14:paraId="28695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2" w:type="dxa"/>
          </w:tcPr>
          <w:p w14:paraId="09994C48">
            <w:pPr>
              <w:jc w:val="center"/>
              <w:rPr>
                <w:rFonts w:hint="eastAsia" w:ascii="Times New Roman" w:hAnsi="Times New Roman" w:cs="Times New Roman"/>
                <w:color w:val="FF0000"/>
                <w:sz w:val="18"/>
                <w:szCs w:val="18"/>
              </w:rPr>
            </w:pPr>
            <w:r>
              <w:rPr>
                <w:rFonts w:hint="eastAsia" w:ascii="Times New Roman" w:hAnsi="Times New Roman" w:cs="Times New Roman"/>
                <w:color w:val="FF0000"/>
                <w:sz w:val="18"/>
                <w:szCs w:val="18"/>
              </w:rPr>
              <w:t xml:space="preserve"> </w:t>
            </w:r>
            <w:r>
              <w:rPr>
                <w:rFonts w:hint="eastAsia" w:ascii="Times New Roman" w:hAnsi="Times New Roman" w:cs="Times New Roman"/>
                <w:color w:val="000000" w:themeColor="text1"/>
                <w:sz w:val="18"/>
                <w:szCs w:val="18"/>
                <w14:textFill>
                  <w14:solidFill>
                    <w14:schemeClr w14:val="tx1"/>
                  </w14:solidFill>
                </w14:textFill>
              </w:rPr>
              <w:t xml:space="preserve">The prognostic outcomes of interest </w:t>
            </w:r>
            <w:r>
              <w:rPr>
                <w:rFonts w:hint="eastAsia" w:ascii="Times New Roman" w:hAnsi="Times New Roman" w:cs="Times New Roman"/>
                <w:color w:val="000000" w:themeColor="text1"/>
                <w:sz w:val="18"/>
                <w:szCs w:val="18"/>
                <w:lang w:val="en-US" w:eastAsia="zh-CN"/>
                <w14:textFill>
                  <w14:solidFill>
                    <w14:schemeClr w14:val="tx1"/>
                  </w14:solidFill>
                </w14:textFill>
              </w:rPr>
              <w:t>were</w:t>
            </w:r>
            <w:r>
              <w:rPr>
                <w:rFonts w:hint="eastAsia" w:ascii="Times New Roman" w:hAnsi="Times New Roman" w:cs="Times New Roman"/>
                <w:color w:val="000000" w:themeColor="text1"/>
                <w:sz w:val="18"/>
                <w:szCs w:val="18"/>
                <w14:textFill>
                  <w14:solidFill>
                    <w14:schemeClr w14:val="tx1"/>
                  </w14:solidFill>
                </w14:textFill>
              </w:rPr>
              <w:t xml:space="preserve"> not reported </w:t>
            </w:r>
            <w:r>
              <w:rPr>
                <w:rFonts w:ascii="Times New Roman" w:hAnsi="Times New Roman" w:cs="Times New Roman"/>
                <w:color w:val="000000" w:themeColor="text1"/>
                <w:sz w:val="18"/>
                <w:szCs w:val="18"/>
                <w14:textFill>
                  <w14:solidFill>
                    <w14:schemeClr w14:val="tx1"/>
                  </w14:solidFill>
                </w14:textFill>
              </w:rPr>
              <w:t xml:space="preserve">(n = </w:t>
            </w:r>
            <w:r>
              <w:rPr>
                <w:rFonts w:hint="eastAsia" w:ascii="Times New Roman" w:hAnsi="Times New Roman" w:cs="Times New Roman"/>
                <w:color w:val="000000" w:themeColor="text1"/>
                <w:sz w:val="18"/>
                <w:szCs w:val="18"/>
                <w14:textFill>
                  <w14:solidFill>
                    <w14:schemeClr w14:val="tx1"/>
                  </w14:solidFill>
                </w14:textFill>
              </w:rPr>
              <w:t>3</w:t>
            </w:r>
            <w:r>
              <w:rPr>
                <w:rFonts w:hint="eastAsia" w:ascii="Times New Roman" w:hAnsi="Times New Roman" w:cs="Times New Roman"/>
                <w:color w:val="000000" w:themeColor="text1"/>
                <w:sz w:val="18"/>
                <w:szCs w:val="18"/>
                <w:lang w:val="en-US" w:eastAsia="zh-CN"/>
                <w14:textFill>
                  <w14:solidFill>
                    <w14:schemeClr w14:val="tx1"/>
                  </w14:solidFill>
                </w14:textFill>
              </w:rPr>
              <w:t>6</w:t>
            </w:r>
            <w:r>
              <w:rPr>
                <w:rFonts w:ascii="Times New Roman" w:hAnsi="Times New Roman" w:cs="Times New Roman"/>
                <w:color w:val="000000" w:themeColor="text1"/>
                <w:sz w:val="18"/>
                <w:szCs w:val="18"/>
                <w14:textFill>
                  <w14:solidFill>
                    <w14:schemeClr w14:val="tx1"/>
                  </w14:solidFill>
                </w14:textFill>
              </w:rPr>
              <w:t>)</w:t>
            </w:r>
          </w:p>
        </w:tc>
      </w:tr>
      <w:tr w14:paraId="5D7A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2" w:type="dxa"/>
          </w:tcPr>
          <w:p w14:paraId="595211C6">
            <w:pPr>
              <w:numPr>
                <w:ilvl w:val="0"/>
                <w:numId w:val="5"/>
              </w:numPr>
              <w:rPr>
                <w:rFonts w:ascii="Times New Roman" w:hAnsi="Times New Roman" w:cs="Times New Roman"/>
                <w:sz w:val="18"/>
                <w:szCs w:val="18"/>
              </w:rPr>
            </w:pPr>
            <w:r>
              <w:rPr>
                <w:rFonts w:hint="eastAsia" w:ascii="Times New Roman" w:hAnsi="Times New Roman" w:cs="Times New Roman"/>
                <w:sz w:val="18"/>
                <w:szCs w:val="18"/>
              </w:rPr>
              <w:t>Dias Rodrigues V, Barroso de Pinho N, Abdelhay E, et al. Nutrition and Immune-Modulatory Intervention in Surgical Patients With Gastric Cancer. Nutr Clin Pract. 2017;32(1):122-129. doi:10.1177/0884533616653807</w:t>
            </w:r>
          </w:p>
          <w:p w14:paraId="74FCE28E">
            <w:pPr>
              <w:numPr>
                <w:ilvl w:val="0"/>
                <w:numId w:val="5"/>
              </w:numPr>
              <w:rPr>
                <w:rFonts w:ascii="Times New Roman" w:hAnsi="Times New Roman" w:cs="Times New Roman"/>
                <w:sz w:val="18"/>
                <w:szCs w:val="18"/>
              </w:rPr>
            </w:pPr>
            <w:r>
              <w:rPr>
                <w:rFonts w:hint="eastAsia" w:ascii="Times New Roman" w:hAnsi="Times New Roman" w:cs="Times New Roman"/>
                <w:sz w:val="18"/>
                <w:szCs w:val="18"/>
              </w:rPr>
              <w:t>Hao S, Shou M, Ma J, et al. Correlation Analysis of Serum Pepsinogen, Interleukin, and TNF-α with Hp Infection in Patients with Gastric Cancer: A Randomized Parallel Controlled Clinical Study. Comput Math Methods Med. 2022;2022:9277847. Published 2022 Sep 14. doi:10.1155/2022/9277847</w:t>
            </w:r>
          </w:p>
          <w:p w14:paraId="1914D37F">
            <w:pPr>
              <w:numPr>
                <w:ilvl w:val="0"/>
                <w:numId w:val="5"/>
              </w:numPr>
              <w:rPr>
                <w:rFonts w:ascii="Times New Roman" w:hAnsi="Times New Roman" w:cs="Times New Roman"/>
                <w:sz w:val="18"/>
                <w:szCs w:val="18"/>
              </w:rPr>
            </w:pPr>
            <w:r>
              <w:rPr>
                <w:rFonts w:hint="eastAsia" w:ascii="Times New Roman" w:hAnsi="Times New Roman" w:cs="Times New Roman"/>
                <w:sz w:val="18"/>
                <w:szCs w:val="18"/>
              </w:rPr>
              <w:t>Sahoo MR, Gowda MS, Kumar AT. Early rehabilitation after surgery program versus conventional care during perioperative period in patients undergoing laparoscopic assisted total gastrectomy. J Minim Access Surg. 2014;10(3):132-138. doi:10.4103/0972-9941.134876</w:t>
            </w:r>
          </w:p>
          <w:p w14:paraId="710F2213">
            <w:pPr>
              <w:numPr>
                <w:ilvl w:val="0"/>
                <w:numId w:val="5"/>
              </w:numPr>
              <w:rPr>
                <w:rFonts w:ascii="Times New Roman" w:hAnsi="Times New Roman" w:cs="Times New Roman"/>
                <w:sz w:val="18"/>
                <w:szCs w:val="18"/>
              </w:rPr>
            </w:pPr>
            <w:r>
              <w:rPr>
                <w:rFonts w:hint="eastAsia" w:ascii="Times New Roman" w:hAnsi="Times New Roman" w:cs="Times New Roman"/>
                <w:sz w:val="18"/>
                <w:szCs w:val="18"/>
              </w:rPr>
              <w:t>Yoshikawa K, Shimada M, Wakabayashi G, et al. Effect of Daikenchuto, a Traditional Japanese Herbal Medicine, after Total Gastrectomy for Gastric Cancer: A Multicenter, Randomized, Double-Blind, Placebo-Controlled, Phase II Trial. J Am Coll Surg. 2015;221(2):571-578. doi:10.1016/j.jamcollsurg.2015.03.004</w:t>
            </w:r>
          </w:p>
          <w:p w14:paraId="63BD2B1F">
            <w:pPr>
              <w:numPr>
                <w:ilvl w:val="0"/>
                <w:numId w:val="5"/>
              </w:numPr>
              <w:rPr>
                <w:rFonts w:ascii="Times New Roman" w:hAnsi="Times New Roman" w:cs="Times New Roman"/>
                <w:sz w:val="18"/>
                <w:szCs w:val="18"/>
              </w:rPr>
            </w:pPr>
            <w:r>
              <w:rPr>
                <w:rFonts w:hint="eastAsia" w:ascii="Times New Roman" w:hAnsi="Times New Roman" w:cs="Times New Roman"/>
                <w:sz w:val="18"/>
                <w:szCs w:val="18"/>
              </w:rPr>
              <w:t>Ohkura Y, Haruta S, Tanaka T, et al. Effectiveness of postoperative elemental diet in elderly patients after gastrectomy. World J Surg Oncol. 2016;14(1):268. Published 2016 Oct 19. doi:10.1186/s12957-016-1013-3</w:t>
            </w:r>
          </w:p>
          <w:p w14:paraId="4548A49F">
            <w:pPr>
              <w:numPr>
                <w:ilvl w:val="0"/>
                <w:numId w:val="5"/>
              </w:numPr>
              <w:rPr>
                <w:rFonts w:ascii="Times New Roman" w:hAnsi="Times New Roman" w:cs="Times New Roman"/>
                <w:sz w:val="18"/>
                <w:szCs w:val="18"/>
              </w:rPr>
            </w:pPr>
            <w:r>
              <w:rPr>
                <w:rFonts w:hint="eastAsia" w:ascii="Times New Roman" w:hAnsi="Times New Roman" w:cs="Times New Roman"/>
                <w:sz w:val="18"/>
                <w:szCs w:val="18"/>
              </w:rPr>
              <w:t>Chen ZX, Liu AH, Cen Y. Fast-track program vs traditional care in surgery for gastric cancer. World J Gastroenterol. 2014;20(2):578-583. doi:10.3748/wjg.v20.i2.578</w:t>
            </w:r>
          </w:p>
          <w:p w14:paraId="7DBF27E7">
            <w:pPr>
              <w:numPr>
                <w:ilvl w:val="0"/>
                <w:numId w:val="5"/>
              </w:numPr>
              <w:rPr>
                <w:rFonts w:ascii="Times New Roman" w:hAnsi="Times New Roman" w:cs="Times New Roman"/>
                <w:sz w:val="18"/>
                <w:szCs w:val="18"/>
              </w:rPr>
            </w:pPr>
            <w:r>
              <w:rPr>
                <w:rFonts w:hint="eastAsia" w:ascii="Times New Roman" w:hAnsi="Times New Roman" w:cs="Times New Roman"/>
                <w:sz w:val="18"/>
                <w:szCs w:val="18"/>
              </w:rPr>
              <w:t>Okholm C, Goetze JP, Svendsen LB, et al. Inflammatory response in laparoscopic vs. open surgery for gastric cancer. Scand J Gastroenterol. 2014;49(9):1027-1034. doi:10.3109/00365521.2014.917698</w:t>
            </w:r>
          </w:p>
          <w:p w14:paraId="43E4D84F">
            <w:pPr>
              <w:numPr>
                <w:ilvl w:val="0"/>
                <w:numId w:val="5"/>
              </w:numPr>
              <w:rPr>
                <w:rFonts w:ascii="Times New Roman" w:hAnsi="Times New Roman" w:cs="Times New Roman"/>
                <w:sz w:val="18"/>
                <w:szCs w:val="18"/>
              </w:rPr>
            </w:pPr>
            <w:r>
              <w:rPr>
                <w:rFonts w:hint="eastAsia" w:ascii="Times New Roman" w:hAnsi="Times New Roman" w:cs="Times New Roman"/>
                <w:sz w:val="18"/>
                <w:szCs w:val="18"/>
              </w:rPr>
              <w:t>Lee MH, Lee DH, Jung SW, et al. Measurements of serum C-reactive protein levels in patients with gastric cancer and quantification using silicon nanowire arrays. Nanomedicine. 2010;6(1):78-83. doi:10.1016/j.nano.2009.04.004</w:t>
            </w:r>
          </w:p>
          <w:p w14:paraId="47DE768D">
            <w:pPr>
              <w:numPr>
                <w:ilvl w:val="0"/>
                <w:numId w:val="5"/>
              </w:numPr>
              <w:rPr>
                <w:rFonts w:ascii="Times New Roman" w:hAnsi="Times New Roman" w:cs="Times New Roman"/>
                <w:sz w:val="18"/>
                <w:szCs w:val="18"/>
              </w:rPr>
            </w:pPr>
            <w:r>
              <w:rPr>
                <w:rFonts w:hint="eastAsia" w:ascii="Times New Roman" w:hAnsi="Times New Roman" w:cs="Times New Roman"/>
                <w:sz w:val="18"/>
                <w:szCs w:val="18"/>
              </w:rPr>
              <w:t>Beltrán SMA, Arcos P J, Urbina CO, et al. Postoperative inflammatory response in patients with gastric cancer submitted to total and partial distal gastrectomy. Revista Chilena de Cirugia. 2015;67(4):371-377. doi:10.4067/S0718-40262015000400005</w:t>
            </w:r>
          </w:p>
          <w:p w14:paraId="264EB527">
            <w:pPr>
              <w:numPr>
                <w:ilvl w:val="0"/>
                <w:numId w:val="5"/>
              </w:numPr>
              <w:rPr>
                <w:rFonts w:ascii="Times New Roman" w:hAnsi="Times New Roman" w:cs="Times New Roman"/>
                <w:sz w:val="18"/>
                <w:szCs w:val="18"/>
              </w:rPr>
            </w:pPr>
            <w:r>
              <w:rPr>
                <w:rFonts w:hint="eastAsia" w:ascii="Times New Roman" w:hAnsi="Times New Roman" w:cs="Times New Roman"/>
                <w:sz w:val="18"/>
                <w:szCs w:val="18"/>
              </w:rPr>
              <w:t>Wu X, Wang X, Wang Y, et al. Comparison of clinical efficacy between laparotomy and laparoscopic radical surgery for gastric cancer and their effects on CRP, CEA and insulin resistance. J BUON. 2020;25(1):255-261.</w:t>
            </w:r>
          </w:p>
          <w:p w14:paraId="006A66C3">
            <w:pPr>
              <w:numPr>
                <w:ilvl w:val="0"/>
                <w:numId w:val="5"/>
              </w:numPr>
              <w:rPr>
                <w:rFonts w:ascii="Times New Roman" w:hAnsi="Times New Roman" w:cs="Times New Roman"/>
                <w:sz w:val="18"/>
                <w:szCs w:val="18"/>
              </w:rPr>
            </w:pPr>
            <w:r>
              <w:rPr>
                <w:rFonts w:hint="eastAsia" w:ascii="Times New Roman" w:hAnsi="Times New Roman" w:cs="Times New Roman"/>
                <w:sz w:val="18"/>
                <w:szCs w:val="18"/>
              </w:rPr>
              <w:t>Neary C, McAnena P, McAnena O, et al. C-Reactive Protein-Lymphocyte Ratio Identifies Patients at Low Risk for Major Morbidity after Oesophagogastric Resection for Cancer. Dig Surg. 2020;37(6):515-523. doi:10.1159/000510963</w:t>
            </w:r>
          </w:p>
          <w:p w14:paraId="1FDE42B0">
            <w:pPr>
              <w:numPr>
                <w:ilvl w:val="0"/>
                <w:numId w:val="5"/>
              </w:numPr>
              <w:rPr>
                <w:rFonts w:ascii="Times New Roman" w:hAnsi="Times New Roman" w:cs="Times New Roman"/>
                <w:sz w:val="18"/>
                <w:szCs w:val="18"/>
              </w:rPr>
            </w:pPr>
            <w:r>
              <w:rPr>
                <w:rFonts w:hint="eastAsia" w:ascii="Times New Roman" w:hAnsi="Times New Roman" w:cs="Times New Roman"/>
                <w:sz w:val="18"/>
                <w:szCs w:val="18"/>
              </w:rPr>
              <w:t>Nakazawa N, Sohda M, Ogata K, et al. Impact of neutrophil-lymphocyte ratio, Glasgow Prognostic Score, and postoperative decrease in psoas muscle index on recurrence after curative gastrectomy. J Med Invest. 2021;68(1.2):119-124. doi:10.2152/jmi.68.119</w:t>
            </w:r>
          </w:p>
          <w:p w14:paraId="05258DF1">
            <w:pPr>
              <w:numPr>
                <w:ilvl w:val="0"/>
                <w:numId w:val="5"/>
              </w:numPr>
              <w:rPr>
                <w:rFonts w:ascii="Times New Roman" w:hAnsi="Times New Roman" w:cs="Times New Roman"/>
                <w:sz w:val="18"/>
                <w:szCs w:val="18"/>
              </w:rPr>
            </w:pPr>
            <w:r>
              <w:rPr>
                <w:rFonts w:hint="eastAsia" w:ascii="Times New Roman" w:hAnsi="Times New Roman" w:cs="Times New Roman"/>
                <w:sz w:val="18"/>
                <w:szCs w:val="18"/>
              </w:rPr>
              <w:t>Tang Z, Sheng H, Zheng X, et al. Upregulation of circulating cytokeratin 20, urokinase plasminogen activator and C-reactive protein is associated with poor prognosis in gastric cancer. Mol Clin Oncol. 2015;3(6):1213-1220. doi:10.3892/mco.2015.624</w:t>
            </w:r>
          </w:p>
          <w:p w14:paraId="330DAE9A">
            <w:pPr>
              <w:numPr>
                <w:ilvl w:val="0"/>
                <w:numId w:val="5"/>
              </w:numPr>
              <w:rPr>
                <w:rFonts w:ascii="Times New Roman" w:hAnsi="Times New Roman" w:cs="Times New Roman"/>
                <w:sz w:val="18"/>
                <w:szCs w:val="18"/>
              </w:rPr>
            </w:pPr>
            <w:r>
              <w:rPr>
                <w:rFonts w:hint="eastAsia" w:ascii="Times New Roman" w:hAnsi="Times New Roman" w:cs="Times New Roman"/>
                <w:sz w:val="18"/>
                <w:szCs w:val="18"/>
              </w:rPr>
              <w:t>Takashima Y, Komatsu S, Nishibeppu K, et al. Clinical impact of postoperative interval until adjuvant chemotherapy following curative gastrectomy for advanced gastric cancer. J Cancer. 2021;12(19):5960-5966. Published 2021 Aug 13. doi:10.7150/jca.58154</w:t>
            </w:r>
          </w:p>
          <w:p w14:paraId="5ABDEB5E">
            <w:pPr>
              <w:numPr>
                <w:ilvl w:val="0"/>
                <w:numId w:val="5"/>
              </w:numPr>
              <w:rPr>
                <w:rFonts w:ascii="Times New Roman" w:hAnsi="Times New Roman" w:cs="Times New Roman"/>
                <w:sz w:val="18"/>
                <w:szCs w:val="18"/>
              </w:rPr>
            </w:pPr>
            <w:r>
              <w:rPr>
                <w:rFonts w:hint="eastAsia" w:ascii="Times New Roman" w:hAnsi="Times New Roman" w:cs="Times New Roman"/>
                <w:sz w:val="18"/>
                <w:szCs w:val="18"/>
              </w:rPr>
              <w:t>Fujitani K, Tsujinaka T, Fujita J, et al. Prospective randomized trial of preoperative enteral immunonutrition followed by elective total gastrectomy for gastric cancer. Br J Surg. 2012;99(5):621-629. doi:10.1002/bjs.8706</w:t>
            </w:r>
          </w:p>
          <w:p w14:paraId="02CB4064">
            <w:pPr>
              <w:numPr>
                <w:ilvl w:val="0"/>
                <w:numId w:val="5"/>
              </w:numPr>
              <w:rPr>
                <w:rFonts w:ascii="Times New Roman" w:hAnsi="Times New Roman" w:cs="Times New Roman"/>
                <w:sz w:val="18"/>
                <w:szCs w:val="18"/>
              </w:rPr>
            </w:pPr>
            <w:r>
              <w:rPr>
                <w:rFonts w:hint="eastAsia" w:ascii="Times New Roman" w:hAnsi="Times New Roman" w:cs="Times New Roman"/>
                <w:sz w:val="18"/>
                <w:szCs w:val="18"/>
              </w:rPr>
              <w:t>Lee SH, Kim KH, Choi CW, et al. Reduction rate of C-reactive protein as an early predictor of postoperative complications and a reliable discharge indicator after gastrectomy for gastric cancer. Ann Surg Treat Res. 2019;97(2):65-73. doi:10.4174/astr.2019.97.2.65</w:t>
            </w:r>
          </w:p>
          <w:p w14:paraId="5B32BB82">
            <w:pPr>
              <w:numPr>
                <w:ilvl w:val="0"/>
                <w:numId w:val="5"/>
              </w:numPr>
              <w:rPr>
                <w:rFonts w:ascii="Times New Roman" w:hAnsi="Times New Roman" w:cs="Times New Roman"/>
                <w:sz w:val="18"/>
                <w:szCs w:val="18"/>
              </w:rPr>
            </w:pPr>
            <w:r>
              <w:rPr>
                <w:rFonts w:hint="eastAsia" w:ascii="Times New Roman" w:hAnsi="Times New Roman" w:cs="Times New Roman"/>
                <w:sz w:val="18"/>
                <w:szCs w:val="18"/>
              </w:rPr>
              <w:t>Çetin DA, Gündeş E, Çiyiltepe H, et al. Risk factors and laboratory markers used to predict leakage in esophagojejunal anastomotic leakage after total gastrectomy. Turk J Surg. 2018;35(1):6-12. Published 2018 Nov 20. doi:10.5578/turkjsurg.4117</w:t>
            </w:r>
          </w:p>
          <w:p w14:paraId="47FFA805">
            <w:pPr>
              <w:numPr>
                <w:ilvl w:val="0"/>
                <w:numId w:val="5"/>
              </w:numPr>
              <w:rPr>
                <w:rFonts w:ascii="Times New Roman" w:hAnsi="Times New Roman" w:cs="Times New Roman"/>
                <w:sz w:val="18"/>
                <w:szCs w:val="18"/>
              </w:rPr>
            </w:pPr>
            <w:r>
              <w:rPr>
                <w:rFonts w:hint="eastAsia" w:ascii="Times New Roman" w:hAnsi="Times New Roman" w:cs="Times New Roman"/>
                <w:sz w:val="18"/>
                <w:szCs w:val="18"/>
              </w:rPr>
              <w:t>Gumusoglu AY, Kabuli HA, Cikot M, et al. The importance of inflammatory markers in detection of complications in patients with gastric cancer undergoing the Enhanced Recovery After Surgery (ERAS) protocol: a prospective cohort study. Wideochir Inne Tech Maloinwazyjne. 2022;17(4):688-698. doi:10.5114/wiitm.2022.118799</w:t>
            </w:r>
          </w:p>
          <w:p w14:paraId="25A849EC">
            <w:pPr>
              <w:numPr>
                <w:ilvl w:val="0"/>
                <w:numId w:val="5"/>
              </w:numPr>
              <w:rPr>
                <w:rFonts w:ascii="Times New Roman" w:hAnsi="Times New Roman" w:cs="Times New Roman"/>
                <w:sz w:val="18"/>
                <w:szCs w:val="18"/>
              </w:rPr>
            </w:pPr>
            <w:r>
              <w:rPr>
                <w:rFonts w:hint="eastAsia" w:ascii="Times New Roman" w:hAnsi="Times New Roman" w:cs="Times New Roman"/>
                <w:sz w:val="18"/>
                <w:szCs w:val="18"/>
              </w:rPr>
              <w:t>Imai Y, Tanaka R, Honda K, et al. The usefulness of presepsin in the diagnosis of postoperative infectious complications after gastrectomy for gastric cancer: a prospective cohort study. Sci Rep. 2022;12(1):21289. Published 2022 Dec 9. doi:10.1038/s41598-022-24780-8</w:t>
            </w:r>
          </w:p>
          <w:p w14:paraId="550DF029">
            <w:pPr>
              <w:numPr>
                <w:ilvl w:val="0"/>
                <w:numId w:val="5"/>
              </w:numPr>
              <w:rPr>
                <w:rFonts w:ascii="Times New Roman" w:hAnsi="Times New Roman" w:cs="Times New Roman"/>
                <w:sz w:val="18"/>
                <w:szCs w:val="18"/>
              </w:rPr>
            </w:pPr>
            <w:r>
              <w:rPr>
                <w:rFonts w:hint="eastAsia" w:ascii="Times New Roman" w:hAnsi="Times New Roman" w:cs="Times New Roman"/>
                <w:sz w:val="18"/>
                <w:szCs w:val="18"/>
              </w:rPr>
              <w:t>Yu L, Xiao LR. Effect of early enteral nutrition on pre-albumin and high-nsitivity C-reactive protein in patients with gastric cancer after operation. Modern Journal of Integrated Traditional Chinese and Western Medicine.</w:t>
            </w:r>
            <w:r>
              <w:t xml:space="preserve"> </w:t>
            </w:r>
            <w:r>
              <w:rPr>
                <w:rFonts w:ascii="Times New Roman" w:hAnsi="Times New Roman" w:cs="Times New Roman"/>
                <w:sz w:val="18"/>
                <w:szCs w:val="18"/>
              </w:rPr>
              <w:t>2013,22(6):586-588.</w:t>
            </w:r>
            <w:r>
              <w:rPr>
                <w:rFonts w:hint="eastAsia" w:ascii="Times New Roman" w:hAnsi="Times New Roman" w:cs="Times New Roman"/>
                <w:sz w:val="18"/>
                <w:szCs w:val="18"/>
              </w:rPr>
              <w:t xml:space="preserve"> </w:t>
            </w:r>
            <w:r>
              <w:rPr>
                <w:rFonts w:ascii="Times New Roman" w:hAnsi="Times New Roman" w:cs="Times New Roman"/>
                <w:sz w:val="18"/>
                <w:szCs w:val="18"/>
              </w:rPr>
              <w:t>DOI:</w:t>
            </w:r>
            <w:r>
              <w:rPr>
                <w:rFonts w:hint="eastAsia" w:ascii="Times New Roman" w:hAnsi="Times New Roman" w:cs="Times New Roman"/>
                <w:sz w:val="18"/>
                <w:szCs w:val="18"/>
              </w:rPr>
              <w:t xml:space="preserve"> </w:t>
            </w:r>
            <w:r>
              <w:rPr>
                <w:rFonts w:ascii="Times New Roman" w:hAnsi="Times New Roman" w:cs="Times New Roman"/>
                <w:sz w:val="18"/>
                <w:szCs w:val="18"/>
              </w:rPr>
              <w:t>10.3969/j.issn.1008-8849.2013.06.006.</w:t>
            </w:r>
          </w:p>
          <w:p w14:paraId="2E59D0E8">
            <w:pPr>
              <w:numPr>
                <w:ilvl w:val="0"/>
                <w:numId w:val="5"/>
              </w:numPr>
              <w:rPr>
                <w:rFonts w:ascii="Times New Roman" w:hAnsi="Times New Roman" w:cs="Times New Roman"/>
                <w:sz w:val="18"/>
                <w:szCs w:val="18"/>
              </w:rPr>
            </w:pPr>
            <w:r>
              <w:rPr>
                <w:rFonts w:ascii="Times New Roman" w:hAnsi="Times New Roman" w:cs="Times New Roman"/>
                <w:sz w:val="18"/>
                <w:szCs w:val="18"/>
              </w:rPr>
              <w:t>Huang L, Du</w:t>
            </w:r>
            <w:r>
              <w:rPr>
                <w:rFonts w:hint="eastAsia" w:ascii="Times New Roman" w:hAnsi="Times New Roman" w:cs="Times New Roman"/>
                <w:sz w:val="18"/>
                <w:szCs w:val="18"/>
              </w:rPr>
              <w:t xml:space="preserve"> YA</w:t>
            </w:r>
            <w:r>
              <w:rPr>
                <w:rFonts w:ascii="Times New Roman" w:hAnsi="Times New Roman" w:cs="Times New Roman"/>
                <w:sz w:val="18"/>
                <w:szCs w:val="18"/>
              </w:rPr>
              <w:t xml:space="preserve">, YU </w:t>
            </w:r>
            <w:r>
              <w:rPr>
                <w:rFonts w:hint="eastAsia" w:ascii="Times New Roman" w:hAnsi="Times New Roman" w:cs="Times New Roman"/>
                <w:sz w:val="18"/>
                <w:szCs w:val="18"/>
              </w:rPr>
              <w:t>PF</w:t>
            </w:r>
            <w:r>
              <w:rPr>
                <w:rFonts w:ascii="Times New Roman" w:hAnsi="Times New Roman" w:cs="Times New Roman"/>
                <w:sz w:val="18"/>
                <w:szCs w:val="18"/>
              </w:rPr>
              <w:t>.</w:t>
            </w:r>
            <w:r>
              <w:rPr>
                <w:rFonts w:hint="eastAsia" w:ascii="Times New Roman" w:hAnsi="Times New Roman" w:cs="Times New Roman"/>
                <w:sz w:val="18"/>
                <w:szCs w:val="18"/>
              </w:rPr>
              <w:t xml:space="preserve"> Effect of laparoscopic radical gastrectomy and open radical gastrectomy influence on inflammatory reaction and immune function. China Modern Doctor. </w:t>
            </w:r>
            <w:r>
              <w:rPr>
                <w:rFonts w:ascii="Times New Roman" w:hAnsi="Times New Roman" w:cs="Times New Roman"/>
                <w:sz w:val="18"/>
                <w:szCs w:val="18"/>
              </w:rPr>
              <w:t>2015,53(17):25-28.</w:t>
            </w:r>
          </w:p>
          <w:p w14:paraId="5E378AD6">
            <w:pPr>
              <w:numPr>
                <w:ilvl w:val="0"/>
                <w:numId w:val="5"/>
              </w:numPr>
              <w:rPr>
                <w:rFonts w:ascii="Times New Roman" w:hAnsi="Times New Roman" w:cs="Times New Roman"/>
                <w:sz w:val="18"/>
                <w:szCs w:val="18"/>
              </w:rPr>
            </w:pPr>
            <w:r>
              <w:rPr>
                <w:rFonts w:ascii="Times New Roman" w:hAnsi="Times New Roman" w:cs="Times New Roman"/>
                <w:sz w:val="18"/>
                <w:szCs w:val="18"/>
              </w:rPr>
              <w:t xml:space="preserve">ZHAO </w:t>
            </w:r>
            <w:r>
              <w:rPr>
                <w:rFonts w:hint="eastAsia" w:ascii="Times New Roman" w:hAnsi="Times New Roman" w:cs="Times New Roman"/>
                <w:sz w:val="18"/>
                <w:szCs w:val="18"/>
              </w:rPr>
              <w:t>XB</w:t>
            </w:r>
            <w:r>
              <w:rPr>
                <w:rFonts w:ascii="Times New Roman" w:hAnsi="Times New Roman" w:cs="Times New Roman"/>
                <w:sz w:val="18"/>
                <w:szCs w:val="18"/>
              </w:rPr>
              <w:t xml:space="preserve">, You </w:t>
            </w:r>
            <w:r>
              <w:rPr>
                <w:rFonts w:hint="eastAsia" w:ascii="Times New Roman" w:hAnsi="Times New Roman" w:cs="Times New Roman"/>
                <w:sz w:val="18"/>
                <w:szCs w:val="18"/>
              </w:rPr>
              <w:t>HY</w:t>
            </w:r>
            <w:r>
              <w:rPr>
                <w:rFonts w:ascii="Times New Roman" w:hAnsi="Times New Roman" w:cs="Times New Roman"/>
                <w:sz w:val="18"/>
                <w:szCs w:val="18"/>
              </w:rPr>
              <w:t>, Li B</w:t>
            </w:r>
            <w:r>
              <w:rPr>
                <w:rFonts w:hint="eastAsia" w:ascii="Times New Roman" w:hAnsi="Times New Roman" w:cs="Times New Roman"/>
                <w:sz w:val="18"/>
                <w:szCs w:val="18"/>
              </w:rPr>
              <w:t>, et al. Clinical effect of laparoscopic-assisted radical gastrectomy in treatment of advanced gastric cancer and its effects on serum tumor markers and high sensitive C reactive protein in elderly patients. China Medicine.</w:t>
            </w:r>
            <w:r>
              <w:t xml:space="preserve"> </w:t>
            </w:r>
            <w:r>
              <w:rPr>
                <w:rFonts w:ascii="Times New Roman" w:hAnsi="Times New Roman" w:cs="Times New Roman"/>
                <w:sz w:val="18"/>
                <w:szCs w:val="18"/>
              </w:rPr>
              <w:t>2015,10(6):854-858.</w:t>
            </w:r>
            <w:r>
              <w:rPr>
                <w:rFonts w:hint="eastAsia" w:ascii="Times New Roman" w:hAnsi="Times New Roman" w:cs="Times New Roman"/>
                <w:sz w:val="18"/>
                <w:szCs w:val="18"/>
              </w:rPr>
              <w:t xml:space="preserve"> </w:t>
            </w:r>
            <w:r>
              <w:rPr>
                <w:rFonts w:ascii="Times New Roman" w:hAnsi="Times New Roman" w:cs="Times New Roman"/>
                <w:sz w:val="18"/>
                <w:szCs w:val="18"/>
              </w:rPr>
              <w:t>DOI:</w:t>
            </w:r>
            <w:r>
              <w:rPr>
                <w:rFonts w:hint="eastAsia" w:ascii="Times New Roman" w:hAnsi="Times New Roman" w:cs="Times New Roman"/>
                <w:sz w:val="18"/>
                <w:szCs w:val="18"/>
              </w:rPr>
              <w:t xml:space="preserve"> </w:t>
            </w:r>
            <w:r>
              <w:rPr>
                <w:rFonts w:ascii="Times New Roman" w:hAnsi="Times New Roman" w:cs="Times New Roman"/>
                <w:sz w:val="18"/>
                <w:szCs w:val="18"/>
              </w:rPr>
              <w:t>10.3760/cma.j.issn.1673-4777.2015.06.024.</w:t>
            </w:r>
          </w:p>
          <w:p w14:paraId="5858ABB2">
            <w:pPr>
              <w:numPr>
                <w:ilvl w:val="0"/>
                <w:numId w:val="5"/>
              </w:numPr>
              <w:rPr>
                <w:rFonts w:ascii="Times New Roman" w:hAnsi="Times New Roman" w:cs="Times New Roman"/>
                <w:sz w:val="18"/>
                <w:szCs w:val="18"/>
              </w:rPr>
            </w:pPr>
            <w:r>
              <w:rPr>
                <w:rFonts w:hint="eastAsia" w:ascii="Times New Roman" w:hAnsi="Times New Roman" w:cs="Times New Roman"/>
                <w:sz w:val="18"/>
                <w:szCs w:val="18"/>
              </w:rPr>
              <w:t xml:space="preserve">Wang P, Yang XC, Liu XY, et al. </w:t>
            </w:r>
            <w:r>
              <w:rPr>
                <w:rFonts w:ascii="Times New Roman" w:hAnsi="Times New Roman" w:cs="Times New Roman"/>
                <w:sz w:val="18"/>
                <w:szCs w:val="18"/>
              </w:rPr>
              <w:t>Effects of Laparoscopic Radical Surgery for Advanced Gastric Cancer on Patient's Serum HO-1, TNF-α,</w:t>
            </w:r>
            <w:r>
              <w:rPr>
                <w:rFonts w:hint="eastAsia" w:ascii="Times New Roman" w:hAnsi="Times New Roman" w:cs="Times New Roman"/>
                <w:sz w:val="18"/>
                <w:szCs w:val="18"/>
              </w:rPr>
              <w:t xml:space="preserve"> </w:t>
            </w:r>
            <w:r>
              <w:rPr>
                <w:rFonts w:ascii="Times New Roman" w:hAnsi="Times New Roman" w:cs="Times New Roman"/>
                <w:sz w:val="18"/>
                <w:szCs w:val="18"/>
              </w:rPr>
              <w:t>IL-6, and CRP</w:t>
            </w:r>
            <w:r>
              <w:rPr>
                <w:rFonts w:hint="eastAsia" w:ascii="Times New Roman" w:hAnsi="Times New Roman" w:cs="Times New Roman"/>
                <w:sz w:val="18"/>
                <w:szCs w:val="18"/>
              </w:rPr>
              <w:t>.</w:t>
            </w:r>
            <w:r>
              <w:rPr>
                <w:rFonts w:hint="eastAsia" w:ascii="微软雅黑" w:hAnsi="微软雅黑" w:eastAsia="微软雅黑" w:cs="宋体"/>
                <w:b/>
                <w:bCs/>
                <w:color w:val="000000"/>
                <w:kern w:val="0"/>
                <w:szCs w:val="21"/>
              </w:rPr>
              <w:t xml:space="preserve"> </w:t>
            </w:r>
            <w:r>
              <w:rPr>
                <w:rFonts w:hint="eastAsia" w:ascii="Times New Roman" w:hAnsi="Times New Roman" w:cs="Times New Roman"/>
                <w:sz w:val="18"/>
                <w:szCs w:val="18"/>
              </w:rPr>
              <w:t>Journal of Clinical Research.</w:t>
            </w:r>
            <w:r>
              <w:t xml:space="preserve"> </w:t>
            </w:r>
            <w:r>
              <w:rPr>
                <w:rFonts w:ascii="Times New Roman" w:hAnsi="Times New Roman" w:cs="Times New Roman"/>
                <w:sz w:val="18"/>
                <w:szCs w:val="18"/>
              </w:rPr>
              <w:t>2016,33(9):</w:t>
            </w:r>
            <w:r>
              <w:rPr>
                <w:rFonts w:hint="eastAsia" w:ascii="Times New Roman" w:hAnsi="Times New Roman" w:cs="Times New Roman"/>
                <w:sz w:val="18"/>
                <w:szCs w:val="18"/>
              </w:rPr>
              <w:t xml:space="preserve"> </w:t>
            </w:r>
            <w:r>
              <w:rPr>
                <w:rFonts w:ascii="Times New Roman" w:hAnsi="Times New Roman" w:cs="Times New Roman"/>
                <w:sz w:val="18"/>
                <w:szCs w:val="18"/>
              </w:rPr>
              <w:t>1798-1800.DOI:</w:t>
            </w:r>
            <w:r>
              <w:rPr>
                <w:rFonts w:hint="eastAsia" w:ascii="Times New Roman" w:hAnsi="Times New Roman" w:cs="Times New Roman"/>
                <w:sz w:val="18"/>
                <w:szCs w:val="18"/>
              </w:rPr>
              <w:t xml:space="preserve"> </w:t>
            </w:r>
            <w:r>
              <w:rPr>
                <w:rFonts w:ascii="Times New Roman" w:hAnsi="Times New Roman" w:cs="Times New Roman"/>
                <w:sz w:val="18"/>
                <w:szCs w:val="18"/>
              </w:rPr>
              <w:t>10.3969/j.issn.1671-7171.2016.09.043.</w:t>
            </w:r>
          </w:p>
          <w:p w14:paraId="4E2099BB">
            <w:pPr>
              <w:numPr>
                <w:ilvl w:val="0"/>
                <w:numId w:val="5"/>
              </w:numPr>
              <w:rPr>
                <w:rFonts w:ascii="Times New Roman" w:hAnsi="Times New Roman" w:cs="Times New Roman"/>
                <w:sz w:val="18"/>
                <w:szCs w:val="18"/>
              </w:rPr>
            </w:pPr>
            <w:r>
              <w:rPr>
                <w:rFonts w:hint="eastAsia" w:ascii="Times New Roman" w:hAnsi="Times New Roman" w:cs="Times New Roman"/>
                <w:sz w:val="18"/>
                <w:szCs w:val="18"/>
              </w:rPr>
              <w:t>Pan Q, Zhang Z.</w:t>
            </w:r>
            <w:r>
              <w:rPr>
                <w:rFonts w:hint="eastAsia" w:ascii="微软雅黑" w:hAnsi="微软雅黑" w:eastAsia="微软雅黑" w:cs="宋体"/>
                <w:b/>
                <w:bCs/>
                <w:color w:val="999999"/>
                <w:kern w:val="0"/>
                <w:sz w:val="20"/>
                <w:szCs w:val="20"/>
              </w:rPr>
              <w:t xml:space="preserve"> </w:t>
            </w:r>
            <w:r>
              <w:rPr>
                <w:rFonts w:hint="eastAsia" w:ascii="Times New Roman" w:hAnsi="Times New Roman" w:cs="Times New Roman"/>
                <w:sz w:val="18"/>
                <w:szCs w:val="18"/>
              </w:rPr>
              <w:t>Assessment of short-term trauma degree as well as long-term survival and recurrence between endoscopic resection and radical resection treatment of early gastric cancer. Journal of Hainan Medical University.</w:t>
            </w:r>
            <w:r>
              <w:t xml:space="preserve"> </w:t>
            </w:r>
            <w:r>
              <w:rPr>
                <w:rFonts w:ascii="Times New Roman" w:hAnsi="Times New Roman" w:cs="Times New Roman"/>
                <w:sz w:val="18"/>
                <w:szCs w:val="18"/>
              </w:rPr>
              <w:t>2016,22(20):2427-2430.</w:t>
            </w:r>
            <w:r>
              <w:rPr>
                <w:rFonts w:hint="eastAsia" w:ascii="Times New Roman" w:hAnsi="Times New Roman" w:cs="Times New Roman"/>
                <w:sz w:val="18"/>
                <w:szCs w:val="18"/>
              </w:rPr>
              <w:t xml:space="preserve"> </w:t>
            </w:r>
            <w:r>
              <w:rPr>
                <w:rFonts w:ascii="Times New Roman" w:hAnsi="Times New Roman" w:cs="Times New Roman"/>
                <w:sz w:val="18"/>
                <w:szCs w:val="18"/>
              </w:rPr>
              <w:t>DOI:</w:t>
            </w:r>
            <w:r>
              <w:rPr>
                <w:rFonts w:hint="eastAsia" w:ascii="Times New Roman" w:hAnsi="Times New Roman" w:cs="Times New Roman"/>
                <w:sz w:val="18"/>
                <w:szCs w:val="18"/>
              </w:rPr>
              <w:t xml:space="preserve"> </w:t>
            </w:r>
            <w:r>
              <w:rPr>
                <w:rFonts w:ascii="Times New Roman" w:hAnsi="Times New Roman" w:cs="Times New Roman"/>
                <w:sz w:val="18"/>
                <w:szCs w:val="18"/>
              </w:rPr>
              <w:t>10.13210/j.cnki.jhmu.20160726.011.</w:t>
            </w:r>
            <w:r>
              <w:rPr>
                <w:rFonts w:hint="eastAsia" w:ascii="Times New Roman" w:hAnsi="Times New Roman" w:cs="Times New Roman"/>
                <w:sz w:val="18"/>
                <w:szCs w:val="18"/>
              </w:rPr>
              <w:t xml:space="preserve"> </w:t>
            </w:r>
          </w:p>
          <w:p w14:paraId="3E1F31F8">
            <w:pPr>
              <w:numPr>
                <w:ilvl w:val="0"/>
                <w:numId w:val="5"/>
              </w:numPr>
              <w:rPr>
                <w:rFonts w:ascii="Times New Roman" w:hAnsi="Times New Roman" w:cs="Times New Roman"/>
                <w:sz w:val="18"/>
                <w:szCs w:val="18"/>
              </w:rPr>
            </w:pPr>
            <w:r>
              <w:rPr>
                <w:rFonts w:hint="eastAsia" w:ascii="Times New Roman" w:hAnsi="Times New Roman" w:cs="Times New Roman"/>
                <w:sz w:val="18"/>
                <w:szCs w:val="18"/>
              </w:rPr>
              <w:t>Fang YJ, Wang JJ, Wu YF.</w:t>
            </w:r>
            <w:r>
              <w:t xml:space="preserve"> </w:t>
            </w:r>
            <w:r>
              <w:rPr>
                <w:rFonts w:ascii="Times New Roman" w:hAnsi="Times New Roman" w:cs="Times New Roman"/>
                <w:sz w:val="18"/>
                <w:szCs w:val="18"/>
              </w:rPr>
              <w:t>Clinical efficacy of laparoscopic assisted radical gastrectomy for advanced distal gastric cancer and its influence on C-reactive protein</w:t>
            </w:r>
            <w:r>
              <w:rPr>
                <w:rFonts w:hint="eastAsia" w:ascii="Times New Roman" w:hAnsi="Times New Roman" w:cs="Times New Roman"/>
                <w:sz w:val="18"/>
                <w:szCs w:val="18"/>
              </w:rPr>
              <w:t>.</w:t>
            </w:r>
            <w:r>
              <w:rPr>
                <w:rFonts w:hint="eastAsia" w:ascii="微软雅黑" w:hAnsi="微软雅黑" w:eastAsia="微软雅黑" w:cs="宋体"/>
                <w:b/>
                <w:bCs/>
                <w:color w:val="000000"/>
                <w:kern w:val="0"/>
                <w:szCs w:val="21"/>
              </w:rPr>
              <w:t xml:space="preserve"> </w:t>
            </w:r>
            <w:r>
              <w:rPr>
                <w:rFonts w:hint="eastAsia" w:ascii="Times New Roman" w:hAnsi="Times New Roman" w:cs="Times New Roman"/>
                <w:sz w:val="18"/>
                <w:szCs w:val="18"/>
              </w:rPr>
              <w:t>Zhejiang Journal of Traumatic Surgery.</w:t>
            </w:r>
            <w:r>
              <w:t xml:space="preserve"> </w:t>
            </w:r>
            <w:r>
              <w:rPr>
                <w:rFonts w:ascii="Times New Roman" w:hAnsi="Times New Roman" w:cs="Times New Roman"/>
                <w:sz w:val="18"/>
                <w:szCs w:val="18"/>
              </w:rPr>
              <w:t>2017,22(2):345-347.</w:t>
            </w:r>
            <w:r>
              <w:rPr>
                <w:rFonts w:hint="eastAsia" w:ascii="Times New Roman" w:hAnsi="Times New Roman" w:cs="Times New Roman"/>
                <w:sz w:val="18"/>
                <w:szCs w:val="18"/>
              </w:rPr>
              <w:t xml:space="preserve"> </w:t>
            </w:r>
            <w:r>
              <w:rPr>
                <w:rFonts w:ascii="Times New Roman" w:hAnsi="Times New Roman" w:cs="Times New Roman"/>
                <w:sz w:val="18"/>
                <w:szCs w:val="18"/>
              </w:rPr>
              <w:t>DOI:</w:t>
            </w:r>
            <w:r>
              <w:rPr>
                <w:rFonts w:hint="eastAsia" w:ascii="Times New Roman" w:hAnsi="Times New Roman" w:cs="Times New Roman"/>
                <w:sz w:val="18"/>
                <w:szCs w:val="18"/>
              </w:rPr>
              <w:t xml:space="preserve"> </w:t>
            </w:r>
            <w:r>
              <w:rPr>
                <w:rFonts w:ascii="Times New Roman" w:hAnsi="Times New Roman" w:cs="Times New Roman"/>
                <w:sz w:val="18"/>
                <w:szCs w:val="18"/>
              </w:rPr>
              <w:t>10.3969/j.issn.1009-7147.2017.02.066.</w:t>
            </w:r>
          </w:p>
          <w:p w14:paraId="6A807950">
            <w:pPr>
              <w:numPr>
                <w:ilvl w:val="0"/>
                <w:numId w:val="5"/>
              </w:numPr>
              <w:rPr>
                <w:rFonts w:ascii="Times New Roman" w:hAnsi="Times New Roman" w:cs="Times New Roman"/>
                <w:sz w:val="18"/>
                <w:szCs w:val="18"/>
              </w:rPr>
            </w:pPr>
            <w:r>
              <w:rPr>
                <w:rFonts w:hint="eastAsia" w:ascii="Times New Roman" w:hAnsi="Times New Roman" w:cs="Times New Roman"/>
                <w:sz w:val="18"/>
                <w:szCs w:val="18"/>
              </w:rPr>
              <w:t xml:space="preserve">Liu XZ, Han S. Short term efficacy of laparoscopic assisted distal gastrectomy versus traditional open surgery for elderly patients with gastric cancer and its effect on serum levels of TNF-α, IL-6, and CRP. International Medicine and Health Guidance News. </w:t>
            </w:r>
            <w:r>
              <w:rPr>
                <w:rFonts w:ascii="Times New Roman" w:hAnsi="Times New Roman" w:cs="Times New Roman"/>
                <w:sz w:val="18"/>
                <w:szCs w:val="18"/>
              </w:rPr>
              <w:t>2017,23(1):65-67,72.</w:t>
            </w:r>
            <w:r>
              <w:rPr>
                <w:rFonts w:hint="eastAsia" w:ascii="Times New Roman" w:hAnsi="Times New Roman" w:cs="Times New Roman"/>
                <w:sz w:val="18"/>
                <w:szCs w:val="18"/>
              </w:rPr>
              <w:t xml:space="preserve"> </w:t>
            </w:r>
            <w:r>
              <w:rPr>
                <w:rFonts w:ascii="Times New Roman" w:hAnsi="Times New Roman" w:cs="Times New Roman"/>
                <w:sz w:val="18"/>
                <w:szCs w:val="18"/>
              </w:rPr>
              <w:t>DOI:</w:t>
            </w:r>
            <w:r>
              <w:rPr>
                <w:rFonts w:hint="eastAsia" w:ascii="Times New Roman" w:hAnsi="Times New Roman" w:cs="Times New Roman"/>
                <w:sz w:val="18"/>
                <w:szCs w:val="18"/>
              </w:rPr>
              <w:t xml:space="preserve"> </w:t>
            </w:r>
            <w:r>
              <w:rPr>
                <w:rFonts w:ascii="Times New Roman" w:hAnsi="Times New Roman" w:cs="Times New Roman"/>
                <w:sz w:val="18"/>
                <w:szCs w:val="18"/>
              </w:rPr>
              <w:t>10.3760/cma.j.issn.1007-1245.2017.01.021.</w:t>
            </w:r>
          </w:p>
          <w:p w14:paraId="13CDB0A6">
            <w:pPr>
              <w:numPr>
                <w:ilvl w:val="0"/>
                <w:numId w:val="5"/>
              </w:numPr>
              <w:rPr>
                <w:rFonts w:ascii="Times New Roman" w:hAnsi="Times New Roman" w:cs="Times New Roman"/>
                <w:sz w:val="18"/>
                <w:szCs w:val="18"/>
              </w:rPr>
            </w:pPr>
            <w:r>
              <w:rPr>
                <w:rFonts w:hint="eastAsia" w:ascii="Times New Roman" w:hAnsi="Times New Roman" w:cs="Times New Roman"/>
                <w:sz w:val="18"/>
                <w:szCs w:val="18"/>
              </w:rPr>
              <w:t>Qiu HB, Wang X, He T, et al. Effects of ESD and traditional surgery on postoperative immumological stress response and long-term survival in patients with early gastric cancer. Oncology Progress.</w:t>
            </w:r>
            <w:r>
              <w:t xml:space="preserve"> </w:t>
            </w:r>
            <w:r>
              <w:rPr>
                <w:rFonts w:ascii="Times New Roman" w:hAnsi="Times New Roman" w:cs="Times New Roman"/>
                <w:sz w:val="18"/>
                <w:szCs w:val="18"/>
              </w:rPr>
              <w:t>2018,16(12):1529-1531,1561.</w:t>
            </w:r>
            <w:r>
              <w:rPr>
                <w:rFonts w:hint="eastAsia" w:ascii="Times New Roman" w:hAnsi="Times New Roman" w:cs="Times New Roman"/>
                <w:sz w:val="18"/>
                <w:szCs w:val="18"/>
              </w:rPr>
              <w:t xml:space="preserve"> </w:t>
            </w:r>
            <w:r>
              <w:rPr>
                <w:rFonts w:ascii="Times New Roman" w:hAnsi="Times New Roman" w:cs="Times New Roman"/>
                <w:sz w:val="18"/>
                <w:szCs w:val="18"/>
              </w:rPr>
              <w:t>DOI:</w:t>
            </w:r>
            <w:r>
              <w:rPr>
                <w:rFonts w:hint="eastAsia" w:ascii="Times New Roman" w:hAnsi="Times New Roman" w:cs="Times New Roman"/>
                <w:sz w:val="18"/>
                <w:szCs w:val="18"/>
              </w:rPr>
              <w:t xml:space="preserve"> </w:t>
            </w:r>
            <w:r>
              <w:rPr>
                <w:rFonts w:ascii="Times New Roman" w:hAnsi="Times New Roman" w:cs="Times New Roman"/>
                <w:sz w:val="18"/>
                <w:szCs w:val="18"/>
              </w:rPr>
              <w:t>10.11877/j.issn.1672-1535.2018.16.12.22.</w:t>
            </w:r>
            <w:r>
              <w:rPr>
                <w:rFonts w:hint="eastAsia" w:ascii="Times New Roman" w:hAnsi="Times New Roman" w:cs="Times New Roman"/>
                <w:sz w:val="18"/>
                <w:szCs w:val="18"/>
              </w:rPr>
              <w:t xml:space="preserve"> </w:t>
            </w:r>
          </w:p>
          <w:p w14:paraId="3A477750">
            <w:pPr>
              <w:numPr>
                <w:ilvl w:val="0"/>
                <w:numId w:val="5"/>
              </w:numPr>
              <w:rPr>
                <w:rFonts w:ascii="Times New Roman" w:hAnsi="Times New Roman" w:cs="Times New Roman"/>
                <w:sz w:val="18"/>
                <w:szCs w:val="18"/>
              </w:rPr>
            </w:pPr>
            <w:r>
              <w:rPr>
                <w:rFonts w:hint="eastAsia" w:ascii="Times New Roman" w:hAnsi="Times New Roman" w:cs="Times New Roman"/>
                <w:sz w:val="18"/>
                <w:szCs w:val="18"/>
              </w:rPr>
              <w:t>Gong GJ, Yin CL, Feng ZY, et al.</w:t>
            </w:r>
            <w:r>
              <w:rPr>
                <w:rFonts w:hint="eastAsia" w:ascii="微软雅黑" w:hAnsi="微软雅黑" w:eastAsia="微软雅黑" w:cs="宋体"/>
                <w:b/>
                <w:bCs/>
                <w:color w:val="999999"/>
                <w:kern w:val="0"/>
                <w:sz w:val="20"/>
                <w:szCs w:val="20"/>
              </w:rPr>
              <w:t xml:space="preserve"> </w:t>
            </w:r>
            <w:r>
              <w:rPr>
                <w:rFonts w:hint="eastAsia" w:ascii="Times New Roman" w:hAnsi="Times New Roman" w:cs="Times New Roman"/>
                <w:sz w:val="18"/>
                <w:szCs w:val="18"/>
              </w:rPr>
              <w:t>Effects of Laparoscopic Subtotal Gastrectomy on Serum TNF-α, IL-6, CRP and Complications in Gastric Cancer Patients.</w:t>
            </w:r>
            <w:r>
              <w:rPr>
                <w:rFonts w:hint="eastAsia" w:ascii="微软雅黑" w:hAnsi="微软雅黑" w:eastAsia="微软雅黑" w:cs="宋体"/>
                <w:b/>
                <w:bCs/>
                <w:color w:val="000000"/>
                <w:kern w:val="0"/>
                <w:szCs w:val="21"/>
              </w:rPr>
              <w:t xml:space="preserve"> </w:t>
            </w:r>
            <w:r>
              <w:rPr>
                <w:rFonts w:hint="eastAsia" w:ascii="Times New Roman" w:hAnsi="Times New Roman" w:cs="Times New Roman"/>
                <w:sz w:val="18"/>
                <w:szCs w:val="18"/>
              </w:rPr>
              <w:t>Chinese Journal of Medical Device.</w:t>
            </w:r>
            <w:r>
              <w:rPr>
                <w:rFonts w:ascii="Times New Roman" w:hAnsi="Times New Roman" w:cs="Times New Roman"/>
                <w:sz w:val="18"/>
                <w:szCs w:val="18"/>
              </w:rPr>
              <w:t>2019,32(23):13-14.</w:t>
            </w:r>
            <w:r>
              <w:rPr>
                <w:rFonts w:hint="eastAsia" w:ascii="Times New Roman" w:hAnsi="Times New Roman" w:cs="Times New Roman"/>
                <w:sz w:val="18"/>
                <w:szCs w:val="18"/>
              </w:rPr>
              <w:t xml:space="preserve"> </w:t>
            </w:r>
            <w:r>
              <w:rPr>
                <w:rFonts w:ascii="Times New Roman" w:hAnsi="Times New Roman" w:cs="Times New Roman"/>
                <w:sz w:val="18"/>
                <w:szCs w:val="18"/>
              </w:rPr>
              <w:t>DOI:10.3969/j.issn.</w:t>
            </w:r>
            <w:r>
              <w:rPr>
                <w:rFonts w:hint="eastAsia" w:ascii="Times New Roman" w:hAnsi="Times New Roman" w:cs="Times New Roman"/>
                <w:sz w:val="18"/>
                <w:szCs w:val="18"/>
              </w:rPr>
              <w:t xml:space="preserve"> </w:t>
            </w:r>
            <w:r>
              <w:rPr>
                <w:rFonts w:ascii="Times New Roman" w:hAnsi="Times New Roman" w:cs="Times New Roman"/>
                <w:sz w:val="18"/>
                <w:szCs w:val="18"/>
              </w:rPr>
              <w:t>1002-2376.2019.23.006.</w:t>
            </w:r>
          </w:p>
          <w:p w14:paraId="58855011">
            <w:pPr>
              <w:numPr>
                <w:ilvl w:val="0"/>
                <w:numId w:val="5"/>
              </w:numPr>
              <w:rPr>
                <w:rFonts w:ascii="Times New Roman" w:hAnsi="Times New Roman" w:cs="Times New Roman"/>
                <w:sz w:val="18"/>
                <w:szCs w:val="18"/>
              </w:rPr>
            </w:pPr>
            <w:r>
              <w:rPr>
                <w:rFonts w:hint="eastAsia" w:ascii="Times New Roman" w:hAnsi="Times New Roman" w:cs="Times New Roman"/>
                <w:sz w:val="18"/>
                <w:szCs w:val="18"/>
              </w:rPr>
              <w:t>Zhang L, Liu KD, Liu M, et al. Effect of early post-operative immune-enhanced enteral nutrition on the immune function and inflammatory reaction in patients with gastric cancer. Journal of Xinxiang Medical University.</w:t>
            </w:r>
            <w:r>
              <w:t xml:space="preserve"> </w:t>
            </w:r>
            <w:r>
              <w:rPr>
                <w:rFonts w:ascii="Times New Roman" w:hAnsi="Times New Roman" w:cs="Times New Roman"/>
                <w:sz w:val="18"/>
                <w:szCs w:val="18"/>
              </w:rPr>
              <w:t>2019,36(4):389-391,396.</w:t>
            </w:r>
            <w:r>
              <w:rPr>
                <w:rFonts w:hint="eastAsia" w:ascii="Times New Roman" w:hAnsi="Times New Roman" w:cs="Times New Roman"/>
                <w:sz w:val="18"/>
                <w:szCs w:val="18"/>
              </w:rPr>
              <w:t xml:space="preserve"> </w:t>
            </w:r>
            <w:r>
              <w:rPr>
                <w:rFonts w:ascii="Times New Roman" w:hAnsi="Times New Roman" w:cs="Times New Roman"/>
                <w:sz w:val="18"/>
                <w:szCs w:val="18"/>
              </w:rPr>
              <w:t>DOI:10.7683/xxyxyxb.2019.04.022.</w:t>
            </w:r>
          </w:p>
          <w:p w14:paraId="14ACC025">
            <w:pPr>
              <w:numPr>
                <w:ilvl w:val="0"/>
                <w:numId w:val="5"/>
              </w:numPr>
              <w:rPr>
                <w:rFonts w:ascii="Times New Roman" w:hAnsi="Times New Roman" w:cs="Times New Roman"/>
                <w:sz w:val="18"/>
                <w:szCs w:val="18"/>
              </w:rPr>
            </w:pPr>
            <w:r>
              <w:rPr>
                <w:rFonts w:hint="eastAsia" w:ascii="Times New Roman" w:hAnsi="Times New Roman" w:cs="Times New Roman"/>
                <w:sz w:val="18"/>
                <w:szCs w:val="18"/>
              </w:rPr>
              <w:t>Zhang XW, Li JX, Guo RF. Study on the effects of laparoscopy and open surgery in elderly patients with gastric cancer and the relationship between CRP, PCT and postoperative intestinal function. Journal Of China Prescription Drug.</w:t>
            </w:r>
            <w:r>
              <w:t xml:space="preserve"> </w:t>
            </w:r>
            <w:r>
              <w:rPr>
                <w:rFonts w:ascii="Times New Roman" w:hAnsi="Times New Roman" w:cs="Times New Roman"/>
                <w:sz w:val="18"/>
                <w:szCs w:val="18"/>
              </w:rPr>
              <w:t>2021,19(1):161-162.</w:t>
            </w:r>
          </w:p>
          <w:p w14:paraId="3025635B">
            <w:pPr>
              <w:numPr>
                <w:ilvl w:val="0"/>
                <w:numId w:val="5"/>
              </w:numPr>
              <w:rPr>
                <w:rFonts w:hint="eastAsia" w:ascii="Times New Roman" w:hAnsi="Times New Roman" w:cs="Times New Roman"/>
                <w:sz w:val="18"/>
                <w:szCs w:val="18"/>
              </w:rPr>
            </w:pPr>
            <w:r>
              <w:rPr>
                <w:rFonts w:hint="eastAsia" w:ascii="Times New Roman" w:hAnsi="Times New Roman" w:cs="Times New Roman"/>
                <w:sz w:val="18"/>
                <w:szCs w:val="18"/>
              </w:rPr>
              <w:t>Huang XQ, Lin YH.</w:t>
            </w:r>
            <w:r>
              <w:t xml:space="preserve"> </w:t>
            </w:r>
            <w:r>
              <w:rPr>
                <w:rFonts w:ascii="Times New Roman" w:hAnsi="Times New Roman" w:cs="Times New Roman"/>
                <w:sz w:val="18"/>
                <w:szCs w:val="18"/>
              </w:rPr>
              <w:t>The relationship between C-reactive protein and clinicopathology and prognosis of gastric cancer</w:t>
            </w:r>
            <w:r>
              <w:rPr>
                <w:rFonts w:hint="eastAsia" w:ascii="Times New Roman" w:hAnsi="Times New Roman" w:cs="Times New Roman"/>
                <w:sz w:val="18"/>
                <w:szCs w:val="18"/>
              </w:rPr>
              <w:t xml:space="preserve">. Journal of Guangxi Medical University. </w:t>
            </w:r>
            <w:r>
              <w:rPr>
                <w:rFonts w:ascii="Times New Roman" w:hAnsi="Times New Roman" w:cs="Times New Roman"/>
                <w:sz w:val="18"/>
                <w:szCs w:val="18"/>
              </w:rPr>
              <w:t>2007,24(5):734-735.</w:t>
            </w:r>
            <w:r>
              <w:rPr>
                <w:rFonts w:hint="eastAsia" w:ascii="Times New Roman" w:hAnsi="Times New Roman" w:cs="Times New Roman"/>
                <w:sz w:val="18"/>
                <w:szCs w:val="18"/>
              </w:rPr>
              <w:t xml:space="preserve"> </w:t>
            </w:r>
            <w:r>
              <w:rPr>
                <w:rFonts w:ascii="Times New Roman" w:hAnsi="Times New Roman" w:cs="Times New Roman"/>
                <w:sz w:val="18"/>
                <w:szCs w:val="18"/>
              </w:rPr>
              <w:t>DOI:10.3969/j.issn.1005-930X.2007.05.034.</w:t>
            </w:r>
          </w:p>
          <w:p w14:paraId="6188A936">
            <w:pPr>
              <w:numPr>
                <w:ilvl w:val="0"/>
                <w:numId w:val="5"/>
              </w:numPr>
              <w:rPr>
                <w:rFonts w:hint="eastAsia" w:ascii="Times New Roman" w:hAnsi="Times New Roman" w:cs="Times New Roman"/>
                <w:sz w:val="18"/>
                <w:szCs w:val="18"/>
              </w:rPr>
            </w:pPr>
            <w:r>
              <w:rPr>
                <w:rFonts w:hint="eastAsia" w:ascii="Times New Roman" w:hAnsi="Times New Roman" w:cs="Times New Roman"/>
                <w:sz w:val="18"/>
                <w:szCs w:val="18"/>
              </w:rPr>
              <w:t>Zhang J, Wang G, Liu J, Tang F, Wang S, Li Y. ITGA4 as a potential prognostic and immunotherapeutic biomarker in human cancer and its clinical significance in gastric cancer: an integrated analysis and validation. Front Oncol. 2025;15:1513622. Published 2025 Feb 12. doi:10.3389/fonc.2025.1513622</w:t>
            </w:r>
          </w:p>
          <w:p w14:paraId="494F8361">
            <w:pPr>
              <w:numPr>
                <w:ilvl w:val="0"/>
                <w:numId w:val="5"/>
              </w:numPr>
              <w:rPr>
                <w:rFonts w:hint="eastAsia" w:ascii="Times New Roman" w:hAnsi="Times New Roman" w:cs="Times New Roman"/>
                <w:sz w:val="18"/>
                <w:szCs w:val="18"/>
              </w:rPr>
            </w:pPr>
            <w:r>
              <w:rPr>
                <w:rFonts w:hint="eastAsia" w:ascii="Times New Roman" w:hAnsi="Times New Roman" w:cs="Times New Roman"/>
                <w:sz w:val="18"/>
                <w:szCs w:val="18"/>
              </w:rPr>
              <w:t>Chung JH, Lim D, Lee SH, Hwang SH. Evaluating the impact of a navigation system on the initial cases of robotic gastrectomy for gastric cancer. J Robot Surg. 2025;19(1):115. Published 2025 Mar 13. doi:10.1007/s11701-025-02262-z</w:t>
            </w:r>
          </w:p>
          <w:p w14:paraId="78E354E3">
            <w:pPr>
              <w:numPr>
                <w:ilvl w:val="0"/>
                <w:numId w:val="5"/>
              </w:numPr>
              <w:rPr>
                <w:rFonts w:hint="eastAsia" w:ascii="Times New Roman" w:hAnsi="Times New Roman" w:cs="Times New Roman"/>
                <w:sz w:val="18"/>
                <w:szCs w:val="18"/>
              </w:rPr>
            </w:pPr>
            <w:r>
              <w:rPr>
                <w:rFonts w:hint="eastAsia" w:ascii="Times New Roman" w:hAnsi="Times New Roman" w:cs="Times New Roman"/>
                <w:sz w:val="18"/>
                <w:szCs w:val="18"/>
              </w:rPr>
              <w:t>Ye SP, Wu C, Zou RX, et al. Short-term outcomes of totally robotic versus robotic-assisted distal gastrectomy for gastric cancer: a single-center retrospective study. World J Surg Oncol. 2024;22(1):230. Published 2024 Sep 4. doi:10.1186/s12957-024-03484-5</w:t>
            </w:r>
          </w:p>
          <w:p w14:paraId="0A02B692">
            <w:pPr>
              <w:numPr>
                <w:ilvl w:val="0"/>
                <w:numId w:val="5"/>
              </w:numPr>
              <w:rPr>
                <w:rFonts w:hint="eastAsia" w:ascii="Times New Roman" w:hAnsi="Times New Roman" w:cs="Times New Roman"/>
                <w:sz w:val="18"/>
                <w:szCs w:val="18"/>
              </w:rPr>
            </w:pPr>
            <w:r>
              <w:rPr>
                <w:rFonts w:hint="eastAsia" w:ascii="Times New Roman" w:hAnsi="Times New Roman" w:cs="Times New Roman"/>
                <w:sz w:val="18"/>
                <w:szCs w:val="18"/>
              </w:rPr>
              <w:t>Aoyama T, Maezawa Y, Hashimoto I, et al. The Clinical Impact of Change in the C-Reactive Protein/Albumin Ratio in Gastric Cancer Patients Who Receive Curative Treatment. J Gastrointest Cancer. 2024;55(1):383-390. doi:10.1007/s12029-023-00970-z</w:t>
            </w:r>
          </w:p>
          <w:p w14:paraId="5E4448F2">
            <w:pPr>
              <w:numPr>
                <w:ilvl w:val="0"/>
                <w:numId w:val="5"/>
              </w:numPr>
              <w:rPr>
                <w:rFonts w:hint="eastAsia" w:ascii="Times New Roman" w:hAnsi="Times New Roman" w:cs="Times New Roman"/>
                <w:sz w:val="18"/>
                <w:szCs w:val="18"/>
              </w:rPr>
            </w:pPr>
            <w:r>
              <w:rPr>
                <w:rFonts w:hint="eastAsia" w:ascii="Times New Roman" w:hAnsi="Times New Roman" w:cs="Times New Roman"/>
                <w:sz w:val="18"/>
                <w:szCs w:val="18"/>
              </w:rPr>
              <w:t xml:space="preserve">Takeno S, Hashimoto T, Shibata R, et al. Improvement of high-sensitivity inflammation-based Glasgow prognostic score by gastrectomy is a favorable prognostic factor in patients with gastric cancer. Anticancer Res. 2014;34(10):5695-5702. </w:t>
            </w:r>
          </w:p>
        </w:tc>
      </w:tr>
      <w:tr w14:paraId="5CE7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2" w:type="dxa"/>
          </w:tcPr>
          <w:p w14:paraId="089514DB">
            <w:pPr>
              <w:jc w:val="center"/>
              <w:rPr>
                <w:rFonts w:ascii="Times New Roman" w:hAnsi="Times New Roman" w:cs="Times New Roman"/>
                <w:sz w:val="18"/>
                <w:szCs w:val="18"/>
              </w:rPr>
            </w:pPr>
            <w:r>
              <w:rPr>
                <w:rFonts w:hint="eastAsia" w:ascii="Times New Roman" w:hAnsi="Times New Roman" w:cs="Times New Roman"/>
                <w:color w:val="000000" w:themeColor="text1"/>
                <w:sz w:val="18"/>
                <w:szCs w:val="18"/>
                <w14:textFill>
                  <w14:solidFill>
                    <w14:schemeClr w14:val="tx1"/>
                  </w14:solidFill>
                </w14:textFill>
              </w:rPr>
              <w:t>Long-term prognostic outcomes of interest were</w:t>
            </w:r>
            <w:r>
              <w:rPr>
                <w:rFonts w:hint="eastAsia" w:ascii="Times New Roman" w:hAnsi="Times New Roman" w:cs="Times New Roman"/>
                <w:color w:val="000000" w:themeColor="text1"/>
                <w:sz w:val="18"/>
                <w:szCs w:val="18"/>
                <w:lang w:val="en-US" w:eastAsia="zh-CN"/>
                <w14:textFill>
                  <w14:solidFill>
                    <w14:schemeClr w14:val="tx1"/>
                  </w14:solidFill>
                </w14:textFill>
              </w:rPr>
              <w:t xml:space="preserve"> </w:t>
            </w:r>
            <w:r>
              <w:rPr>
                <w:rFonts w:hint="eastAsia" w:ascii="Times New Roman" w:hAnsi="Times New Roman" w:cs="Times New Roman"/>
                <w:color w:val="000000" w:themeColor="text1"/>
                <w:sz w:val="18"/>
                <w:szCs w:val="18"/>
                <w14:textFill>
                  <w14:solidFill>
                    <w14:schemeClr w14:val="tx1"/>
                  </w14:solidFill>
                </w14:textFill>
              </w:rPr>
              <w:t>not reported (n =</w:t>
            </w:r>
            <w:r>
              <w:rPr>
                <w:rFonts w:hint="eastAsia" w:ascii="Times New Roman" w:hAnsi="Times New Roman" w:cs="Times New Roman"/>
                <w:color w:val="000000" w:themeColor="text1"/>
                <w:sz w:val="18"/>
                <w:szCs w:val="18"/>
                <w:lang w:val="en-US" w:eastAsia="zh-CN"/>
                <w14:textFill>
                  <w14:solidFill>
                    <w14:schemeClr w14:val="tx1"/>
                  </w14:solidFill>
                </w14:textFill>
              </w:rPr>
              <w:t xml:space="preserve"> 66</w:t>
            </w:r>
            <w:r>
              <w:rPr>
                <w:rFonts w:hint="eastAsia" w:ascii="Times New Roman" w:hAnsi="Times New Roman" w:cs="Times New Roman"/>
                <w:color w:val="000000" w:themeColor="text1"/>
                <w:sz w:val="18"/>
                <w:szCs w:val="18"/>
                <w14:textFill>
                  <w14:solidFill>
                    <w14:schemeClr w14:val="tx1"/>
                  </w14:solidFill>
                </w14:textFill>
              </w:rPr>
              <w:t>)</w:t>
            </w:r>
          </w:p>
        </w:tc>
      </w:tr>
      <w:tr w14:paraId="05BE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02" w:type="dxa"/>
          </w:tcPr>
          <w:p w14:paraId="37EFF773">
            <w:pPr>
              <w:numPr>
                <w:ilvl w:val="0"/>
                <w:numId w:val="6"/>
              </w:numPr>
              <w:rPr>
                <w:rFonts w:ascii="Times New Roman" w:hAnsi="Times New Roman" w:cs="Times New Roman"/>
                <w:sz w:val="18"/>
                <w:szCs w:val="18"/>
              </w:rPr>
            </w:pPr>
            <w:r>
              <w:rPr>
                <w:rFonts w:hint="eastAsia" w:ascii="Times New Roman" w:hAnsi="Times New Roman" w:cs="Times New Roman"/>
                <w:sz w:val="18"/>
                <w:szCs w:val="18"/>
              </w:rPr>
              <w:t>Asaoka R, Kawamura T, Makuuchi R, et al. Risk factors for 30-day hospital readmission after radical gastrectomy: a single-center retrospective study. Gastric Cancer. 2019;22(2):413-420. doi:10.1007/s10120-018-0856-4</w:t>
            </w:r>
          </w:p>
          <w:p w14:paraId="243E085D">
            <w:pPr>
              <w:numPr>
                <w:ilvl w:val="0"/>
                <w:numId w:val="6"/>
              </w:numPr>
              <w:wordWrap w:val="0"/>
              <w:rPr>
                <w:rFonts w:ascii="Times New Roman" w:hAnsi="Times New Roman" w:cs="Times New Roman"/>
                <w:sz w:val="18"/>
                <w:szCs w:val="18"/>
              </w:rPr>
            </w:pPr>
            <w:r>
              <w:rPr>
                <w:rFonts w:hint="eastAsia" w:ascii="Times New Roman" w:hAnsi="Times New Roman" w:cs="Times New Roman"/>
                <w:sz w:val="18"/>
                <w:szCs w:val="18"/>
              </w:rPr>
              <w:t>Kono Y, Saito H, Murakami Y, et al. Postoperative ratio of the maximum C-reactive protein level to the minimum peripheral lymphocyte count as a prognostic indicator for gastric cancer patients. Surg Today. 2019;49(3):206-213. doi:10.1007/s00595-018-1724-x</w:t>
            </w:r>
          </w:p>
          <w:p w14:paraId="1C757383">
            <w:pPr>
              <w:numPr>
                <w:ilvl w:val="0"/>
                <w:numId w:val="6"/>
              </w:numPr>
              <w:rPr>
                <w:rFonts w:ascii="Times New Roman" w:hAnsi="Times New Roman" w:cs="Times New Roman"/>
                <w:sz w:val="18"/>
                <w:szCs w:val="18"/>
              </w:rPr>
            </w:pPr>
            <w:r>
              <w:rPr>
                <w:rFonts w:hint="eastAsia" w:ascii="Times New Roman" w:hAnsi="Times New Roman" w:cs="Times New Roman"/>
                <w:sz w:val="18"/>
                <w:szCs w:val="18"/>
              </w:rPr>
              <w:t>Ogata Y, Hatta W, Ohara Y, et al. Predictors of early and late mortality after the treatment for early gastric cancers. Dig Endosc. 2022;34(4):816-825. doi:10.1111/den.14172</w:t>
            </w:r>
          </w:p>
          <w:p w14:paraId="19BB9744">
            <w:pPr>
              <w:numPr>
                <w:ilvl w:val="0"/>
                <w:numId w:val="6"/>
              </w:numPr>
              <w:rPr>
                <w:rFonts w:ascii="Times New Roman" w:hAnsi="Times New Roman" w:cs="Times New Roman"/>
                <w:sz w:val="18"/>
                <w:szCs w:val="18"/>
              </w:rPr>
            </w:pPr>
            <w:r>
              <w:rPr>
                <w:rFonts w:hint="eastAsia" w:ascii="Times New Roman" w:hAnsi="Times New Roman" w:cs="Times New Roman"/>
                <w:sz w:val="18"/>
                <w:szCs w:val="18"/>
              </w:rPr>
              <w:t>Shimada T, Yamagata T, Kanno Y, et al. Predictive Factors for Short-Term Survival after Non-Curative Endoscopic Submucosal Dissection for Early Gastric Cancer. Digestion. 2021;102(4):630-639. doi:10.1159/000510165</w:t>
            </w:r>
          </w:p>
          <w:p w14:paraId="7225CA67">
            <w:pPr>
              <w:numPr>
                <w:ilvl w:val="0"/>
                <w:numId w:val="6"/>
              </w:numPr>
              <w:rPr>
                <w:rFonts w:ascii="Times New Roman" w:hAnsi="Times New Roman" w:cs="Times New Roman"/>
                <w:sz w:val="18"/>
                <w:szCs w:val="18"/>
              </w:rPr>
            </w:pPr>
            <w:r>
              <w:rPr>
                <w:rFonts w:hint="eastAsia" w:ascii="Times New Roman" w:hAnsi="Times New Roman" w:cs="Times New Roman"/>
                <w:sz w:val="18"/>
                <w:szCs w:val="18"/>
              </w:rPr>
              <w:t>Takeno S, Hashimoto T, Shibata R, et al. Improvement of high-sensitivity inflammation-based Glasgow prognostic score by gastrectomy is a favorable prognostic factor in patients with gastric cancer. Anticancer Res. 2014;34(10):5695-5702.</w:t>
            </w:r>
          </w:p>
          <w:p w14:paraId="59D07A31">
            <w:pPr>
              <w:numPr>
                <w:ilvl w:val="0"/>
                <w:numId w:val="6"/>
              </w:numPr>
              <w:rPr>
                <w:rFonts w:ascii="Times New Roman" w:hAnsi="Times New Roman" w:cs="Times New Roman"/>
                <w:sz w:val="18"/>
                <w:szCs w:val="18"/>
              </w:rPr>
            </w:pPr>
            <w:r>
              <w:rPr>
                <w:rFonts w:hint="eastAsia" w:ascii="Times New Roman" w:hAnsi="Times New Roman" w:cs="Times New Roman"/>
                <w:sz w:val="18"/>
                <w:szCs w:val="18"/>
              </w:rPr>
              <w:t>Tanaka H, Tamura T, Toyokawa T, et al. Clinical Relevance of Postoperative Neutrophil-Lymphocyte Ratio (NLR) to Recurrence After Adjuvant Chemotherapy of S-1 for Gastric Cancer. Anticancer Res. 2018;38(6):3745-3751. doi:10.21873/anticanres.12655</w:t>
            </w:r>
          </w:p>
          <w:p w14:paraId="50E8BDF0">
            <w:pPr>
              <w:numPr>
                <w:ilvl w:val="0"/>
                <w:numId w:val="6"/>
              </w:numPr>
              <w:rPr>
                <w:rFonts w:ascii="Times New Roman" w:hAnsi="Times New Roman" w:cs="Times New Roman"/>
                <w:sz w:val="18"/>
                <w:szCs w:val="18"/>
              </w:rPr>
            </w:pPr>
            <w:r>
              <w:rPr>
                <w:rFonts w:hint="eastAsia" w:ascii="Times New Roman" w:hAnsi="Times New Roman" w:cs="Times New Roman"/>
                <w:sz w:val="18"/>
                <w:szCs w:val="18"/>
              </w:rPr>
              <w:t>Tanaka H, Tamura T, Toyokawa T, et al. C-reactive protein elevation ratio as an early predictor of postoperative severe complications after laparoscopic gastrectomy for gastric cancer: a retrospective study. BMC Surg. 2019;19(1):114. Published 2019 Aug 20. doi:10.1186/s12893-019-0582-9</w:t>
            </w:r>
          </w:p>
          <w:p w14:paraId="2F435DCA">
            <w:pPr>
              <w:numPr>
                <w:ilvl w:val="0"/>
                <w:numId w:val="6"/>
              </w:numPr>
              <w:rPr>
                <w:rFonts w:ascii="Times New Roman" w:hAnsi="Times New Roman" w:cs="Times New Roman"/>
                <w:sz w:val="18"/>
                <w:szCs w:val="18"/>
              </w:rPr>
            </w:pPr>
            <w:r>
              <w:rPr>
                <w:rFonts w:hint="eastAsia" w:ascii="Times New Roman" w:hAnsi="Times New Roman" w:cs="Times New Roman"/>
                <w:sz w:val="18"/>
                <w:szCs w:val="18"/>
              </w:rPr>
              <w:t>Yildirim M, Koca B. Lymphocyte C-reactive protein ratio: A new biomarker to predict early complications after gastrointestinal oncologic surgery. Cancer Biomark. 2021;31(4):409-417. doi:10.3233/CBM-210251</w:t>
            </w:r>
          </w:p>
          <w:p w14:paraId="1B4CC020">
            <w:pPr>
              <w:numPr>
                <w:ilvl w:val="0"/>
                <w:numId w:val="6"/>
              </w:numPr>
              <w:rPr>
                <w:rFonts w:ascii="Times New Roman" w:hAnsi="Times New Roman" w:cs="Times New Roman"/>
                <w:sz w:val="18"/>
                <w:szCs w:val="18"/>
              </w:rPr>
            </w:pPr>
            <w:r>
              <w:rPr>
                <w:rFonts w:hint="eastAsia" w:ascii="Times New Roman" w:hAnsi="Times New Roman" w:cs="Times New Roman"/>
                <w:sz w:val="18"/>
                <w:szCs w:val="18"/>
              </w:rPr>
              <w:t>Ai S, Sun F, Liu Z, et al. Change in serum albumin level predicts short-term complications in patients with normal preoperative serum albumin after gastrectomy of gastric cancer. ANZ J Surg. 2019;89(7-8):E297-E301. doi:10.1111/ans.15363</w:t>
            </w:r>
          </w:p>
          <w:p w14:paraId="722F13BD">
            <w:pPr>
              <w:numPr>
                <w:ilvl w:val="0"/>
                <w:numId w:val="6"/>
              </w:numPr>
              <w:rPr>
                <w:rFonts w:ascii="Times New Roman" w:hAnsi="Times New Roman" w:cs="Times New Roman"/>
                <w:sz w:val="18"/>
                <w:szCs w:val="18"/>
              </w:rPr>
            </w:pPr>
            <w:r>
              <w:rPr>
                <w:rFonts w:hint="eastAsia" w:ascii="Times New Roman" w:hAnsi="Times New Roman" w:cs="Times New Roman"/>
                <w:sz w:val="18"/>
                <w:szCs w:val="18"/>
              </w:rPr>
              <w:t>Cananzi FCM, Biondi A, Agnes A, et al. Optimal Predictors of Postoperative Complications After Gastrectomy: Results from the Procalcitonin and C-reactive Protein for the Early Diagnosis of Anastomotic Leakage in Esophagogastric Surgery (PEDALES) Study. J Gastrointest Surg. 2023;27(3):478-488. doi:10.1007/s11605-022-05547-y</w:t>
            </w:r>
          </w:p>
          <w:p w14:paraId="052F1AC7">
            <w:pPr>
              <w:numPr>
                <w:ilvl w:val="0"/>
                <w:numId w:val="6"/>
              </w:numPr>
              <w:rPr>
                <w:rFonts w:ascii="Times New Roman" w:hAnsi="Times New Roman" w:cs="Times New Roman"/>
                <w:sz w:val="18"/>
                <w:szCs w:val="18"/>
              </w:rPr>
            </w:pPr>
            <w:r>
              <w:rPr>
                <w:rFonts w:hint="eastAsia" w:ascii="Times New Roman" w:hAnsi="Times New Roman" w:cs="Times New Roman"/>
                <w:sz w:val="18"/>
                <w:szCs w:val="18"/>
              </w:rPr>
              <w:t>Dan Zeng CD, Tong YX, Xiao AT, Gao C, Zhang S. Peripheral Lymphocyte Subsets Absolute Counts as Feasible Clinical Markers for Predicting Surgical Outcome in Gastric Cancer Patients After Laparoscopic D2 Gastrectomy: A Prospective Cohort Study. J Inflamm Res. 2021;14:5633-5646. Published 2021 Oct 29. doi:10.2147/JIR.S335847</w:t>
            </w:r>
          </w:p>
          <w:p w14:paraId="06E5BC3E">
            <w:pPr>
              <w:numPr>
                <w:ilvl w:val="0"/>
                <w:numId w:val="6"/>
              </w:numPr>
              <w:rPr>
                <w:rFonts w:ascii="Times New Roman" w:hAnsi="Times New Roman" w:cs="Times New Roman"/>
                <w:sz w:val="18"/>
                <w:szCs w:val="18"/>
              </w:rPr>
            </w:pPr>
            <w:r>
              <w:rPr>
                <w:rFonts w:hint="eastAsia" w:ascii="Times New Roman" w:hAnsi="Times New Roman" w:cs="Times New Roman"/>
                <w:sz w:val="18"/>
                <w:szCs w:val="18"/>
              </w:rPr>
              <w:t>Eom BW, Joo J, Kim YW, et al. Nomogram Estimating the Probability of Intraabdominal Abscesses after Gastrectomy in Patients with Gastric Cancer. J Gastric Cancer. 2015;15(4):262-269. doi:10.5230/jgc.2015.15.4.262</w:t>
            </w:r>
          </w:p>
          <w:p w14:paraId="29C430EA">
            <w:pPr>
              <w:numPr>
                <w:ilvl w:val="0"/>
                <w:numId w:val="6"/>
              </w:numPr>
              <w:rPr>
                <w:rFonts w:ascii="Times New Roman" w:hAnsi="Times New Roman" w:cs="Times New Roman"/>
                <w:sz w:val="18"/>
                <w:szCs w:val="18"/>
              </w:rPr>
            </w:pPr>
            <w:r>
              <w:rPr>
                <w:rFonts w:hint="eastAsia" w:ascii="Times New Roman" w:hAnsi="Times New Roman" w:cs="Times New Roman"/>
                <w:sz w:val="18"/>
                <w:szCs w:val="18"/>
              </w:rPr>
              <w:t>Guner A, Kim KY, Park SH, et al. Safe Discharge Criteria After Curative Gastrectomy for Gastric Cancer. J Gastric Cancer. 2022;22(4):395-407. doi:10.5230/jgc.2022.22.e32</w:t>
            </w:r>
          </w:p>
          <w:p w14:paraId="20F0EF0C">
            <w:pPr>
              <w:numPr>
                <w:ilvl w:val="0"/>
                <w:numId w:val="6"/>
              </w:numPr>
              <w:rPr>
                <w:rFonts w:ascii="Times New Roman" w:hAnsi="Times New Roman" w:cs="Times New Roman"/>
                <w:sz w:val="18"/>
                <w:szCs w:val="18"/>
              </w:rPr>
            </w:pPr>
            <w:r>
              <w:rPr>
                <w:rFonts w:hint="eastAsia" w:ascii="Times New Roman" w:hAnsi="Times New Roman" w:cs="Times New Roman"/>
                <w:sz w:val="18"/>
                <w:szCs w:val="18"/>
              </w:rPr>
              <w:t>Huang Y, Yang L, Yang W, et al. Interleukin-6 on postoperative day three as an early predictor of infections following laparoscopic gastric cancer resection. BMC Surg. 2024;24(1):92. Published 2024 Mar 19. doi:10.1186/s12893-024-02381-8</w:t>
            </w:r>
          </w:p>
          <w:p w14:paraId="17D91C99">
            <w:pPr>
              <w:numPr>
                <w:ilvl w:val="0"/>
                <w:numId w:val="6"/>
              </w:numPr>
              <w:rPr>
                <w:rFonts w:ascii="Times New Roman" w:hAnsi="Times New Roman" w:cs="Times New Roman"/>
                <w:sz w:val="18"/>
                <w:szCs w:val="18"/>
              </w:rPr>
            </w:pPr>
            <w:r>
              <w:rPr>
                <w:rFonts w:hint="eastAsia" w:ascii="Times New Roman" w:hAnsi="Times New Roman" w:cs="Times New Roman"/>
                <w:sz w:val="18"/>
                <w:szCs w:val="18"/>
              </w:rPr>
              <w:t>Iida M, Takeda S, Nakagami Y, et al. The effect of the visceral fat area on the predictive accuracy of C-reactive protein for infectious complications after laparoscopy-assisted gastrectomy. Ann Gastroenterol Surg. 2020;4(4):386-395. Published 2020 Mar 31. doi:10.1002/ags3.12329</w:t>
            </w:r>
          </w:p>
          <w:p w14:paraId="51B0783C">
            <w:pPr>
              <w:numPr>
                <w:ilvl w:val="0"/>
                <w:numId w:val="6"/>
              </w:numPr>
              <w:rPr>
                <w:rFonts w:ascii="Times New Roman" w:hAnsi="Times New Roman" w:cs="Times New Roman"/>
                <w:sz w:val="18"/>
                <w:szCs w:val="18"/>
              </w:rPr>
            </w:pPr>
            <w:r>
              <w:rPr>
                <w:rFonts w:hint="eastAsia" w:ascii="Times New Roman" w:hAnsi="Times New Roman" w:cs="Times New Roman"/>
                <w:sz w:val="18"/>
                <w:szCs w:val="18"/>
              </w:rPr>
              <w:t>Kim EY, Yim HW, Park CH, Song KY. C-reactive protein can be an early predictor of postoperative complications after gastrectomy for gastric cancer [published correction appears in Surg Endosc. 2017 Jan;31(1):455]. Surg Endosc. 2017;31(1):445-454. doi:10.1007/s00464-016-5272-4</w:t>
            </w:r>
          </w:p>
          <w:p w14:paraId="46986B4E">
            <w:pPr>
              <w:numPr>
                <w:ilvl w:val="0"/>
                <w:numId w:val="6"/>
              </w:numPr>
              <w:rPr>
                <w:rFonts w:ascii="Times New Roman" w:hAnsi="Times New Roman" w:cs="Times New Roman"/>
                <w:sz w:val="18"/>
                <w:szCs w:val="18"/>
              </w:rPr>
            </w:pPr>
            <w:r>
              <w:rPr>
                <w:rFonts w:hint="eastAsia" w:ascii="Times New Roman" w:hAnsi="Times New Roman" w:cs="Times New Roman"/>
                <w:sz w:val="18"/>
                <w:szCs w:val="18"/>
              </w:rPr>
              <w:t>Kim Y, Kim YM, Kim JH, Youn YH, Kim JW, Park H. Peri-operative Inflammatory Marker as a Predictive Factor for Prolonged Post-operative Ileus After Gastrectomy for Gastric Cancer. J Neurogastroenterol Motil. 2021;27(4):588-595. doi:10.5056/jnm20203</w:t>
            </w:r>
          </w:p>
          <w:p w14:paraId="3FB27F0C">
            <w:pPr>
              <w:numPr>
                <w:ilvl w:val="0"/>
                <w:numId w:val="6"/>
              </w:numPr>
              <w:rPr>
                <w:rFonts w:ascii="Times New Roman" w:hAnsi="Times New Roman" w:cs="Times New Roman"/>
                <w:sz w:val="18"/>
                <w:szCs w:val="18"/>
              </w:rPr>
            </w:pPr>
            <w:r>
              <w:rPr>
                <w:rFonts w:hint="eastAsia" w:ascii="Times New Roman" w:hAnsi="Times New Roman" w:cs="Times New Roman"/>
                <w:sz w:val="18"/>
                <w:szCs w:val="18"/>
              </w:rPr>
              <w:t>Kobayashi D, Iwata N, Tanaka C, et al. Factors related to occurrence and aggravation of pancreatic fistula after radical gastrectomy for gastric cancer. J Surg Oncol. 2015;112(4):381-386. doi:10.1002/jso.24001</w:t>
            </w:r>
          </w:p>
          <w:p w14:paraId="4D9B38A9">
            <w:pPr>
              <w:numPr>
                <w:ilvl w:val="0"/>
                <w:numId w:val="6"/>
              </w:numPr>
              <w:rPr>
                <w:rFonts w:ascii="Times New Roman" w:hAnsi="Times New Roman" w:cs="Times New Roman"/>
                <w:sz w:val="18"/>
                <w:szCs w:val="18"/>
              </w:rPr>
            </w:pPr>
            <w:r>
              <w:rPr>
                <w:rFonts w:hint="eastAsia" w:ascii="Times New Roman" w:hAnsi="Times New Roman" w:cs="Times New Roman"/>
                <w:sz w:val="18"/>
                <w:szCs w:val="18"/>
              </w:rPr>
              <w:t>Liu ZJ, Ge XL, Ai SC, et al. Postoperative decrease of serum albumin predicts short-term complications in patients undergoing gastric cancer resection. World J Gastroenterol. 2017;23(27):4978-4985. doi:10.3748/wjg.v23.i27.4978</w:t>
            </w:r>
          </w:p>
          <w:p w14:paraId="1E987CB0">
            <w:pPr>
              <w:numPr>
                <w:ilvl w:val="0"/>
                <w:numId w:val="6"/>
              </w:numPr>
              <w:rPr>
                <w:rFonts w:ascii="Times New Roman" w:hAnsi="Times New Roman" w:cs="Times New Roman"/>
                <w:sz w:val="18"/>
                <w:szCs w:val="18"/>
              </w:rPr>
            </w:pPr>
            <w:r>
              <w:rPr>
                <w:rFonts w:hint="eastAsia" w:ascii="Times New Roman" w:hAnsi="Times New Roman" w:cs="Times New Roman"/>
                <w:sz w:val="18"/>
                <w:szCs w:val="18"/>
              </w:rPr>
              <w:t>Luo B, Liao Q, Zheng J, et al. The ratio of serum C-reactive protein level on postoperative day 3 to day 2 is a good marker to predict postoperative complications after laparoscopic radical gastrectomy for gastric cancer. Langenbecks Arch Surg. 2022;407(4):1451-1460. doi:10.1007/s00423-022-02469-w</w:t>
            </w:r>
          </w:p>
          <w:p w14:paraId="7178DE4F">
            <w:pPr>
              <w:numPr>
                <w:ilvl w:val="0"/>
                <w:numId w:val="6"/>
              </w:numPr>
              <w:rPr>
                <w:rFonts w:ascii="Times New Roman" w:hAnsi="Times New Roman" w:cs="Times New Roman"/>
                <w:sz w:val="18"/>
                <w:szCs w:val="18"/>
              </w:rPr>
            </w:pPr>
            <w:r>
              <w:rPr>
                <w:rFonts w:hint="eastAsia" w:ascii="Times New Roman" w:hAnsi="Times New Roman" w:cs="Times New Roman"/>
                <w:sz w:val="18"/>
                <w:szCs w:val="18"/>
              </w:rPr>
              <w:t>Matsui K, Sakuramoto S, Sugita H, et al. C-reactive protein adjusted for body mass index as a predictor of postoperative complications following laparoscopic gastrectomy for gastric cancer. Langenbecks Arch Surg. 2021;406(6):1875-1884. doi:10.1007/s00423-021-02200-1</w:t>
            </w:r>
          </w:p>
          <w:p w14:paraId="6FCDDF82">
            <w:pPr>
              <w:numPr>
                <w:ilvl w:val="0"/>
                <w:numId w:val="6"/>
              </w:numPr>
              <w:rPr>
                <w:rFonts w:ascii="Times New Roman" w:hAnsi="Times New Roman" w:cs="Times New Roman"/>
                <w:sz w:val="18"/>
                <w:szCs w:val="18"/>
              </w:rPr>
            </w:pPr>
            <w:r>
              <w:rPr>
                <w:rFonts w:hint="eastAsia" w:ascii="Times New Roman" w:hAnsi="Times New Roman" w:cs="Times New Roman"/>
                <w:sz w:val="18"/>
                <w:szCs w:val="18"/>
              </w:rPr>
              <w:t>Nishiguchi R, Katsube T, Shimakawa T, et al. Predictive Postoperative Inflammatory Response Indicators of Infectious Complications Following Gastrectomy for Gastric Cancer. J Nippon Med Sch. 2024;91(1):37-47. doi:10.1272/jnms.JNMS.2024_91-103</w:t>
            </w:r>
          </w:p>
          <w:p w14:paraId="5BFA6195">
            <w:pPr>
              <w:numPr>
                <w:ilvl w:val="0"/>
                <w:numId w:val="6"/>
              </w:numPr>
              <w:rPr>
                <w:rFonts w:ascii="Times New Roman" w:hAnsi="Times New Roman" w:cs="Times New Roman"/>
                <w:sz w:val="18"/>
                <w:szCs w:val="18"/>
              </w:rPr>
            </w:pPr>
            <w:r>
              <w:rPr>
                <w:rFonts w:hint="eastAsia" w:ascii="Times New Roman" w:hAnsi="Times New Roman" w:cs="Times New Roman"/>
                <w:sz w:val="18"/>
                <w:szCs w:val="18"/>
              </w:rPr>
              <w:t>Obama K, Okabe H, Tsunoda S, et al. Clinical Significance of C-reactive Protein Level After Laparoscopic Gastrectomy: From a Viewpoint of Intra-Abdominal Complications. Int Surg 2015;100:1332-1339.DOI: 10.9738/INTSURG-D-15-00007.1</w:t>
            </w:r>
          </w:p>
          <w:p w14:paraId="4C268CA2">
            <w:pPr>
              <w:numPr>
                <w:ilvl w:val="0"/>
                <w:numId w:val="6"/>
              </w:numPr>
              <w:rPr>
                <w:rFonts w:ascii="Times New Roman" w:hAnsi="Times New Roman" w:cs="Times New Roman"/>
                <w:sz w:val="18"/>
                <w:szCs w:val="18"/>
              </w:rPr>
            </w:pPr>
            <w:r>
              <w:rPr>
                <w:rFonts w:hint="eastAsia" w:ascii="Times New Roman" w:hAnsi="Times New Roman" w:cs="Times New Roman"/>
                <w:sz w:val="18"/>
                <w:szCs w:val="18"/>
              </w:rPr>
              <w:t>Okubo K, Arigami T, Matsushita D, et al. Clinical impact of creatine phosphokinase and c-reactive protein as predictors of postgastrectomy complications in patients with gastric cancer. BMC Cancer. 2021;21(1):95. Published 2021 Jan 23. doi:10.1186/s12885-021-07801-z</w:t>
            </w:r>
          </w:p>
          <w:p w14:paraId="2566CEFB">
            <w:pPr>
              <w:numPr>
                <w:ilvl w:val="0"/>
                <w:numId w:val="6"/>
              </w:numPr>
              <w:rPr>
                <w:rFonts w:ascii="Times New Roman" w:hAnsi="Times New Roman" w:cs="Times New Roman"/>
                <w:sz w:val="18"/>
                <w:szCs w:val="18"/>
              </w:rPr>
            </w:pPr>
            <w:r>
              <w:rPr>
                <w:rFonts w:hint="eastAsia" w:ascii="Times New Roman" w:hAnsi="Times New Roman" w:cs="Times New Roman"/>
                <w:sz w:val="18"/>
                <w:szCs w:val="18"/>
              </w:rPr>
              <w:t>Ortiz-López D, Acosta-Mérida MA, Casimiro-Pérez JA, Silvestre-Rodríguez J, Marchena-Gómez J. First day postoperative values of the neutrophil-to-lymphocyte ratio, platelet-to-lymphocyte ratio, and C-reactive protein as complication predictors following gastric oncologic surgery. Rev Gastroenterol Mex (Engl Ed). 2022;87(2):142-148. doi:10.1016/j.rgmxen.2021.11.003</w:t>
            </w:r>
          </w:p>
          <w:p w14:paraId="55CEC597">
            <w:pPr>
              <w:numPr>
                <w:ilvl w:val="0"/>
                <w:numId w:val="6"/>
              </w:numPr>
              <w:rPr>
                <w:rFonts w:ascii="Times New Roman" w:hAnsi="Times New Roman" w:cs="Times New Roman"/>
                <w:sz w:val="18"/>
                <w:szCs w:val="18"/>
              </w:rPr>
            </w:pPr>
            <w:r>
              <w:rPr>
                <w:rFonts w:hint="eastAsia" w:ascii="Times New Roman" w:hAnsi="Times New Roman" w:cs="Times New Roman"/>
                <w:sz w:val="18"/>
                <w:szCs w:val="18"/>
              </w:rPr>
              <w:t>Park JH, Son YG, Kim TH, et al. Identification of Candidates for Early Discharge After Gastrectomy. Ann Surg Oncol. 2017;24(1):159-166. doi:10.1245/s10434-016-5447-1</w:t>
            </w:r>
          </w:p>
          <w:p w14:paraId="3EF81828">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rPr>
              <w:t xml:space="preserve">Sert OZ, Bozkurt H, Bulut IC, et al. C-Reactive Protein to Albumin Ratio: A Reliable Marker in Gastric Cancer Surgery. Indian Journal of Surgery (February 2021) 83(1):92-99. </w:t>
            </w:r>
            <w:r>
              <w:rPr>
                <w:rFonts w:hint="eastAsia" w:ascii="Times New Roman" w:hAnsi="Times New Roman" w:cs="Times New Roman"/>
                <w:sz w:val="18"/>
                <w:szCs w:val="18"/>
              </w:rPr>
              <w:fldChar w:fldCharType="begin"/>
            </w:r>
            <w:r>
              <w:rPr>
                <w:rFonts w:hint="eastAsia" w:ascii="Times New Roman" w:hAnsi="Times New Roman" w:cs="Times New Roman"/>
                <w:sz w:val="18"/>
                <w:szCs w:val="18"/>
              </w:rPr>
              <w:instrText xml:space="preserve"> HYPERLINK "https://doi.org/10.1007/s12262-020-02310-y." </w:instrText>
            </w:r>
            <w:r>
              <w:rPr>
                <w:rFonts w:hint="eastAsia" w:ascii="Times New Roman" w:hAnsi="Times New Roman" w:cs="Times New Roman"/>
                <w:sz w:val="18"/>
                <w:szCs w:val="18"/>
              </w:rPr>
              <w:fldChar w:fldCharType="separate"/>
            </w:r>
            <w:r>
              <w:rPr>
                <w:rFonts w:hint="eastAsia" w:ascii="Times New Roman" w:hAnsi="Times New Roman" w:cs="Times New Roman"/>
                <w:sz w:val="18"/>
                <w:szCs w:val="18"/>
              </w:rPr>
              <w:t>https://doi.org/10.1007/s12262-020-02310-y.</w:t>
            </w:r>
            <w:r>
              <w:rPr>
                <w:rFonts w:hint="eastAsia" w:ascii="Times New Roman" w:hAnsi="Times New Roman" w:cs="Times New Roman"/>
                <w:sz w:val="18"/>
                <w:szCs w:val="18"/>
              </w:rPr>
              <w:fldChar w:fldCharType="end"/>
            </w:r>
          </w:p>
          <w:p w14:paraId="6D729F03">
            <w:pPr>
              <w:numPr>
                <w:ilvl w:val="0"/>
                <w:numId w:val="6"/>
              </w:numPr>
              <w:rPr>
                <w:rFonts w:ascii="Times New Roman" w:hAnsi="Times New Roman" w:cs="Times New Roman"/>
                <w:sz w:val="18"/>
                <w:szCs w:val="18"/>
              </w:rPr>
            </w:pPr>
            <w:r>
              <w:rPr>
                <w:rFonts w:hint="eastAsia" w:ascii="Times New Roman" w:hAnsi="Times New Roman" w:cs="Times New Roman"/>
                <w:sz w:val="18"/>
                <w:szCs w:val="18"/>
              </w:rPr>
              <w:t>Shi J, Wu Z, Wang Q, et al. Clinical predictive efficacy of C-reactive protein for diagnosing infectious complications after gastric surgery. Therap Adv Gastroenterol. 2020;13:1756284820936542. Published 2020 Jul 3. doi:10.1177/1756284820936542</w:t>
            </w:r>
          </w:p>
          <w:p w14:paraId="31B96D22">
            <w:pPr>
              <w:numPr>
                <w:ilvl w:val="0"/>
                <w:numId w:val="6"/>
              </w:numPr>
              <w:rPr>
                <w:rFonts w:ascii="Times New Roman" w:hAnsi="Times New Roman" w:cs="Times New Roman"/>
                <w:sz w:val="18"/>
                <w:szCs w:val="18"/>
              </w:rPr>
            </w:pPr>
            <w:r>
              <w:rPr>
                <w:rFonts w:hint="eastAsia" w:ascii="Times New Roman" w:hAnsi="Times New Roman" w:cs="Times New Roman"/>
                <w:sz w:val="18"/>
                <w:szCs w:val="18"/>
              </w:rPr>
              <w:t>Shishido Y, Fujitani K, Yamamoto K, Hirao M, Tsujinaka T, Sekimoto M. C-reactive protein on postoperative day 3 as a predictor of infectious complications following gastric cancer resection. Gastric Cancer. 2016;19(1):293-301. doi:10.1007/s10120-014-0455-y</w:t>
            </w:r>
          </w:p>
          <w:p w14:paraId="54933BF1">
            <w:pPr>
              <w:numPr>
                <w:ilvl w:val="0"/>
                <w:numId w:val="6"/>
              </w:numPr>
              <w:rPr>
                <w:rFonts w:ascii="Times New Roman" w:hAnsi="Times New Roman" w:cs="Times New Roman"/>
                <w:sz w:val="18"/>
                <w:szCs w:val="18"/>
              </w:rPr>
            </w:pPr>
            <w:r>
              <w:rPr>
                <w:rFonts w:hint="eastAsia" w:ascii="Times New Roman" w:hAnsi="Times New Roman" w:cs="Times New Roman"/>
                <w:sz w:val="18"/>
                <w:szCs w:val="18"/>
              </w:rPr>
              <w:t>Sun F, Ge X, Liu Z, Du S, Ai S, Guan W. Postoperative C-reactive protein/albumin ratio as a novel predictor for short-term complications following gastrectomy of gastric cancer. World J Surg Oncol. 2017;15(1):191. Published 2017 Oct 24. doi:10.1186/s12957-017-1258-5</w:t>
            </w:r>
          </w:p>
          <w:p w14:paraId="4C1006E8">
            <w:pPr>
              <w:numPr>
                <w:ilvl w:val="0"/>
                <w:numId w:val="6"/>
              </w:numPr>
              <w:rPr>
                <w:rFonts w:ascii="Times New Roman" w:hAnsi="Times New Roman" w:cs="Times New Roman"/>
                <w:sz w:val="18"/>
                <w:szCs w:val="18"/>
              </w:rPr>
            </w:pPr>
            <w:r>
              <w:rPr>
                <w:rFonts w:hint="eastAsia" w:ascii="Times New Roman" w:hAnsi="Times New Roman" w:cs="Times New Roman"/>
                <w:sz w:val="18"/>
                <w:szCs w:val="18"/>
              </w:rPr>
              <w:t>Wakahara T, Kanemitsu K, Asari S, et al. The Combined Use of Drainage Amylase Concentration and Serum C-reactive Protein as Predictors of Pancreas-Related Complications after Elective Gastrectomy. Oncology. 2020;98(2):111-116. doi:10.1159/000503581</w:t>
            </w:r>
          </w:p>
          <w:p w14:paraId="3BA3C7A1">
            <w:pPr>
              <w:numPr>
                <w:ilvl w:val="0"/>
                <w:numId w:val="6"/>
              </w:numPr>
              <w:rPr>
                <w:rFonts w:ascii="Times New Roman" w:hAnsi="Times New Roman" w:cs="Times New Roman"/>
                <w:sz w:val="18"/>
                <w:szCs w:val="18"/>
              </w:rPr>
            </w:pPr>
            <w:r>
              <w:rPr>
                <w:rFonts w:hint="eastAsia" w:ascii="Times New Roman" w:hAnsi="Times New Roman" w:cs="Times New Roman"/>
                <w:sz w:val="18"/>
                <w:szCs w:val="18"/>
              </w:rPr>
              <w:t>Yamada S, Yagi S, Sato K, et al. Serum C-reactive protein level on first postoperative day can predict occurrence of postoperative pancreatic fistula after laparoscopic gastrectomy. J Med Invest. 2019;66(3.4):285-288. doi:10.2152/jmi.66.285</w:t>
            </w:r>
          </w:p>
          <w:p w14:paraId="4C731AF6">
            <w:pPr>
              <w:numPr>
                <w:ilvl w:val="0"/>
                <w:numId w:val="6"/>
              </w:numPr>
              <w:rPr>
                <w:rFonts w:ascii="Times New Roman" w:hAnsi="Times New Roman" w:cs="Times New Roman"/>
                <w:sz w:val="18"/>
                <w:szCs w:val="18"/>
              </w:rPr>
            </w:pPr>
            <w:r>
              <w:rPr>
                <w:rFonts w:hint="eastAsia" w:ascii="Times New Roman" w:hAnsi="Times New Roman" w:cs="Times New Roman"/>
                <w:sz w:val="18"/>
                <w:szCs w:val="18"/>
              </w:rPr>
              <w:t>Yamamoto H, Maeda K, Uji Y, et al. Association between reduction of plasma adiponectin levels and risk of bacterial infection after gastric cancer surgery. PLoS One. 2013;8(3):e56129. doi:10.1371/journal.pone.0056129</w:t>
            </w:r>
          </w:p>
          <w:p w14:paraId="4280EE43">
            <w:pPr>
              <w:numPr>
                <w:ilvl w:val="0"/>
                <w:numId w:val="6"/>
              </w:numPr>
              <w:rPr>
                <w:rFonts w:ascii="Times New Roman" w:hAnsi="Times New Roman" w:cs="Times New Roman"/>
                <w:sz w:val="18"/>
                <w:szCs w:val="18"/>
              </w:rPr>
            </w:pPr>
            <w:r>
              <w:rPr>
                <w:rFonts w:hint="eastAsia" w:ascii="Times New Roman" w:hAnsi="Times New Roman" w:cs="Times New Roman"/>
                <w:sz w:val="18"/>
                <w:szCs w:val="18"/>
              </w:rPr>
              <w:t>Yang W, Chen X, Zhang P, et al. Procalcitonin as an Early Predictor of Intra-abdominal Infections Following Gastric Cancer Resection. J Surg Res. 2021;258:352-361. doi:10.1016/j.jss.2020.08.037</w:t>
            </w:r>
          </w:p>
          <w:p w14:paraId="5BA6A09F">
            <w:pPr>
              <w:numPr>
                <w:ilvl w:val="0"/>
                <w:numId w:val="6"/>
              </w:numPr>
              <w:rPr>
                <w:rFonts w:ascii="Times New Roman" w:hAnsi="Times New Roman" w:cs="Times New Roman"/>
                <w:sz w:val="18"/>
                <w:szCs w:val="18"/>
              </w:rPr>
            </w:pPr>
            <w:r>
              <w:rPr>
                <w:rFonts w:hint="eastAsia" w:ascii="Times New Roman" w:hAnsi="Times New Roman" w:cs="Times New Roman"/>
                <w:sz w:val="18"/>
                <w:szCs w:val="18"/>
              </w:rPr>
              <w:t>Zhang K, Xi H, Wu X, et al. Ability of Serum C-Reactive Protein Concentrations to Predict Complications After Laparoscopy-Assisted Gastrectomy: A Prospective Cohort Study. Medicine (Baltimore). 2016;95(21):e3798. doi:10.1097/MD.0000000000003798</w:t>
            </w:r>
          </w:p>
          <w:p w14:paraId="3B655BAE">
            <w:pPr>
              <w:numPr>
                <w:ilvl w:val="0"/>
                <w:numId w:val="6"/>
              </w:numPr>
              <w:rPr>
                <w:rFonts w:ascii="Times New Roman" w:hAnsi="Times New Roman" w:cs="Times New Roman"/>
                <w:sz w:val="18"/>
                <w:szCs w:val="18"/>
              </w:rPr>
            </w:pPr>
            <w:r>
              <w:rPr>
                <w:rFonts w:ascii="Times New Roman" w:hAnsi="Times New Roman" w:cs="Times New Roman"/>
                <w:sz w:val="18"/>
                <w:szCs w:val="18"/>
              </w:rPr>
              <w:t>Kano K, Tamagawa H, Sawazaki S, et al. The Postoperative C-Reactive Protein Level Is an Early Predictor of Infectious Complications after Gastric Cancer Resection. Gan To Kagaku Ryoho. 2015 Oct;42(10):1256-8. Japanese. PMID: 26489564.</w:t>
            </w:r>
          </w:p>
          <w:p w14:paraId="793842B0">
            <w:pPr>
              <w:numPr>
                <w:ilvl w:val="0"/>
                <w:numId w:val="6"/>
              </w:numPr>
              <w:rPr>
                <w:rFonts w:ascii="Times New Roman" w:hAnsi="Times New Roman" w:cs="Times New Roman"/>
                <w:sz w:val="18"/>
                <w:szCs w:val="18"/>
              </w:rPr>
            </w:pPr>
            <w:r>
              <w:rPr>
                <w:rFonts w:hint="eastAsia" w:ascii="Times New Roman" w:hAnsi="Times New Roman" w:cs="Times New Roman"/>
                <w:sz w:val="18"/>
                <w:szCs w:val="18"/>
              </w:rPr>
              <w:t xml:space="preserve">Zhou FC, Li SK, Zhou YB, et al. Multivariate analysis of risk factors of postoperative complications in patients with gastric cancer. Chinese Journal of Practical Surgery. </w:t>
            </w:r>
            <w:r>
              <w:rPr>
                <w:rFonts w:ascii="Times New Roman" w:hAnsi="Times New Roman" w:cs="Times New Roman"/>
                <w:sz w:val="18"/>
                <w:szCs w:val="18"/>
              </w:rPr>
              <w:t>2010,30(8):687-690.</w:t>
            </w:r>
          </w:p>
          <w:p w14:paraId="45897901">
            <w:pPr>
              <w:numPr>
                <w:ilvl w:val="0"/>
                <w:numId w:val="6"/>
              </w:numPr>
              <w:rPr>
                <w:rFonts w:ascii="Times New Roman" w:hAnsi="Times New Roman" w:cs="Times New Roman"/>
                <w:sz w:val="18"/>
                <w:szCs w:val="18"/>
              </w:rPr>
            </w:pPr>
            <w:r>
              <w:rPr>
                <w:rFonts w:hint="eastAsia" w:ascii="Times New Roman" w:hAnsi="Times New Roman" w:cs="Times New Roman"/>
                <w:sz w:val="18"/>
                <w:szCs w:val="18"/>
              </w:rPr>
              <w:t>Fan HX, Ni JX, Bo B, et al. The value of C-reactive protein ratio as an early predictor of postoperative severe complications after laparoscopic gastrectomy for gastric cancer.</w:t>
            </w:r>
            <w:r>
              <w:rPr>
                <w:rFonts w:hint="eastAsia" w:ascii="微软雅黑" w:hAnsi="微软雅黑" w:eastAsia="微软雅黑" w:cs="宋体"/>
                <w:b/>
                <w:bCs/>
                <w:color w:val="000000"/>
                <w:kern w:val="0"/>
                <w:szCs w:val="21"/>
              </w:rPr>
              <w:t xml:space="preserve"> </w:t>
            </w:r>
            <w:r>
              <w:rPr>
                <w:rFonts w:hint="eastAsia" w:ascii="Times New Roman" w:hAnsi="Times New Roman" w:cs="Times New Roman"/>
                <w:sz w:val="18"/>
                <w:szCs w:val="18"/>
              </w:rPr>
              <w:t>Chinese Journal of Bases and Clinics in General Surgery.</w:t>
            </w:r>
            <w:r>
              <w:t xml:space="preserve"> </w:t>
            </w:r>
            <w:r>
              <w:rPr>
                <w:rFonts w:ascii="Times New Roman" w:hAnsi="Times New Roman" w:cs="Times New Roman"/>
                <w:sz w:val="18"/>
                <w:szCs w:val="18"/>
              </w:rPr>
              <w:t>2021,28(1):67-72.</w:t>
            </w:r>
            <w:r>
              <w:rPr>
                <w:rFonts w:hint="eastAsia" w:ascii="Times New Roman" w:hAnsi="Times New Roman" w:cs="Times New Roman"/>
                <w:sz w:val="18"/>
                <w:szCs w:val="18"/>
              </w:rPr>
              <w:t xml:space="preserve"> </w:t>
            </w:r>
            <w:r>
              <w:rPr>
                <w:rFonts w:ascii="Times New Roman" w:hAnsi="Times New Roman" w:cs="Times New Roman"/>
                <w:sz w:val="18"/>
                <w:szCs w:val="18"/>
              </w:rPr>
              <w:t>DOI:10.7507/1007-9424.202003141.</w:t>
            </w:r>
          </w:p>
          <w:p w14:paraId="0E592D70">
            <w:pPr>
              <w:numPr>
                <w:ilvl w:val="0"/>
                <w:numId w:val="6"/>
              </w:numPr>
              <w:rPr>
                <w:rFonts w:ascii="Times New Roman" w:hAnsi="Times New Roman" w:cs="Times New Roman"/>
                <w:sz w:val="18"/>
                <w:szCs w:val="18"/>
              </w:rPr>
            </w:pPr>
            <w:r>
              <w:rPr>
                <w:rFonts w:hint="eastAsia" w:ascii="Times New Roman" w:hAnsi="Times New Roman" w:cs="Times New Roman"/>
                <w:sz w:val="18"/>
                <w:szCs w:val="18"/>
              </w:rPr>
              <w:t xml:space="preserve">Jiang YQ, Cao H, Jiang B, et al. Analysis of Clavien-Dindo classification and risk factors for postoperative complications of laparoscopy-assisted radical gastrectomy for gastric cancer. Chinese Journal of General Surgery. </w:t>
            </w:r>
            <w:r>
              <w:rPr>
                <w:rFonts w:ascii="Times New Roman" w:hAnsi="Times New Roman" w:cs="Times New Roman"/>
                <w:sz w:val="18"/>
                <w:szCs w:val="18"/>
              </w:rPr>
              <w:t>2018,27(10):1312-1319.</w:t>
            </w:r>
            <w:r>
              <w:rPr>
                <w:rFonts w:hint="eastAsia" w:ascii="Times New Roman" w:hAnsi="Times New Roman" w:cs="Times New Roman"/>
                <w:sz w:val="18"/>
                <w:szCs w:val="18"/>
              </w:rPr>
              <w:t xml:space="preserve"> </w:t>
            </w:r>
            <w:r>
              <w:rPr>
                <w:rFonts w:ascii="Times New Roman" w:hAnsi="Times New Roman" w:cs="Times New Roman"/>
                <w:sz w:val="18"/>
                <w:szCs w:val="18"/>
              </w:rPr>
              <w:t>DOI:</w:t>
            </w:r>
            <w:r>
              <w:rPr>
                <w:rFonts w:hint="eastAsia" w:ascii="Times New Roman" w:hAnsi="Times New Roman" w:cs="Times New Roman"/>
                <w:sz w:val="18"/>
                <w:szCs w:val="18"/>
              </w:rPr>
              <w:t xml:space="preserve"> </w:t>
            </w:r>
            <w:r>
              <w:rPr>
                <w:rFonts w:ascii="Times New Roman" w:hAnsi="Times New Roman" w:cs="Times New Roman"/>
                <w:sz w:val="18"/>
                <w:szCs w:val="18"/>
              </w:rPr>
              <w:t>10.7659/j.issn.1005-6947.2018.10.014.</w:t>
            </w:r>
          </w:p>
          <w:p w14:paraId="10CDD030">
            <w:pPr>
              <w:numPr>
                <w:ilvl w:val="0"/>
                <w:numId w:val="6"/>
              </w:numPr>
              <w:rPr>
                <w:rFonts w:ascii="Times New Roman" w:hAnsi="Times New Roman" w:cs="Times New Roman"/>
                <w:sz w:val="18"/>
                <w:szCs w:val="18"/>
              </w:rPr>
            </w:pPr>
            <w:r>
              <w:rPr>
                <w:rFonts w:hint="eastAsia" w:ascii="Times New Roman" w:hAnsi="Times New Roman" w:cs="Times New Roman"/>
                <w:sz w:val="18"/>
                <w:szCs w:val="18"/>
              </w:rPr>
              <w:t>Jin X, Zhang CW, Cai JB, et al. C-reactive Protein as an Early Predictor for Anastomotic Leakage in D2 Gastrectomy.</w:t>
            </w:r>
            <w:r>
              <w:rPr>
                <w:rFonts w:hint="eastAsia" w:ascii="微软雅黑" w:hAnsi="微软雅黑" w:eastAsia="微软雅黑" w:cs="宋体"/>
                <w:b/>
                <w:bCs/>
                <w:color w:val="000000"/>
                <w:kern w:val="0"/>
                <w:szCs w:val="21"/>
              </w:rPr>
              <w:t xml:space="preserve"> </w:t>
            </w:r>
            <w:r>
              <w:rPr>
                <w:rFonts w:hint="eastAsia" w:ascii="Times New Roman" w:hAnsi="Times New Roman" w:cs="Times New Roman"/>
                <w:sz w:val="18"/>
                <w:szCs w:val="18"/>
              </w:rPr>
              <w:t>Qinghai Medical Journal.</w:t>
            </w:r>
            <w:r>
              <w:t xml:space="preserve"> </w:t>
            </w:r>
            <w:r>
              <w:rPr>
                <w:rFonts w:ascii="Times New Roman" w:hAnsi="Times New Roman" w:cs="Times New Roman"/>
                <w:sz w:val="18"/>
                <w:szCs w:val="18"/>
              </w:rPr>
              <w:t>2020,50(6):1-5.</w:t>
            </w:r>
          </w:p>
          <w:p w14:paraId="1E4FE7FA">
            <w:pPr>
              <w:numPr>
                <w:ilvl w:val="0"/>
                <w:numId w:val="6"/>
              </w:numPr>
              <w:rPr>
                <w:rFonts w:ascii="Times New Roman" w:hAnsi="Times New Roman" w:cs="Times New Roman"/>
                <w:sz w:val="18"/>
                <w:szCs w:val="18"/>
              </w:rPr>
            </w:pPr>
            <w:r>
              <w:rPr>
                <w:rFonts w:hint="eastAsia" w:ascii="Times New Roman" w:hAnsi="Times New Roman" w:cs="Times New Roman"/>
                <w:sz w:val="18"/>
                <w:szCs w:val="18"/>
              </w:rPr>
              <w:t>Qian XM, Qian DX, Zhu BY, et al.</w:t>
            </w:r>
            <w:r>
              <w:rPr>
                <w:rFonts w:hint="eastAsia" w:ascii="微软雅黑" w:hAnsi="微软雅黑" w:eastAsia="微软雅黑" w:cs="宋体"/>
                <w:b/>
                <w:bCs/>
                <w:color w:val="999999"/>
                <w:kern w:val="0"/>
                <w:sz w:val="20"/>
                <w:szCs w:val="20"/>
              </w:rPr>
              <w:t xml:space="preserve"> </w:t>
            </w:r>
            <w:r>
              <w:rPr>
                <w:rFonts w:hint="eastAsia" w:ascii="Times New Roman" w:hAnsi="Times New Roman" w:cs="Times New Roman"/>
                <w:sz w:val="18"/>
                <w:szCs w:val="18"/>
              </w:rPr>
              <w:t xml:space="preserve">Correlation analysis of CD4+ /CD8+, CRP and IL-6 levels and postoperative nos-ocomial infection in patients with gastric cancer. Journal of Clinical Psychosomatic Diseases. </w:t>
            </w:r>
            <w:r>
              <w:rPr>
                <w:rFonts w:ascii="Times New Roman" w:hAnsi="Times New Roman" w:cs="Times New Roman"/>
                <w:sz w:val="18"/>
                <w:szCs w:val="18"/>
              </w:rPr>
              <w:t>2022,28(1):128-132.</w:t>
            </w:r>
            <w:r>
              <w:rPr>
                <w:rFonts w:hint="eastAsia" w:ascii="Times New Roman" w:hAnsi="Times New Roman" w:cs="Times New Roman"/>
                <w:sz w:val="18"/>
                <w:szCs w:val="18"/>
              </w:rPr>
              <w:t xml:space="preserve"> </w:t>
            </w:r>
            <w:r>
              <w:rPr>
                <w:rFonts w:ascii="Times New Roman" w:hAnsi="Times New Roman" w:cs="Times New Roman"/>
                <w:sz w:val="18"/>
                <w:szCs w:val="18"/>
              </w:rPr>
              <w:t>DOI:</w:t>
            </w:r>
            <w:r>
              <w:rPr>
                <w:rFonts w:hint="eastAsia" w:ascii="Times New Roman" w:hAnsi="Times New Roman" w:cs="Times New Roman"/>
                <w:sz w:val="18"/>
                <w:szCs w:val="18"/>
              </w:rPr>
              <w:t xml:space="preserve"> </w:t>
            </w:r>
            <w:r>
              <w:rPr>
                <w:rFonts w:ascii="Times New Roman" w:hAnsi="Times New Roman" w:cs="Times New Roman"/>
                <w:sz w:val="18"/>
                <w:szCs w:val="18"/>
              </w:rPr>
              <w:t>10.3969/j.issn.1672-187X.2022.01.027.</w:t>
            </w:r>
          </w:p>
          <w:p w14:paraId="2EE62ABC">
            <w:pPr>
              <w:numPr>
                <w:ilvl w:val="0"/>
                <w:numId w:val="6"/>
              </w:numPr>
              <w:rPr>
                <w:rFonts w:ascii="Times New Roman" w:hAnsi="Times New Roman" w:cs="Times New Roman"/>
                <w:sz w:val="18"/>
                <w:szCs w:val="18"/>
              </w:rPr>
            </w:pPr>
            <w:r>
              <w:rPr>
                <w:rFonts w:hint="eastAsia" w:ascii="Times New Roman" w:hAnsi="Times New Roman" w:cs="Times New Roman"/>
                <w:sz w:val="18"/>
                <w:szCs w:val="18"/>
              </w:rPr>
              <w:t xml:space="preserve">Tian Q, Feng Y, Liu SJ, et al. Accuracy analysis of amylase, C-reactive protein and procalcitonin in abdominal cavity of postoperative gastric cancer in predicting the occurrence of clinically related pancreatic fistula. International Journal of Surgery. </w:t>
            </w:r>
            <w:r>
              <w:rPr>
                <w:rFonts w:ascii="Times New Roman" w:hAnsi="Times New Roman" w:cs="Times New Roman"/>
                <w:sz w:val="18"/>
                <w:szCs w:val="18"/>
              </w:rPr>
              <w:t>2022,49(5):333-337,</w:t>
            </w:r>
            <w:r>
              <w:rPr>
                <w:rFonts w:hint="eastAsia" w:ascii="Times New Roman" w:hAnsi="Times New Roman" w:cs="Times New Roman"/>
                <w:sz w:val="18"/>
                <w:szCs w:val="18"/>
              </w:rPr>
              <w:t xml:space="preserve"> </w:t>
            </w:r>
            <w:r>
              <w:rPr>
                <w:rFonts w:ascii="Times New Roman" w:hAnsi="Times New Roman" w:cs="Times New Roman"/>
                <w:sz w:val="18"/>
                <w:szCs w:val="18"/>
              </w:rPr>
              <w:t>C2.</w:t>
            </w:r>
            <w:r>
              <w:rPr>
                <w:rFonts w:hint="eastAsia" w:ascii="Times New Roman" w:hAnsi="Times New Roman" w:cs="Times New Roman"/>
                <w:sz w:val="18"/>
                <w:szCs w:val="18"/>
              </w:rPr>
              <w:t xml:space="preserve"> </w:t>
            </w:r>
            <w:r>
              <w:rPr>
                <w:rFonts w:ascii="Times New Roman" w:hAnsi="Times New Roman" w:cs="Times New Roman"/>
                <w:sz w:val="18"/>
                <w:szCs w:val="18"/>
              </w:rPr>
              <w:t>DOI:10.3760/cma.j.issn115396-20220417-00125.</w:t>
            </w:r>
          </w:p>
          <w:p w14:paraId="5BBBA97B">
            <w:pPr>
              <w:numPr>
                <w:ilvl w:val="0"/>
                <w:numId w:val="6"/>
              </w:numPr>
              <w:rPr>
                <w:rFonts w:ascii="Times New Roman" w:hAnsi="Times New Roman" w:cs="Times New Roman"/>
                <w:sz w:val="18"/>
                <w:szCs w:val="18"/>
              </w:rPr>
            </w:pPr>
            <w:r>
              <w:rPr>
                <w:rFonts w:hint="eastAsia" w:ascii="Times New Roman" w:hAnsi="Times New Roman" w:cs="Times New Roman"/>
                <w:sz w:val="18"/>
                <w:szCs w:val="18"/>
              </w:rPr>
              <w:t xml:space="preserve">Wang Z, Wang ZK, Zhu GY. </w:t>
            </w:r>
            <w:r>
              <w:rPr>
                <w:rFonts w:ascii="Times New Roman" w:hAnsi="Times New Roman" w:cs="Times New Roman"/>
                <w:sz w:val="18"/>
                <w:szCs w:val="18"/>
              </w:rPr>
              <w:t>Significance of Combined Determination of C-Reaction Protein and T Lym- phocyte Subsets in Staging of Gastric Cancer and Inflammatory Response</w:t>
            </w:r>
            <w:r>
              <w:rPr>
                <w:rFonts w:hint="eastAsia" w:ascii="Times New Roman" w:hAnsi="Times New Roman" w:cs="Times New Roman"/>
                <w:sz w:val="18"/>
                <w:szCs w:val="18"/>
              </w:rPr>
              <w:t>. Modern Diagnosis and Treatment. 2009,20(01):7-8.</w:t>
            </w:r>
          </w:p>
          <w:p w14:paraId="7B85E165">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rPr>
              <w:t xml:space="preserve">Yu ZP, Gao P, Peng XG, et al. </w:t>
            </w:r>
            <w:r>
              <w:rPr>
                <w:rFonts w:ascii="Times New Roman" w:hAnsi="Times New Roman" w:cs="Times New Roman"/>
                <w:sz w:val="18"/>
                <w:szCs w:val="18"/>
              </w:rPr>
              <w:t>The Relationship between C Reactive Protein, Leukocyte Count and T-lymphoid Subsets and Postoperative Infectious Complications of Gastric Cancer and Its Diagnostic Value</w:t>
            </w:r>
            <w:r>
              <w:rPr>
                <w:rFonts w:hint="eastAsia" w:ascii="Times New Roman" w:hAnsi="Times New Roman" w:cs="Times New Roman"/>
                <w:sz w:val="18"/>
                <w:szCs w:val="18"/>
              </w:rPr>
              <w:t>.</w:t>
            </w:r>
            <w:r>
              <w:rPr>
                <w:rFonts w:hint="eastAsia" w:ascii="微软雅黑" w:hAnsi="微软雅黑" w:eastAsia="微软雅黑"/>
                <w:color w:val="555555"/>
                <w:sz w:val="18"/>
                <w:szCs w:val="18"/>
                <w:shd w:val="clear" w:color="auto" w:fill="F7F7F7"/>
              </w:rPr>
              <w:t xml:space="preserve"> </w:t>
            </w:r>
            <w:r>
              <w:rPr>
                <w:rFonts w:hint="eastAsia" w:ascii="Times New Roman" w:hAnsi="Times New Roman" w:cs="Times New Roman"/>
                <w:sz w:val="18"/>
                <w:szCs w:val="18"/>
              </w:rPr>
              <w:t>Progress in Modern Biomedicine. 2020,20(20):3923-3928. DOI: 10.13241/j.cnki.pmb.2020.20.027.</w:t>
            </w:r>
          </w:p>
          <w:p w14:paraId="369FD9FF">
            <w:pPr>
              <w:numPr>
                <w:ilvl w:val="0"/>
                <w:numId w:val="6"/>
              </w:numPr>
              <w:rPr>
                <w:rFonts w:hint="eastAsia" w:ascii="Times New Roman" w:hAnsi="Times New Roman" w:cs="Times New Roman" w:eastAsiaTheme="minorEastAsia"/>
                <w:b w:val="0"/>
                <w:bCs w:val="0"/>
                <w:kern w:val="2"/>
                <w:sz w:val="18"/>
                <w:szCs w:val="18"/>
                <w:lang w:val="en-US" w:eastAsia="zh-CN" w:bidi="ar-SA"/>
              </w:rPr>
            </w:pPr>
            <w:r>
              <w:rPr>
                <w:rFonts w:hint="eastAsia" w:ascii="Times New Roman" w:hAnsi="Times New Roman" w:cs="Times New Roman"/>
                <w:sz w:val="18"/>
                <w:szCs w:val="18"/>
              </w:rPr>
              <w:t>Yuan JL, Wen X, Xiong P, Pei L. Predictive value of C-reactive protein, procalcitonin, and total bilirubin levels for pancreatic fistula after gastrectomy for gastric cancer. World J Gastrointest Surg. 2025;17(2):103266. doi:10.4240/wjgs.v17.i2.103266</w:t>
            </w:r>
          </w:p>
          <w:p w14:paraId="0B2E9821">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Xu XL, Du XH, Li SY, et al.Value of postoperative C-reactive protein/albumin ratio in predicting short-term complication occurrence following radical gastrectomy for gastric cancer.</w:t>
            </w:r>
            <w:r>
              <w:rPr>
                <w:rFonts w:hint="eastAsia" w:ascii="Times New Roman" w:hAnsi="Times New Roman" w:cs="Times New Roman"/>
                <w:sz w:val="18"/>
                <w:szCs w:val="18"/>
              </w:rPr>
              <w:t> Academic Journal of Chinese Pla Medical School,</w:t>
            </w:r>
            <w:r>
              <w:rPr>
                <w:rFonts w:hint="eastAsia" w:ascii="Times New Roman" w:hAnsi="Times New Roman" w:cs="Times New Roman"/>
                <w:sz w:val="18"/>
                <w:szCs w:val="18"/>
                <w:lang w:val="en-US" w:eastAsia="zh-CN"/>
              </w:rPr>
              <w:t xml:space="preserve"> </w:t>
            </w:r>
            <w:r>
              <w:rPr>
                <w:rFonts w:hint="eastAsia" w:ascii="Times New Roman" w:hAnsi="Times New Roman" w:cs="Times New Roman"/>
                <w:sz w:val="18"/>
                <w:szCs w:val="18"/>
              </w:rPr>
              <w:t>2019,40(10):911-915,926.DOI:10.3969/j.issn.2095-5227.2019.10.002.</w:t>
            </w:r>
          </w:p>
          <w:p w14:paraId="57478CD5">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Han HC</w:t>
            </w:r>
            <w:r>
              <w:rPr>
                <w:rFonts w:hint="default" w:ascii="Times New Roman" w:hAnsi="Times New Roman" w:cs="Times New Roman"/>
                <w:sz w:val="18"/>
                <w:szCs w:val="18"/>
                <w:lang w:val="en-US" w:eastAsia="zh-CN"/>
              </w:rPr>
              <w:t>, Wang AK.</w:t>
            </w:r>
            <w:r>
              <w:rPr>
                <w:rFonts w:hint="default" w:ascii="Times New Roman" w:hAnsi="Times New Roman" w:cs="Times New Roman"/>
                <w:sz w:val="18"/>
                <w:szCs w:val="18"/>
              </w:rPr>
              <w:t>Prognostic value of serum C-reactive protein to albumin ratio for early anastomotic fistula in patients with gastric cancer after total gastrectomy</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rPr>
              <w:t>Ji</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rPr>
              <w:t>lin Medical Journal,2025,46(2):351-354.</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rPr>
              <w:t>DOI:10.3969/j.issn.1004-0412.2025.02.026.</w:t>
            </w:r>
          </w:p>
          <w:p w14:paraId="62DB8123">
            <w:pPr>
              <w:numPr>
                <w:ilvl w:val="0"/>
                <w:numId w:val="6"/>
              </w:numPr>
              <w:rPr>
                <w:rFonts w:hint="eastAsia" w:ascii="Times New Roman" w:hAnsi="Times New Roman" w:cs="Times New Roman"/>
                <w:sz w:val="18"/>
                <w:szCs w:val="18"/>
              </w:rPr>
            </w:pPr>
            <w:r>
              <w:rPr>
                <w:rFonts w:hint="default" w:ascii="Times New Roman" w:hAnsi="Times New Roman" w:cs="Times New Roman"/>
                <w:sz w:val="18"/>
                <w:szCs w:val="18"/>
                <w:lang w:val="en-US" w:eastAsia="zh-CN"/>
              </w:rPr>
              <w:t>WANG K</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LUO S</w:t>
            </w:r>
            <w:r>
              <w:rPr>
                <w:rFonts w:hint="eastAsia" w:ascii="Times New Roman" w:hAnsi="Times New Roman" w:cs="Times New Roman"/>
                <w:sz w:val="18"/>
                <w:szCs w:val="18"/>
                <w:lang w:val="en-US" w:eastAsia="zh-CN"/>
              </w:rPr>
              <w:t xml:space="preserve">Q, </w:t>
            </w:r>
            <w:r>
              <w:rPr>
                <w:rFonts w:hint="default" w:ascii="Times New Roman" w:hAnsi="Times New Roman" w:cs="Times New Roman"/>
                <w:sz w:val="18"/>
                <w:szCs w:val="18"/>
                <w:lang w:val="en-US" w:eastAsia="zh-CN"/>
              </w:rPr>
              <w:t>HAN S</w:t>
            </w:r>
            <w:r>
              <w:rPr>
                <w:rFonts w:hint="eastAsia" w:ascii="Times New Roman" w:hAnsi="Times New Roman" w:cs="Times New Roman"/>
                <w:sz w:val="18"/>
                <w:szCs w:val="18"/>
                <w:lang w:val="en-US" w:eastAsia="zh-CN"/>
              </w:rPr>
              <w:t>G</w:t>
            </w:r>
            <w:r>
              <w:rPr>
                <w:rFonts w:hint="default" w:ascii="Times New Roman" w:hAnsi="Times New Roman" w:cs="Times New Roman"/>
                <w:sz w:val="18"/>
                <w:szCs w:val="18"/>
                <w:lang w:val="en-US" w:eastAsia="zh-CN"/>
              </w:rPr>
              <w:t>. Prognostic nutritional index,hypersensitive C-reactive protein and serum amyloid A in predicting postoperative infection of endoscopic surgery for gastric cancer.Contemporary Medicine,2024,30(21):100-103</w:t>
            </w:r>
            <w:r>
              <w:rPr>
                <w:rFonts w:hint="eastAsia" w:ascii="Times New Roman" w:hAnsi="Times New Roman" w:cs="Times New Roman"/>
                <w:sz w:val="18"/>
                <w:szCs w:val="18"/>
                <w:lang w:val="en-US" w:eastAsia="zh-CN"/>
              </w:rPr>
              <w:t>.</w:t>
            </w:r>
          </w:p>
          <w:p w14:paraId="61703840">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Çetin DA, Gündeş E, Çiyiltepe H, et al. Risk factors and laboratory markers used to predict leakage in esophagojejunal anastomotic leakage after total gastrectomy. Turk J Surg. 2018;35(1):6-12. Published 2018 Nov 20. doi:10.5578/turkjsurg.4117</w:t>
            </w:r>
          </w:p>
          <w:p w14:paraId="348FF8DD">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Ma YH, Zhang YQ, Liu DL, et al.</w:t>
            </w:r>
            <w:r>
              <w:rPr>
                <w:rFonts w:hint="default" w:ascii="Times New Roman" w:hAnsi="Times New Roman" w:cs="Times New Roman"/>
                <w:sz w:val="18"/>
                <w:szCs w:val="18"/>
                <w:lang w:val="en-US" w:eastAsia="zh-CN"/>
              </w:rPr>
              <w:t>Correlation between postoperative albumin changes and complications in elderly gastric cancer patients with normal preoperative serum albumin level.</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Chinese Journal of Clinical Oncology,</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2020,47(16):823-828.</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DOI:10.3969/j.issn.1000-8179.2020.16.498.</w:t>
            </w:r>
          </w:p>
          <w:p w14:paraId="13635B77">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Wakahara T, Kanemitsu K, Asari S, et al. The Combined Use of Drainage Amylase Concentration and Serum C-reactive Protein as Predictors of Pancreas-Related Complications after Elective Gastrectomy. Oncology. 2020;98(2):111-116. doi:10.1159/000503581</w:t>
            </w:r>
          </w:p>
          <w:p w14:paraId="2EA668F5">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Liu S, Hu Q, Song P, et al. Risk Factor and Surgical Outcome of Petersen's Hernia After Gastrectomy in Gastric Cancer. Front Oncol. 2021;11:765509. Published 2021 Nov 8. doi:10.3389/fonc.2021.765509</w:t>
            </w:r>
          </w:p>
          <w:p w14:paraId="333C13FA">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Borraez-Segura B, Orozco-Hernández JP, Anduquia-Garay F, Hurtado-Hurtado N, Soto-Vásquez J, Lozada-Martinez ID. Increase in C-reactive protein as early predictor of anastomotic leakage in abdominal surgery. Aumento de la proteína C reactiva como predictor precoz de fuga anastomótica en cirugía abdominal. Cir Cir. 2022;90(6):759-764. doi:10.24875/CIRU.21000597</w:t>
            </w:r>
          </w:p>
          <w:p w14:paraId="613CCDBB">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Gumusoglu AY, Kabuli HA, Cikot M, et al. The importance of inflammatory markers in detection of complications in patients with gastric cancer undergoing the Enhanced Recovery After Surgery (ERAS) protocol: a prospective cohort study. Wideochir Inne Tech Maloinwazyjne. 2022;17(4):688-698. doi:10.5114/wiitm.2022.118799</w:t>
            </w:r>
          </w:p>
          <w:p w14:paraId="72FDFA29">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Liu X, Lei S, Wei Q, Wang Y, Liang H, Chen L. Machine Learning-based Correlation Study between Perioperative Immunonutritional Index and Postoperative Anastomotic Leakage in Patients with Gastric Cancer. Int J Med Sci. 2022;19(7):1173-1183. Published 2022 Jul 4. doi:10.7150/ijms.72195</w:t>
            </w:r>
          </w:p>
          <w:p w14:paraId="5E7DDC05">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Ramos D, Gallego-Colón E, Mínguez J, Bodega I, Priego P, García-Moreno F. Usefulness of Serum Biomarkers in Predicting Anastomotic Leakage After Gastrectomy. Cancers (Basel). 2025;17(1):125. Published 2025 Jan 3. doi:10.3390/cancers17010125</w:t>
            </w:r>
          </w:p>
          <w:p w14:paraId="1EF547DC">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 xml:space="preserve">Chen S, Huang Y, Mao W. Predictive Value of Postoperative C-reactive Protein Ratio for Early Postoperative Complications After Laparoscopic Gastrectomy. Altern Ther Health Med. 2025;31(1):308-315. </w:t>
            </w:r>
          </w:p>
          <w:p w14:paraId="6E209F27">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lang w:val="en-US" w:eastAsia="zh-CN"/>
              </w:rPr>
              <w:t>Tang X, Jin T, Zhang X, Tang X, Ding X. Clinical value of prognostic nutritional index combined with C-reactive protein and albumin in early prediction of anastomotic leakage after radical gastric cancer surgery. Am J Transl Res. 2024;16(7):3081-3089. Published 2024 Jul 15. doi:10.62347/LDOZ1986</w:t>
            </w:r>
          </w:p>
          <w:p w14:paraId="629ED2C3">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rPr>
              <w:t>Itami T, Kurokawa Y, Yoshioka R, et al. Measuring serum and drainage fluid interleukin-6 and tumor necrosis factor-α levels for early detection of infectious complications after minimally invasive surgery for gastric cancer. Eur J Surg Oncol. 2024;50(10):108564. doi:10.1016/j.ejso.2024.108564</w:t>
            </w:r>
          </w:p>
          <w:p w14:paraId="14748179">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rPr>
              <w:t>Hwang SH, Kim DJ. Nomogram for Predicting Infectious Complications Following Curative Gastrectomy Using Clinical and Laboratory Parameters. Anticancer Res. 2024;44(4):1781-1790. doi:10.21873/anticanres.16978</w:t>
            </w:r>
          </w:p>
          <w:p w14:paraId="2FFDAF0F">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rPr>
              <w:t>Huang Y, Yang L, Yang W, et al. Interleukin-6 on postoperative day three as an early predictor of infections following laparoscopic gastric cancer resection. BMC Surg. 2024;24(1):92. Published 2024 Mar 19. doi:10.1186/s12893-024-02381-8</w:t>
            </w:r>
          </w:p>
          <w:p w14:paraId="378C99E2">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rPr>
              <w:t>Charbonneau J, Brind'Amour A, Sideris L, et al. Predictive Value of C-Reactive Protein for Infectious Complications After Cytoreductive Surgery and Hyperthermic Intraperitoneal Chemotherapy: A Single-Center Prospective Study. Ann Surg Oncol. 2024;31(13):8538-8548. doi:10.1245/s10434-024-15986-3</w:t>
            </w:r>
          </w:p>
          <w:p w14:paraId="130DCD6A">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rPr>
              <w:t>McOwan M, Johnson MA, Ward S, et al. C-reactive protein is a predictor of severe infective complications following gastrectomy-a retrospective analysis. J Gastrointest Oncol. 2023;14(1):64-72. doi:10.21037/jgo-22-675</w:t>
            </w:r>
          </w:p>
          <w:p w14:paraId="0F408FEE">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rPr>
              <w:t xml:space="preserve">Ishida R, Komatsu S, Takashima Y, et al. Pancreatic fistula as a pivotal prognostic factor among postoperative complications in gastric cancer. Am J Cancer Res. 2023;13(12):6063-6071. Published 2023 Dec 15. </w:t>
            </w:r>
          </w:p>
          <w:p w14:paraId="66F3DADC">
            <w:pPr>
              <w:numPr>
                <w:ilvl w:val="0"/>
                <w:numId w:val="6"/>
              </w:numPr>
              <w:rPr>
                <w:rFonts w:hint="eastAsia" w:ascii="Times New Roman" w:hAnsi="Times New Roman" w:cs="Times New Roman"/>
                <w:sz w:val="18"/>
                <w:szCs w:val="18"/>
              </w:rPr>
            </w:pPr>
            <w:r>
              <w:rPr>
                <w:rFonts w:hint="eastAsia" w:ascii="Times New Roman" w:hAnsi="Times New Roman" w:cs="Times New Roman"/>
                <w:sz w:val="18"/>
                <w:szCs w:val="18"/>
              </w:rPr>
              <w:t>Ghaffari Hamedani S M M, Alvandipour M, Khodabakhsh E, et al. Evaluating the predictive values of inflammatory markers from blood test for anastomosis leak after gastroesophageal surgery[J]. Onkologia i Radioterapia, 2024, 18(7).</w:t>
            </w:r>
          </w:p>
          <w:p w14:paraId="2692EE85">
            <w:pPr>
              <w:numPr>
                <w:ilvl w:val="0"/>
                <w:numId w:val="6"/>
              </w:numPr>
              <w:rPr>
                <w:rFonts w:hint="eastAsia" w:ascii="Times New Roman" w:hAnsi="Times New Roman" w:cs="Times New Roman"/>
                <w:sz w:val="18"/>
                <w:szCs w:val="18"/>
              </w:rPr>
            </w:pPr>
            <w:r>
              <w:rPr>
                <w:rFonts w:ascii="Times New Roman" w:hAnsi="Times New Roman" w:eastAsia="宋体" w:cs="Times New Roman"/>
                <w:bCs/>
                <w:sz w:val="18"/>
                <w:szCs w:val="18"/>
                <w:lang w:bidi="ar"/>
              </w:rPr>
              <w:t xml:space="preserve">van Winsen M, McSorley ST, McLeod R, et al. Postoperative C-reactive protein concentrations to predict infective complications following gastrectomy for cancer. J Surg Oncol. 2021;124(7):1060-1069. </w:t>
            </w:r>
            <w:r>
              <w:rPr>
                <w:sz w:val="18"/>
                <w:szCs w:val="18"/>
              </w:rPr>
              <w:fldChar w:fldCharType="begin"/>
            </w:r>
            <w:r>
              <w:rPr>
                <w:sz w:val="18"/>
                <w:szCs w:val="18"/>
              </w:rPr>
              <w:instrText xml:space="preserve"> HYPERLINK "https://doi.org/10.1002/jso.26613" </w:instrText>
            </w:r>
            <w:r>
              <w:rPr>
                <w:sz w:val="18"/>
                <w:szCs w:val="18"/>
              </w:rPr>
              <w:fldChar w:fldCharType="separate"/>
            </w:r>
            <w:r>
              <w:rPr>
                <w:rStyle w:val="9"/>
                <w:rFonts w:ascii="Times New Roman" w:hAnsi="Times New Roman" w:eastAsia="宋体" w:cs="Times New Roman"/>
                <w:bCs/>
                <w:sz w:val="18"/>
                <w:szCs w:val="18"/>
                <w:lang w:bidi="ar"/>
              </w:rPr>
              <w:t>https://doi.org/10.1002/jso.26613</w:t>
            </w:r>
            <w:r>
              <w:rPr>
                <w:rStyle w:val="9"/>
                <w:rFonts w:ascii="Times New Roman" w:hAnsi="Times New Roman" w:eastAsia="宋体" w:cs="Times New Roman"/>
                <w:bCs/>
                <w:sz w:val="18"/>
                <w:szCs w:val="18"/>
                <w:lang w:bidi="ar"/>
              </w:rPr>
              <w:fldChar w:fldCharType="end"/>
            </w:r>
            <w:bookmarkStart w:id="17" w:name="_GoBack"/>
            <w:bookmarkEnd w:id="17"/>
          </w:p>
        </w:tc>
      </w:tr>
    </w:tbl>
    <w:p w14:paraId="302719ED"/>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591C5"/>
    <w:multiLevelType w:val="singleLevel"/>
    <w:tmpl w:val="814591C5"/>
    <w:lvl w:ilvl="0" w:tentative="0">
      <w:start w:val="1"/>
      <w:numFmt w:val="decimal"/>
      <w:lvlText w:val="%1."/>
      <w:lvlJc w:val="left"/>
      <w:pPr>
        <w:ind w:left="283" w:hanging="283"/>
      </w:pPr>
      <w:rPr>
        <w:rFonts w:hint="default"/>
      </w:rPr>
    </w:lvl>
  </w:abstractNum>
  <w:abstractNum w:abstractNumId="1">
    <w:nsid w:val="9BAA1576"/>
    <w:multiLevelType w:val="singleLevel"/>
    <w:tmpl w:val="9BAA1576"/>
    <w:lvl w:ilvl="0" w:tentative="0">
      <w:start w:val="1"/>
      <w:numFmt w:val="decimal"/>
      <w:lvlText w:val="%1."/>
      <w:lvlJc w:val="left"/>
      <w:pPr>
        <w:ind w:left="170" w:hanging="170"/>
      </w:pPr>
      <w:rPr>
        <w:rFonts w:hint="default"/>
      </w:rPr>
    </w:lvl>
  </w:abstractNum>
  <w:abstractNum w:abstractNumId="2">
    <w:nsid w:val="E7AD1A06"/>
    <w:multiLevelType w:val="singleLevel"/>
    <w:tmpl w:val="E7AD1A06"/>
    <w:lvl w:ilvl="0" w:tentative="0">
      <w:start w:val="1"/>
      <w:numFmt w:val="decimal"/>
      <w:lvlText w:val="%1."/>
      <w:lvlJc w:val="left"/>
      <w:pPr>
        <w:ind w:left="170" w:hanging="170"/>
      </w:pPr>
      <w:rPr>
        <w:rFonts w:hint="default"/>
      </w:rPr>
    </w:lvl>
  </w:abstractNum>
  <w:abstractNum w:abstractNumId="3">
    <w:nsid w:val="F27C761E"/>
    <w:multiLevelType w:val="singleLevel"/>
    <w:tmpl w:val="F27C761E"/>
    <w:lvl w:ilvl="0" w:tentative="0">
      <w:start w:val="1"/>
      <w:numFmt w:val="decimal"/>
      <w:lvlText w:val="%1."/>
      <w:lvlJc w:val="left"/>
      <w:pPr>
        <w:ind w:left="170" w:hanging="170"/>
      </w:pPr>
      <w:rPr>
        <w:rFonts w:hint="default"/>
      </w:rPr>
    </w:lvl>
  </w:abstractNum>
  <w:abstractNum w:abstractNumId="4">
    <w:nsid w:val="2BEFCD37"/>
    <w:multiLevelType w:val="singleLevel"/>
    <w:tmpl w:val="2BEFCD37"/>
    <w:lvl w:ilvl="0" w:tentative="0">
      <w:start w:val="1"/>
      <w:numFmt w:val="decimal"/>
      <w:lvlText w:val="%1."/>
      <w:lvlJc w:val="left"/>
      <w:pPr>
        <w:ind w:left="283" w:hanging="283"/>
      </w:pPr>
      <w:rPr>
        <w:rFonts w:hint="default"/>
      </w:rPr>
    </w:lvl>
  </w:abstractNum>
  <w:abstractNum w:abstractNumId="5">
    <w:nsid w:val="7296E542"/>
    <w:multiLevelType w:val="singleLevel"/>
    <w:tmpl w:val="7296E542"/>
    <w:lvl w:ilvl="0" w:tentative="0">
      <w:start w:val="1"/>
      <w:numFmt w:val="decimal"/>
      <w:lvlText w:val="%1."/>
      <w:lvlJc w:val="left"/>
      <w:pPr>
        <w:ind w:left="425" w:hanging="425"/>
      </w:pPr>
      <w:rPr>
        <w:rFonts w:hint="default"/>
      </w:r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fa0fde30-2820-4e3e-89cd-b237d284529a"/>
  </w:docVars>
  <w:rsids>
    <w:rsidRoot w:val="00172A27"/>
    <w:rsid w:val="0001159A"/>
    <w:rsid w:val="00146208"/>
    <w:rsid w:val="00172A27"/>
    <w:rsid w:val="00172FE9"/>
    <w:rsid w:val="00337257"/>
    <w:rsid w:val="00360C8D"/>
    <w:rsid w:val="0057011A"/>
    <w:rsid w:val="0078412D"/>
    <w:rsid w:val="00786E7E"/>
    <w:rsid w:val="007C4AFB"/>
    <w:rsid w:val="00972358"/>
    <w:rsid w:val="009F7427"/>
    <w:rsid w:val="00AF2C14"/>
    <w:rsid w:val="00C7693C"/>
    <w:rsid w:val="00E120F8"/>
    <w:rsid w:val="00F41C7E"/>
    <w:rsid w:val="00F72D49"/>
    <w:rsid w:val="00FB1AA4"/>
    <w:rsid w:val="00FB2FB0"/>
    <w:rsid w:val="00FF45CA"/>
    <w:rsid w:val="016B0FE9"/>
    <w:rsid w:val="06682BD8"/>
    <w:rsid w:val="079B6BE3"/>
    <w:rsid w:val="08142F4D"/>
    <w:rsid w:val="09184D77"/>
    <w:rsid w:val="096D3A07"/>
    <w:rsid w:val="0971670A"/>
    <w:rsid w:val="09962FA7"/>
    <w:rsid w:val="0A317208"/>
    <w:rsid w:val="0A5C79E2"/>
    <w:rsid w:val="0AE63C41"/>
    <w:rsid w:val="0BB359C0"/>
    <w:rsid w:val="0C561E40"/>
    <w:rsid w:val="0D87268F"/>
    <w:rsid w:val="105F3DEA"/>
    <w:rsid w:val="1127558E"/>
    <w:rsid w:val="12385C0D"/>
    <w:rsid w:val="12437483"/>
    <w:rsid w:val="12C1401A"/>
    <w:rsid w:val="13D936BF"/>
    <w:rsid w:val="161828DE"/>
    <w:rsid w:val="16BA2308"/>
    <w:rsid w:val="17033413"/>
    <w:rsid w:val="174C3B1A"/>
    <w:rsid w:val="175C42D9"/>
    <w:rsid w:val="177D4BDC"/>
    <w:rsid w:val="17D962EE"/>
    <w:rsid w:val="18275FB9"/>
    <w:rsid w:val="19492675"/>
    <w:rsid w:val="1BF651EC"/>
    <w:rsid w:val="1D5F7C85"/>
    <w:rsid w:val="1F641B0F"/>
    <w:rsid w:val="1F95077E"/>
    <w:rsid w:val="202E3BB1"/>
    <w:rsid w:val="20E4587F"/>
    <w:rsid w:val="20E8515B"/>
    <w:rsid w:val="2571687C"/>
    <w:rsid w:val="258D2907"/>
    <w:rsid w:val="25C32ED3"/>
    <w:rsid w:val="278617E9"/>
    <w:rsid w:val="282C2C58"/>
    <w:rsid w:val="29977515"/>
    <w:rsid w:val="29E10344"/>
    <w:rsid w:val="2B166C16"/>
    <w:rsid w:val="2BE84CD0"/>
    <w:rsid w:val="2E8F4145"/>
    <w:rsid w:val="307E7556"/>
    <w:rsid w:val="31123C9E"/>
    <w:rsid w:val="31A002FB"/>
    <w:rsid w:val="359A1466"/>
    <w:rsid w:val="35B6464A"/>
    <w:rsid w:val="3724764D"/>
    <w:rsid w:val="394D220C"/>
    <w:rsid w:val="3A2556F1"/>
    <w:rsid w:val="3AC53F5F"/>
    <w:rsid w:val="3C094CE7"/>
    <w:rsid w:val="3D3E50E7"/>
    <w:rsid w:val="3DE74B7F"/>
    <w:rsid w:val="3FB47578"/>
    <w:rsid w:val="40911E6E"/>
    <w:rsid w:val="409554CF"/>
    <w:rsid w:val="42642749"/>
    <w:rsid w:val="474B3A27"/>
    <w:rsid w:val="47CA4157"/>
    <w:rsid w:val="47EE39B1"/>
    <w:rsid w:val="482225BC"/>
    <w:rsid w:val="496459E7"/>
    <w:rsid w:val="49AB260D"/>
    <w:rsid w:val="4C0C6669"/>
    <w:rsid w:val="4C0D01C8"/>
    <w:rsid w:val="4C8F577D"/>
    <w:rsid w:val="4EBC52B6"/>
    <w:rsid w:val="4EE87693"/>
    <w:rsid w:val="52671980"/>
    <w:rsid w:val="526770C0"/>
    <w:rsid w:val="538F0042"/>
    <w:rsid w:val="53E806BF"/>
    <w:rsid w:val="54A61B6E"/>
    <w:rsid w:val="56B477DF"/>
    <w:rsid w:val="56BF34E2"/>
    <w:rsid w:val="573E32C4"/>
    <w:rsid w:val="58946FF4"/>
    <w:rsid w:val="593C6663"/>
    <w:rsid w:val="59635CB4"/>
    <w:rsid w:val="59844464"/>
    <w:rsid w:val="59F73212"/>
    <w:rsid w:val="5A170C5A"/>
    <w:rsid w:val="5BAE5A9D"/>
    <w:rsid w:val="5BE87156"/>
    <w:rsid w:val="5DAB16FF"/>
    <w:rsid w:val="5E176F6C"/>
    <w:rsid w:val="5E6B4C22"/>
    <w:rsid w:val="600F5332"/>
    <w:rsid w:val="60140B92"/>
    <w:rsid w:val="63BF7FED"/>
    <w:rsid w:val="63ED23A3"/>
    <w:rsid w:val="652A1AC4"/>
    <w:rsid w:val="678B0191"/>
    <w:rsid w:val="679A5CF0"/>
    <w:rsid w:val="67CC6CF2"/>
    <w:rsid w:val="6A722766"/>
    <w:rsid w:val="6AF6404D"/>
    <w:rsid w:val="6B601A48"/>
    <w:rsid w:val="6E9A79E9"/>
    <w:rsid w:val="70682795"/>
    <w:rsid w:val="70A20C74"/>
    <w:rsid w:val="71483AF9"/>
    <w:rsid w:val="71AB4034"/>
    <w:rsid w:val="72864ACD"/>
    <w:rsid w:val="738B664E"/>
    <w:rsid w:val="770A331F"/>
    <w:rsid w:val="78715EBE"/>
    <w:rsid w:val="78C67540"/>
    <w:rsid w:val="7A2D0AEF"/>
    <w:rsid w:val="7A980FBD"/>
    <w:rsid w:val="7D585176"/>
    <w:rsid w:val="7F194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7"/>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8"/>
    <w:semiHidden/>
    <w:unhideWhenUsed/>
    <w:qFormat/>
    <w:uiPriority w:val="9"/>
    <w:pPr>
      <w:keepNext/>
      <w:keepLines/>
      <w:spacing w:before="260" w:after="260" w:line="416" w:lineRule="auto"/>
      <w:outlineLvl w:val="2"/>
    </w:pPr>
    <w:rPr>
      <w:b/>
      <w:bCs/>
      <w:sz w:val="32"/>
      <w:szCs w:val="32"/>
    </w:rPr>
  </w:style>
  <w:style w:type="character" w:default="1" w:styleId="6">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semiHidden/>
    <w:unhideWhenUsed/>
    <w:qFormat/>
    <w:uiPriority w:val="99"/>
    <w:rPr>
      <w:color w:val="954F72"/>
      <w:u w:val="single"/>
    </w:rPr>
  </w:style>
  <w:style w:type="character" w:styleId="8">
    <w:name w:val="Emphasis"/>
    <w:basedOn w:val="6"/>
    <w:qFormat/>
    <w:uiPriority w:val="20"/>
    <w:rPr>
      <w:i/>
    </w:rPr>
  </w:style>
  <w:style w:type="character" w:styleId="9">
    <w:name w:val="Hyperlink"/>
    <w:basedOn w:val="6"/>
    <w:semiHidden/>
    <w:unhideWhenUsed/>
    <w:qFormat/>
    <w:uiPriority w:val="99"/>
    <w:rPr>
      <w:color w:val="0000FF"/>
      <w:u w:val="single"/>
    </w:rPr>
  </w:style>
  <w:style w:type="paragraph" w:customStyle="1" w:styleId="10">
    <w:name w:val="分类号"/>
    <w:basedOn w:val="1"/>
    <w:qFormat/>
    <w:uiPriority w:val="0"/>
    <w:rPr>
      <w:rFonts w:ascii="仿宋_GB2312" w:hAnsi="Times New Roman" w:eastAsia="仿宋_GB2312" w:cs="Times New Roman"/>
      <w:sz w:val="28"/>
      <w:szCs w:val="28"/>
    </w:rPr>
  </w:style>
  <w:style w:type="paragraph" w:customStyle="1" w:styleId="11">
    <w:name w:val="封面日期"/>
    <w:basedOn w:val="1"/>
    <w:qFormat/>
    <w:uiPriority w:val="0"/>
    <w:pPr>
      <w:jc w:val="center"/>
    </w:pPr>
    <w:rPr>
      <w:rFonts w:ascii="黑体" w:hAnsi="Times New Roman" w:eastAsia="黑体" w:cs="Times New Roman"/>
      <w:sz w:val="32"/>
      <w:szCs w:val="32"/>
    </w:rPr>
  </w:style>
  <w:style w:type="paragraph" w:customStyle="1" w:styleId="12">
    <w:name w:val="论文标题"/>
    <w:basedOn w:val="1"/>
    <w:qFormat/>
    <w:uiPriority w:val="0"/>
    <w:pPr>
      <w:jc w:val="center"/>
    </w:pPr>
    <w:rPr>
      <w:rFonts w:ascii="Times New Roman" w:hAnsi="Times New Roman" w:eastAsia="楷体_GB2312" w:cs="Times New Roman"/>
      <w:b/>
      <w:kern w:val="36"/>
      <w:sz w:val="52"/>
      <w:szCs w:val="52"/>
    </w:rPr>
  </w:style>
  <w:style w:type="paragraph" w:customStyle="1" w:styleId="13">
    <w:name w:val="硕士学位论文"/>
    <w:basedOn w:val="1"/>
    <w:qFormat/>
    <w:uiPriority w:val="0"/>
    <w:pPr>
      <w:spacing w:before="240"/>
      <w:jc w:val="center"/>
    </w:pPr>
    <w:rPr>
      <w:rFonts w:ascii="Times New Roman" w:hAnsi="Times New Roman" w:eastAsia="宋体" w:cs="Times New Roman"/>
      <w:sz w:val="44"/>
      <w:szCs w:val="44"/>
    </w:rPr>
  </w:style>
  <w:style w:type="paragraph" w:customStyle="1" w:styleId="14">
    <w:name w:val="研究生姓名"/>
    <w:basedOn w:val="1"/>
    <w:qFormat/>
    <w:uiPriority w:val="0"/>
    <w:pPr>
      <w:ind w:firstLine="700" w:firstLineChars="700"/>
    </w:pPr>
    <w:rPr>
      <w:rFonts w:ascii="Times New Roman" w:hAnsi="Times New Roman" w:eastAsia="宋体" w:cs="Times New Roman"/>
      <w:sz w:val="28"/>
      <w:szCs w:val="28"/>
    </w:rPr>
  </w:style>
  <w:style w:type="paragraph" w:customStyle="1" w:styleId="15">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16">
    <w:name w:val="CM2"/>
    <w:basedOn w:val="15"/>
    <w:next w:val="15"/>
    <w:qFormat/>
    <w:uiPriority w:val="0"/>
    <w:pPr>
      <w:spacing w:after="373"/>
    </w:pPr>
    <w:rPr>
      <w:rFonts w:cs="Times New Roman"/>
      <w:color w:val="auto"/>
    </w:rPr>
  </w:style>
  <w:style w:type="character" w:customStyle="1" w:styleId="17">
    <w:name w:val="标题 2 字符"/>
    <w:basedOn w:val="6"/>
    <w:link w:val="2"/>
    <w:semiHidden/>
    <w:qFormat/>
    <w:uiPriority w:val="9"/>
    <w:rPr>
      <w:rFonts w:asciiTheme="majorHAnsi" w:hAnsiTheme="majorHAnsi" w:eastAsiaTheme="majorEastAsia" w:cstheme="majorBidi"/>
      <w:b/>
      <w:bCs/>
      <w:kern w:val="2"/>
      <w:sz w:val="32"/>
      <w:szCs w:val="32"/>
    </w:rPr>
  </w:style>
  <w:style w:type="character" w:customStyle="1" w:styleId="18">
    <w:name w:val="标题 3 字符"/>
    <w:basedOn w:val="6"/>
    <w:link w:val="3"/>
    <w:semiHidden/>
    <w:qFormat/>
    <w:uiPriority w:val="9"/>
    <w:rPr>
      <w:rFonts w:asciiTheme="minorHAnsi" w:hAnsiTheme="minorHAnsi" w:eastAsiaTheme="minorEastAsia" w:cstheme="minorBidi"/>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5559</Words>
  <Characters>38446</Characters>
  <Lines>243</Lines>
  <Paragraphs>68</Paragraphs>
  <TotalTime>0</TotalTime>
  <ScaleCrop>false</ScaleCrop>
  <LinksUpToDate>false</LinksUpToDate>
  <CharactersWithSpaces>43823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Shen</cp:lastModifiedBy>
  <dcterms:modified xsi:type="dcterms:W3CDTF">2025-11-11T17:26:00Z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D7561539FF1B4936BC92AC266782F88C_11</vt:lpwstr>
  </property>
  <property fmtid="{D5CDD505-2E9C-101B-9397-08002B2CF9AE}" pid="4" name="KSOTemplateDocerSaveRecord">
    <vt:lpwstr>eyJoZGlkIjoiMzEwNTM5NzYwMDRjMzkwZTVkZjY2ODkwMGIxNGU0OTUiLCJ1c2VySWQiOiI2NDQxNjk5OTMifQ==</vt:lpwstr>
  </property>
</Properties>
</file>