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E5504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5: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QUIPS Risk of Bias Assessment</w:t>
      </w:r>
    </w:p>
    <w:tbl>
      <w:tblPr>
        <w:tblStyle w:val="3"/>
        <w:tblW w:w="9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196"/>
        <w:gridCol w:w="869"/>
        <w:gridCol w:w="1259"/>
        <w:gridCol w:w="1259"/>
        <w:gridCol w:w="1260"/>
        <w:gridCol w:w="1262"/>
        <w:gridCol w:w="1120"/>
      </w:tblGrid>
      <w:tr w14:paraId="1A29C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635" w:type="dxa"/>
            <w:gridSpan w:val="8"/>
            <w:vAlign w:val="center"/>
          </w:tcPr>
          <w:p w14:paraId="59CB21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Ratings for included studies using the Quality In Prognosis Studies (QUIPS) tool</w:t>
            </w:r>
          </w:p>
        </w:tc>
      </w:tr>
      <w:tr w14:paraId="3F2DF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410" w:type="dxa"/>
            <w:vAlign w:val="center"/>
          </w:tcPr>
          <w:p w14:paraId="4C5DFB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Study</w:t>
            </w:r>
          </w:p>
        </w:tc>
        <w:tc>
          <w:tcPr>
            <w:tcW w:w="1196" w:type="dxa"/>
            <w:vAlign w:val="center"/>
          </w:tcPr>
          <w:p w14:paraId="38FAE0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Study</w:t>
            </w:r>
          </w:p>
          <w:p w14:paraId="76556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participation</w:t>
            </w:r>
          </w:p>
        </w:tc>
        <w:tc>
          <w:tcPr>
            <w:tcW w:w="869" w:type="dxa"/>
            <w:vAlign w:val="center"/>
          </w:tcPr>
          <w:p w14:paraId="6D7B43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Study</w:t>
            </w:r>
          </w:p>
          <w:p w14:paraId="70F4D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attrition</w:t>
            </w:r>
          </w:p>
        </w:tc>
        <w:tc>
          <w:tcPr>
            <w:tcW w:w="1259" w:type="dxa"/>
            <w:vAlign w:val="center"/>
          </w:tcPr>
          <w:p w14:paraId="30C21B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Prognostic</w:t>
            </w:r>
          </w:p>
          <w:p w14:paraId="33BC90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factor</w:t>
            </w:r>
          </w:p>
          <w:p w14:paraId="32A6F5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measurement</w:t>
            </w:r>
          </w:p>
        </w:tc>
        <w:tc>
          <w:tcPr>
            <w:tcW w:w="1259" w:type="dxa"/>
            <w:vAlign w:val="center"/>
          </w:tcPr>
          <w:p w14:paraId="76DEB8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Outcome</w:t>
            </w:r>
          </w:p>
          <w:p w14:paraId="7E4C5D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measurement</w:t>
            </w:r>
          </w:p>
        </w:tc>
        <w:tc>
          <w:tcPr>
            <w:tcW w:w="1260" w:type="dxa"/>
            <w:vAlign w:val="center"/>
          </w:tcPr>
          <w:p w14:paraId="7C314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Study</w:t>
            </w:r>
          </w:p>
          <w:p w14:paraId="047E8C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onfounding</w:t>
            </w:r>
          </w:p>
        </w:tc>
        <w:tc>
          <w:tcPr>
            <w:tcW w:w="1262" w:type="dxa"/>
            <w:vAlign w:val="center"/>
          </w:tcPr>
          <w:p w14:paraId="7357C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Statistical</w:t>
            </w:r>
          </w:p>
          <w:p w14:paraId="65B41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>a</w:t>
            </w: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nalysis and</w:t>
            </w:r>
          </w:p>
          <w:p w14:paraId="2302F2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reporting</w:t>
            </w:r>
          </w:p>
        </w:tc>
        <w:tc>
          <w:tcPr>
            <w:tcW w:w="1120" w:type="dxa"/>
            <w:vAlign w:val="center"/>
          </w:tcPr>
          <w:p w14:paraId="78E79C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</w:rPr>
              <w:t>Overall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</w:rPr>
              <w:t xml:space="preserve"> risk of bias</w:t>
            </w:r>
          </w:p>
        </w:tc>
      </w:tr>
      <w:tr w14:paraId="0B6EF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1C9A3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Kong,2016</w:t>
            </w:r>
            <w:bookmarkStart w:id="0" w:name="_GoBack"/>
            <w:bookmarkEnd w:id="0"/>
          </w:p>
        </w:tc>
        <w:tc>
          <w:tcPr>
            <w:tcW w:w="1196" w:type="dxa"/>
          </w:tcPr>
          <w:p w14:paraId="3FB910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</w:tcPr>
          <w:p w14:paraId="1DD3F8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57A525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0E46F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</w:tcPr>
          <w:p w14:paraId="59936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262" w:type="dxa"/>
          </w:tcPr>
          <w:p w14:paraId="612097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High</w:t>
            </w:r>
          </w:p>
        </w:tc>
        <w:tc>
          <w:tcPr>
            <w:tcW w:w="1120" w:type="dxa"/>
            <w:vAlign w:val="center"/>
          </w:tcPr>
          <w:p w14:paraId="7D50A0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High</w:t>
            </w:r>
          </w:p>
        </w:tc>
      </w:tr>
      <w:tr w14:paraId="536C1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23DB41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Kuroda,2022</w:t>
            </w:r>
          </w:p>
        </w:tc>
        <w:tc>
          <w:tcPr>
            <w:tcW w:w="1196" w:type="dxa"/>
          </w:tcPr>
          <w:p w14:paraId="51093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</w:tcPr>
          <w:p w14:paraId="1D71B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0728C1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4FD0CF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</w:tcPr>
          <w:p w14:paraId="069AE7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262" w:type="dxa"/>
          </w:tcPr>
          <w:p w14:paraId="7DC53C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067BCB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Low</w:t>
            </w:r>
          </w:p>
        </w:tc>
      </w:tr>
      <w:tr w14:paraId="7566C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62274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Kurokawa,2020</w:t>
            </w:r>
          </w:p>
        </w:tc>
        <w:tc>
          <w:tcPr>
            <w:tcW w:w="1196" w:type="dxa"/>
          </w:tcPr>
          <w:p w14:paraId="605E5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</w:tcPr>
          <w:p w14:paraId="1808F4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2D04A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4B32F8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</w:tcPr>
          <w:p w14:paraId="0CA4D5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262" w:type="dxa"/>
          </w:tcPr>
          <w:p w14:paraId="7EBC2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42E5B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Low</w:t>
            </w:r>
          </w:p>
        </w:tc>
      </w:tr>
      <w:tr w14:paraId="6DDB5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460D47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Li,2023</w:t>
            </w:r>
          </w:p>
        </w:tc>
        <w:tc>
          <w:tcPr>
            <w:tcW w:w="1196" w:type="dxa"/>
            <w:vAlign w:val="top"/>
          </w:tcPr>
          <w:p w14:paraId="2B268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  <w:vAlign w:val="top"/>
          </w:tcPr>
          <w:p w14:paraId="75A6B8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  <w:vAlign w:val="top"/>
          </w:tcPr>
          <w:p w14:paraId="44607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  <w:vAlign w:val="top"/>
          </w:tcPr>
          <w:p w14:paraId="6258D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  <w:vAlign w:val="top"/>
          </w:tcPr>
          <w:p w14:paraId="632679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262" w:type="dxa"/>
            <w:vAlign w:val="top"/>
          </w:tcPr>
          <w:p w14:paraId="44CCB7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29B98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Low</w:t>
            </w:r>
          </w:p>
        </w:tc>
      </w:tr>
      <w:tr w14:paraId="3C1B4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45345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Lu,2020</w:t>
            </w:r>
          </w:p>
        </w:tc>
        <w:tc>
          <w:tcPr>
            <w:tcW w:w="1196" w:type="dxa"/>
          </w:tcPr>
          <w:p w14:paraId="176FA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</w:rPr>
              <w:t>Low</w:t>
            </w:r>
          </w:p>
        </w:tc>
        <w:tc>
          <w:tcPr>
            <w:tcW w:w="869" w:type="dxa"/>
          </w:tcPr>
          <w:p w14:paraId="17B3A0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4AE3F6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13C871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1260" w:type="dxa"/>
          </w:tcPr>
          <w:p w14:paraId="685EDB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262" w:type="dxa"/>
          </w:tcPr>
          <w:p w14:paraId="5923B0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37813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Moderate</w:t>
            </w:r>
          </w:p>
        </w:tc>
      </w:tr>
      <w:tr w14:paraId="61F4B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1DC4A3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  <w:lang w:val="en-US" w:eastAsia="zh-CN"/>
              </w:rPr>
              <w:t>Matsui,2025</w:t>
            </w:r>
          </w:p>
        </w:tc>
        <w:tc>
          <w:tcPr>
            <w:tcW w:w="1196" w:type="dxa"/>
            <w:vAlign w:val="top"/>
          </w:tcPr>
          <w:p w14:paraId="6A3110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  <w:vAlign w:val="top"/>
          </w:tcPr>
          <w:p w14:paraId="536F3B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  <w:vAlign w:val="top"/>
          </w:tcPr>
          <w:p w14:paraId="0752CD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  <w:vAlign w:val="top"/>
          </w:tcPr>
          <w:p w14:paraId="3E6284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  <w:vAlign w:val="top"/>
          </w:tcPr>
          <w:p w14:paraId="64B48F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262" w:type="dxa"/>
            <w:vAlign w:val="top"/>
          </w:tcPr>
          <w:p w14:paraId="6894BF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263436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Low</w:t>
            </w:r>
          </w:p>
        </w:tc>
      </w:tr>
      <w:tr w14:paraId="35144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53E2A5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Migita,2019</w:t>
            </w:r>
          </w:p>
        </w:tc>
        <w:tc>
          <w:tcPr>
            <w:tcW w:w="1196" w:type="dxa"/>
          </w:tcPr>
          <w:p w14:paraId="06CC96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</w:tcPr>
          <w:p w14:paraId="0C8FD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59BDE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334D4C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</w:tcPr>
          <w:p w14:paraId="79A639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Moderate</w:t>
            </w:r>
          </w:p>
        </w:tc>
        <w:tc>
          <w:tcPr>
            <w:tcW w:w="1262" w:type="dxa"/>
          </w:tcPr>
          <w:p w14:paraId="700B19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2D2E1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Moderate</w:t>
            </w:r>
          </w:p>
        </w:tc>
      </w:tr>
      <w:tr w14:paraId="627AB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21ADB7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Nagata,2021</w:t>
            </w:r>
          </w:p>
        </w:tc>
        <w:tc>
          <w:tcPr>
            <w:tcW w:w="1196" w:type="dxa"/>
          </w:tcPr>
          <w:p w14:paraId="4AB10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</w:tcPr>
          <w:p w14:paraId="1AEEAF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3E264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1259" w:type="dxa"/>
          </w:tcPr>
          <w:p w14:paraId="01C59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</w:tcPr>
          <w:p w14:paraId="1699D3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262" w:type="dxa"/>
          </w:tcPr>
          <w:p w14:paraId="21CA59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Moderate</w:t>
            </w:r>
          </w:p>
        </w:tc>
        <w:tc>
          <w:tcPr>
            <w:tcW w:w="1120" w:type="dxa"/>
            <w:vAlign w:val="center"/>
          </w:tcPr>
          <w:p w14:paraId="4DFBC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Moderate</w:t>
            </w:r>
          </w:p>
        </w:tc>
      </w:tr>
      <w:tr w14:paraId="233F2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1E599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Saito,2015</w:t>
            </w:r>
          </w:p>
        </w:tc>
        <w:tc>
          <w:tcPr>
            <w:tcW w:w="1196" w:type="dxa"/>
          </w:tcPr>
          <w:p w14:paraId="73A458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</w:tcPr>
          <w:p w14:paraId="32F47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715BFE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2B993E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</w:tcPr>
          <w:p w14:paraId="1EB981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Moderate</w:t>
            </w:r>
          </w:p>
        </w:tc>
        <w:tc>
          <w:tcPr>
            <w:tcW w:w="1262" w:type="dxa"/>
          </w:tcPr>
          <w:p w14:paraId="325846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0B4C5A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Moderate</w:t>
            </w:r>
          </w:p>
        </w:tc>
      </w:tr>
      <w:tr w14:paraId="244B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062B4E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Urakawa,2019</w:t>
            </w:r>
          </w:p>
        </w:tc>
        <w:tc>
          <w:tcPr>
            <w:tcW w:w="1196" w:type="dxa"/>
          </w:tcPr>
          <w:p w14:paraId="6F40B3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</w:tcPr>
          <w:p w14:paraId="4CC743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2DA438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1259" w:type="dxa"/>
          </w:tcPr>
          <w:p w14:paraId="6F9CE8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</w:tcPr>
          <w:p w14:paraId="6C281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High</w:t>
            </w:r>
          </w:p>
        </w:tc>
        <w:tc>
          <w:tcPr>
            <w:tcW w:w="1262" w:type="dxa"/>
          </w:tcPr>
          <w:p w14:paraId="6C1EA2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2ECAD5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High</w:t>
            </w:r>
          </w:p>
        </w:tc>
      </w:tr>
      <w:tr w14:paraId="3D4C1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31C72D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Yuan,2017</w:t>
            </w:r>
          </w:p>
        </w:tc>
        <w:tc>
          <w:tcPr>
            <w:tcW w:w="1196" w:type="dxa"/>
          </w:tcPr>
          <w:p w14:paraId="2CEE2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</w:tcPr>
          <w:p w14:paraId="2D8916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</w:tcPr>
          <w:p w14:paraId="41B0EE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1259" w:type="dxa"/>
          </w:tcPr>
          <w:p w14:paraId="5986E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</w:tcPr>
          <w:p w14:paraId="36633C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262" w:type="dxa"/>
          </w:tcPr>
          <w:p w14:paraId="4A741A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6E746B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Moderate</w:t>
            </w:r>
          </w:p>
        </w:tc>
      </w:tr>
      <w:tr w14:paraId="4333F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10" w:type="dxa"/>
            <w:vAlign w:val="center"/>
          </w:tcPr>
          <w:p w14:paraId="7C058F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"/>
              </w:rPr>
              <w:t>Zang, 2021</w:t>
            </w:r>
          </w:p>
        </w:tc>
        <w:tc>
          <w:tcPr>
            <w:tcW w:w="1196" w:type="dxa"/>
            <w:vAlign w:val="top"/>
          </w:tcPr>
          <w:p w14:paraId="24CA5A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869" w:type="dxa"/>
            <w:vAlign w:val="top"/>
          </w:tcPr>
          <w:p w14:paraId="644B52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  <w:vAlign w:val="top"/>
          </w:tcPr>
          <w:p w14:paraId="7710F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59" w:type="dxa"/>
            <w:vAlign w:val="top"/>
          </w:tcPr>
          <w:p w14:paraId="74A5E4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1260" w:type="dxa"/>
            <w:vAlign w:val="top"/>
          </w:tcPr>
          <w:p w14:paraId="13D84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262" w:type="dxa"/>
            <w:vAlign w:val="top"/>
          </w:tcPr>
          <w:p w14:paraId="6CE93E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1120" w:type="dxa"/>
            <w:vAlign w:val="center"/>
          </w:tcPr>
          <w:p w14:paraId="156A01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Low</w:t>
            </w:r>
          </w:p>
        </w:tc>
      </w:tr>
    </w:tbl>
    <w:p w14:paraId="6D033A2D"/>
    <w:sectPr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9f9dab01-039e-438a-8838-2b6ce4f81f33"/>
  </w:docVars>
  <w:rsids>
    <w:rsidRoot w:val="00172A27"/>
    <w:rsid w:val="00172A27"/>
    <w:rsid w:val="0078412D"/>
    <w:rsid w:val="00786E7E"/>
    <w:rsid w:val="00972358"/>
    <w:rsid w:val="00C7693C"/>
    <w:rsid w:val="00F72D49"/>
    <w:rsid w:val="016B0FE9"/>
    <w:rsid w:val="06682BD8"/>
    <w:rsid w:val="08142F4D"/>
    <w:rsid w:val="09184D77"/>
    <w:rsid w:val="0A317208"/>
    <w:rsid w:val="0BB359C0"/>
    <w:rsid w:val="0C561E40"/>
    <w:rsid w:val="1127558E"/>
    <w:rsid w:val="12385C0D"/>
    <w:rsid w:val="12437483"/>
    <w:rsid w:val="13D936BF"/>
    <w:rsid w:val="18275FB9"/>
    <w:rsid w:val="1BF651EC"/>
    <w:rsid w:val="1D5F7C85"/>
    <w:rsid w:val="1F641B0F"/>
    <w:rsid w:val="1F95077E"/>
    <w:rsid w:val="202E3BB1"/>
    <w:rsid w:val="2571687C"/>
    <w:rsid w:val="258D2907"/>
    <w:rsid w:val="25C32ED3"/>
    <w:rsid w:val="2714473D"/>
    <w:rsid w:val="282C2C58"/>
    <w:rsid w:val="29977515"/>
    <w:rsid w:val="29E10344"/>
    <w:rsid w:val="2B166C16"/>
    <w:rsid w:val="2D6224D6"/>
    <w:rsid w:val="2E8F4145"/>
    <w:rsid w:val="307E7556"/>
    <w:rsid w:val="31123C9E"/>
    <w:rsid w:val="34487D42"/>
    <w:rsid w:val="393853DF"/>
    <w:rsid w:val="39443CBA"/>
    <w:rsid w:val="394D220C"/>
    <w:rsid w:val="3A2556F1"/>
    <w:rsid w:val="3AC53F5F"/>
    <w:rsid w:val="3AD530BE"/>
    <w:rsid w:val="3C094CE7"/>
    <w:rsid w:val="3D3E50E7"/>
    <w:rsid w:val="3DE74B7F"/>
    <w:rsid w:val="3FB47578"/>
    <w:rsid w:val="3FCA71CE"/>
    <w:rsid w:val="409554CF"/>
    <w:rsid w:val="4257694F"/>
    <w:rsid w:val="42642749"/>
    <w:rsid w:val="46467D06"/>
    <w:rsid w:val="474B3A27"/>
    <w:rsid w:val="47EE39B1"/>
    <w:rsid w:val="4C0C6669"/>
    <w:rsid w:val="4C0D01C8"/>
    <w:rsid w:val="4C8F577D"/>
    <w:rsid w:val="4EBC52B6"/>
    <w:rsid w:val="510D2307"/>
    <w:rsid w:val="526770C0"/>
    <w:rsid w:val="53E806BF"/>
    <w:rsid w:val="56BF34E2"/>
    <w:rsid w:val="58946FF4"/>
    <w:rsid w:val="58C37DFE"/>
    <w:rsid w:val="593C6663"/>
    <w:rsid w:val="59635CB4"/>
    <w:rsid w:val="5E176F6C"/>
    <w:rsid w:val="5E6B4C22"/>
    <w:rsid w:val="63BF7FED"/>
    <w:rsid w:val="652A1AC4"/>
    <w:rsid w:val="67CC6CF2"/>
    <w:rsid w:val="6A722766"/>
    <w:rsid w:val="6AF6404D"/>
    <w:rsid w:val="6B601A48"/>
    <w:rsid w:val="70682795"/>
    <w:rsid w:val="71483AF9"/>
    <w:rsid w:val="74A4476D"/>
    <w:rsid w:val="78715EBE"/>
    <w:rsid w:val="79113FAC"/>
    <w:rsid w:val="7D585176"/>
    <w:rsid w:val="7E617E43"/>
    <w:rsid w:val="7F19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customStyle="1" w:styleId="6">
    <w:name w:val="分类号"/>
    <w:basedOn w:val="1"/>
    <w:qFormat/>
    <w:uiPriority w:val="0"/>
    <w:rPr>
      <w:rFonts w:ascii="仿宋_GB2312" w:hAnsi="Times New Roman" w:eastAsia="仿宋_GB2312" w:cs="Times New Roman"/>
      <w:sz w:val="28"/>
      <w:szCs w:val="28"/>
    </w:rPr>
  </w:style>
  <w:style w:type="paragraph" w:customStyle="1" w:styleId="7">
    <w:name w:val="封面日期"/>
    <w:basedOn w:val="1"/>
    <w:qFormat/>
    <w:uiPriority w:val="0"/>
    <w:pPr>
      <w:jc w:val="center"/>
    </w:pPr>
    <w:rPr>
      <w:rFonts w:ascii="黑体" w:hAnsi="Times New Roman" w:eastAsia="黑体" w:cs="Times New Roman"/>
      <w:sz w:val="32"/>
      <w:szCs w:val="32"/>
    </w:rPr>
  </w:style>
  <w:style w:type="paragraph" w:customStyle="1" w:styleId="8">
    <w:name w:val="论文标题"/>
    <w:basedOn w:val="1"/>
    <w:qFormat/>
    <w:uiPriority w:val="0"/>
    <w:pPr>
      <w:jc w:val="center"/>
    </w:pPr>
    <w:rPr>
      <w:rFonts w:ascii="Times New Roman" w:hAnsi="Times New Roman" w:eastAsia="楷体_GB2312" w:cs="Times New Roman"/>
      <w:b/>
      <w:kern w:val="36"/>
      <w:sz w:val="52"/>
      <w:szCs w:val="52"/>
    </w:rPr>
  </w:style>
  <w:style w:type="paragraph" w:customStyle="1" w:styleId="9">
    <w:name w:val="硕士学位论文"/>
    <w:basedOn w:val="1"/>
    <w:qFormat/>
    <w:uiPriority w:val="0"/>
    <w:pPr>
      <w:spacing w:before="240"/>
      <w:jc w:val="center"/>
    </w:pPr>
    <w:rPr>
      <w:rFonts w:ascii="Times New Roman" w:hAnsi="Times New Roman" w:eastAsia="宋体" w:cs="Times New Roman"/>
      <w:sz w:val="44"/>
      <w:szCs w:val="44"/>
    </w:rPr>
  </w:style>
  <w:style w:type="paragraph" w:customStyle="1" w:styleId="10">
    <w:name w:val="研究生姓名"/>
    <w:basedOn w:val="1"/>
    <w:qFormat/>
    <w:uiPriority w:val="0"/>
    <w:pPr>
      <w:ind w:firstLine="700" w:firstLineChars="700"/>
    </w:pPr>
    <w:rPr>
      <w:rFonts w:ascii="Times New Roman" w:hAnsi="Times New Roman" w:eastAsia="宋体" w:cs="Times New Roman"/>
      <w:sz w:val="28"/>
      <w:szCs w:val="2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paragraph" w:customStyle="1" w:styleId="12">
    <w:name w:val="CM2"/>
    <w:basedOn w:val="11"/>
    <w:next w:val="11"/>
    <w:qFormat/>
    <w:uiPriority w:val="0"/>
    <w:pPr>
      <w:spacing w:after="373"/>
    </w:pPr>
    <w:rPr>
      <w:rFonts w:cs="Times New Roman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741</Characters>
  <Lines>245</Lines>
  <Paragraphs>68</Paragraphs>
  <TotalTime>136</TotalTime>
  <ScaleCrop>false</ScaleCrop>
  <LinksUpToDate>false</LinksUpToDate>
  <CharactersWithSpaces>764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2019-12-26T09:26:00Z</dcterms:created>
  <dc:creator>xiaofei li</dc:creator>
  <cp:lastModifiedBy>Shen</cp:lastModifiedBy>
  <dcterms:modified xsi:type="dcterms:W3CDTF">2025-11-11T12:06:35Z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D7561539FF1B4936BC92AC266782F88C_11</vt:lpwstr>
  </property>
  <property fmtid="{D5CDD505-2E9C-101B-9397-08002B2CF9AE}" pid="4" name="KSOTemplateDocerSaveRecord">
    <vt:lpwstr>eyJoZGlkIjoiMzEwNTM5NzYwMDRjMzkwZTVkZjY2ODkwMGIxNGU0OTUiLCJ1c2VySWQiOiI2NDQxNjk5OTMifQ==</vt:lpwstr>
  </property>
</Properties>
</file>