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1F6362" w14:textId="4865581B" w:rsidR="0064556C" w:rsidRPr="00BF62A1" w:rsidRDefault="009B5E1F" w:rsidP="00D86A6F">
      <w:pPr>
        <w:pStyle w:val="AbstractToLAbbrReferencesAnnex"/>
        <w:numPr>
          <w:ilvl w:val="0"/>
          <w:numId w:val="0"/>
        </w:numPr>
        <w:ind w:left="432" w:hanging="432"/>
      </w:pPr>
      <w:bookmarkStart w:id="0" w:name="_Toc139892445"/>
      <w:bookmarkStart w:id="1" w:name="_GoBack"/>
      <w:bookmarkEnd w:id="1"/>
      <w:r w:rsidRPr="00BF62A1">
        <w:t>Appendix</w:t>
      </w:r>
      <w:bookmarkEnd w:id="0"/>
    </w:p>
    <w:p w14:paraId="4F5ED342" w14:textId="098BD791" w:rsidR="0064556C" w:rsidRPr="00BF62A1" w:rsidRDefault="0064556C" w:rsidP="002473B8">
      <w:pPr>
        <w:pStyle w:val="AbstractToLAbbrReferencesAnnex"/>
        <w:numPr>
          <w:ilvl w:val="0"/>
          <w:numId w:val="0"/>
        </w:numPr>
        <w:jc w:val="left"/>
        <w:rPr>
          <w:rFonts w:cs="Times New Roman"/>
          <w:bCs/>
          <w:sz w:val="28"/>
          <w:szCs w:val="28"/>
        </w:rPr>
      </w:pPr>
      <w:r w:rsidRPr="00BF62A1">
        <w:rPr>
          <w:rFonts w:cs="Times New Roman"/>
          <w:bCs/>
          <w:sz w:val="28"/>
          <w:szCs w:val="28"/>
        </w:rPr>
        <w:t>Appendix 1: Search strategies for search engines</w:t>
      </w:r>
      <w:r w:rsidR="00B90D01" w:rsidRPr="00BF62A1">
        <w:rPr>
          <w:rFonts w:cs="Times New Roman"/>
          <w:bCs/>
          <w:sz w:val="28"/>
          <w:szCs w:val="28"/>
        </w:rPr>
        <w:t xml:space="preserve"> and study regist</w:t>
      </w:r>
      <w:r w:rsidR="004C55D0">
        <w:rPr>
          <w:rFonts w:cs="Times New Roman"/>
          <w:bCs/>
          <w:sz w:val="28"/>
          <w:szCs w:val="28"/>
        </w:rPr>
        <w:t>ries</w:t>
      </w:r>
    </w:p>
    <w:tbl>
      <w:tblPr>
        <w:tblW w:w="536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8"/>
        <w:gridCol w:w="8597"/>
      </w:tblGrid>
      <w:tr w:rsidR="009B5628" w:rsidRPr="00BF62A1" w14:paraId="650712D1" w14:textId="77777777" w:rsidTr="009B5628">
        <w:trPr>
          <w:trHeight w:val="20"/>
        </w:trPr>
        <w:tc>
          <w:tcPr>
            <w:tcW w:w="5000" w:type="pct"/>
            <w:gridSpan w:val="2"/>
            <w:noWrap/>
          </w:tcPr>
          <w:p w14:paraId="4F35FBBB" w14:textId="76664C90" w:rsidR="009B5628" w:rsidRPr="00BF62A1" w:rsidRDefault="009B5628" w:rsidP="002473B8">
            <w:pPr>
              <w:spacing w:line="240" w:lineRule="auto"/>
              <w:rPr>
                <w:b/>
                <w:bCs/>
                <w:color w:val="000000"/>
                <w:sz w:val="16"/>
                <w:szCs w:val="16"/>
              </w:rPr>
            </w:pPr>
            <w:r w:rsidRPr="00BF62A1">
              <w:rPr>
                <w:b/>
                <w:bCs/>
              </w:rPr>
              <w:t>PubMed:</w:t>
            </w:r>
          </w:p>
        </w:tc>
      </w:tr>
      <w:tr w:rsidR="0064556C" w:rsidRPr="00BF62A1" w14:paraId="3E90EF4B" w14:textId="77777777" w:rsidTr="009B5628">
        <w:trPr>
          <w:trHeight w:val="20"/>
        </w:trPr>
        <w:tc>
          <w:tcPr>
            <w:tcW w:w="284" w:type="pct"/>
            <w:noWrap/>
            <w:hideMark/>
          </w:tcPr>
          <w:p w14:paraId="03DB771A" w14:textId="77777777" w:rsidR="0064556C" w:rsidRPr="00BF62A1" w:rsidRDefault="0064556C" w:rsidP="002473B8">
            <w:pPr>
              <w:spacing w:line="240" w:lineRule="auto"/>
              <w:rPr>
                <w:color w:val="000000"/>
                <w:sz w:val="16"/>
                <w:szCs w:val="16"/>
              </w:rPr>
            </w:pPr>
            <w:r w:rsidRPr="00BF62A1">
              <w:rPr>
                <w:color w:val="000000"/>
                <w:sz w:val="16"/>
                <w:szCs w:val="16"/>
              </w:rPr>
              <w:t># 1</w:t>
            </w:r>
          </w:p>
        </w:tc>
        <w:tc>
          <w:tcPr>
            <w:tcW w:w="4716" w:type="pct"/>
            <w:noWrap/>
            <w:vAlign w:val="bottom"/>
            <w:hideMark/>
          </w:tcPr>
          <w:p w14:paraId="1574D80C" w14:textId="77777777" w:rsidR="0064556C" w:rsidRPr="00BF62A1" w:rsidRDefault="0064556C" w:rsidP="002473B8">
            <w:pPr>
              <w:spacing w:line="240" w:lineRule="auto"/>
              <w:rPr>
                <w:color w:val="000000"/>
                <w:sz w:val="16"/>
                <w:szCs w:val="16"/>
              </w:rPr>
            </w:pPr>
            <w:r w:rsidRPr="00BF62A1">
              <w:rPr>
                <w:color w:val="000000"/>
                <w:sz w:val="16"/>
                <w:szCs w:val="16"/>
              </w:rPr>
              <w:t>"segmentectom*"[tiab] OR "hemihepat*"[tiab] OR "hemi-hepat*"[tiab] OR "trisectorectom*"[tiab] OR "bisegmentectom*"[tiab] OR "bi-segmentectom*"[tiab] OR "Hepatectomy"[tiab] OR "Hepatectomy"[Mesh] OR "Carcinoma, Hepatocellular/surgery"[Mesh] OR "Liver Neoplasms/surgery"[Mesh] OR "Liver Diseases/surgery"[Mesh]</w:t>
            </w:r>
          </w:p>
        </w:tc>
      </w:tr>
      <w:tr w:rsidR="0064556C" w:rsidRPr="00BF62A1" w14:paraId="26078BAB" w14:textId="77777777" w:rsidTr="009B5628">
        <w:trPr>
          <w:trHeight w:val="20"/>
        </w:trPr>
        <w:tc>
          <w:tcPr>
            <w:tcW w:w="284" w:type="pct"/>
            <w:noWrap/>
            <w:hideMark/>
          </w:tcPr>
          <w:p w14:paraId="5938ED28" w14:textId="77777777" w:rsidR="0064556C" w:rsidRPr="00BF62A1" w:rsidRDefault="0064556C" w:rsidP="002473B8">
            <w:pPr>
              <w:spacing w:line="240" w:lineRule="auto"/>
              <w:rPr>
                <w:color w:val="000000"/>
                <w:sz w:val="16"/>
                <w:szCs w:val="16"/>
              </w:rPr>
            </w:pPr>
            <w:r w:rsidRPr="00BF62A1">
              <w:rPr>
                <w:color w:val="000000"/>
                <w:sz w:val="16"/>
                <w:szCs w:val="16"/>
              </w:rPr>
              <w:t># 2</w:t>
            </w:r>
          </w:p>
        </w:tc>
        <w:tc>
          <w:tcPr>
            <w:tcW w:w="4716" w:type="pct"/>
            <w:noWrap/>
            <w:vAlign w:val="bottom"/>
            <w:hideMark/>
          </w:tcPr>
          <w:p w14:paraId="77EEFA5C" w14:textId="77777777" w:rsidR="0064556C" w:rsidRPr="00BF62A1" w:rsidRDefault="0064556C" w:rsidP="002473B8">
            <w:pPr>
              <w:spacing w:line="240" w:lineRule="auto"/>
              <w:rPr>
                <w:color w:val="000000"/>
                <w:sz w:val="16"/>
                <w:szCs w:val="16"/>
              </w:rPr>
            </w:pPr>
            <w:r w:rsidRPr="00BF62A1">
              <w:rPr>
                <w:color w:val="000000"/>
                <w:sz w:val="16"/>
                <w:szCs w:val="16"/>
              </w:rPr>
              <w:t>(liver[tiab] OR hepat*[tiab]) AND (surg*[tiab] OR resect*[tiab] OR lobectomy[tiab])</w:t>
            </w:r>
          </w:p>
        </w:tc>
      </w:tr>
      <w:tr w:rsidR="0064556C" w:rsidRPr="00BF62A1" w14:paraId="68D65E51" w14:textId="77777777" w:rsidTr="009B5628">
        <w:trPr>
          <w:trHeight w:val="20"/>
        </w:trPr>
        <w:tc>
          <w:tcPr>
            <w:tcW w:w="284" w:type="pct"/>
            <w:noWrap/>
            <w:hideMark/>
          </w:tcPr>
          <w:p w14:paraId="0A85D67F" w14:textId="77777777" w:rsidR="0064556C" w:rsidRPr="00BF62A1" w:rsidRDefault="0064556C" w:rsidP="002473B8">
            <w:pPr>
              <w:spacing w:line="240" w:lineRule="auto"/>
              <w:rPr>
                <w:color w:val="000000"/>
                <w:sz w:val="16"/>
                <w:szCs w:val="16"/>
              </w:rPr>
            </w:pPr>
            <w:r w:rsidRPr="00BF62A1">
              <w:rPr>
                <w:color w:val="000000"/>
                <w:sz w:val="16"/>
                <w:szCs w:val="16"/>
              </w:rPr>
              <w:t># 3</w:t>
            </w:r>
          </w:p>
        </w:tc>
        <w:tc>
          <w:tcPr>
            <w:tcW w:w="4716" w:type="pct"/>
            <w:noWrap/>
            <w:vAlign w:val="bottom"/>
            <w:hideMark/>
          </w:tcPr>
          <w:p w14:paraId="4B828287" w14:textId="77777777" w:rsidR="0064556C" w:rsidRPr="00BF62A1" w:rsidRDefault="0064556C" w:rsidP="002473B8">
            <w:pPr>
              <w:spacing w:line="240" w:lineRule="auto"/>
              <w:rPr>
                <w:color w:val="000000"/>
                <w:sz w:val="16"/>
                <w:szCs w:val="16"/>
              </w:rPr>
            </w:pPr>
            <w:r w:rsidRPr="00BF62A1">
              <w:rPr>
                <w:color w:val="000000"/>
                <w:sz w:val="16"/>
                <w:szCs w:val="16"/>
              </w:rPr>
              <w:t>#1 OR #2</w:t>
            </w:r>
          </w:p>
        </w:tc>
      </w:tr>
      <w:tr w:rsidR="0064556C" w:rsidRPr="00BF62A1" w14:paraId="13ABDFCA" w14:textId="77777777" w:rsidTr="009B5628">
        <w:trPr>
          <w:trHeight w:val="20"/>
        </w:trPr>
        <w:tc>
          <w:tcPr>
            <w:tcW w:w="284" w:type="pct"/>
            <w:noWrap/>
            <w:hideMark/>
          </w:tcPr>
          <w:p w14:paraId="02ED2B23" w14:textId="77777777" w:rsidR="0064556C" w:rsidRPr="00BF62A1" w:rsidRDefault="0064556C" w:rsidP="002473B8">
            <w:pPr>
              <w:spacing w:line="240" w:lineRule="auto"/>
              <w:rPr>
                <w:color w:val="000000"/>
                <w:sz w:val="16"/>
                <w:szCs w:val="16"/>
              </w:rPr>
            </w:pPr>
            <w:r w:rsidRPr="00BF62A1">
              <w:rPr>
                <w:color w:val="000000"/>
                <w:sz w:val="16"/>
                <w:szCs w:val="16"/>
              </w:rPr>
              <w:t># 4</w:t>
            </w:r>
          </w:p>
        </w:tc>
        <w:tc>
          <w:tcPr>
            <w:tcW w:w="4716" w:type="pct"/>
            <w:noWrap/>
            <w:vAlign w:val="bottom"/>
            <w:hideMark/>
          </w:tcPr>
          <w:p w14:paraId="5F9C8BCB" w14:textId="77777777" w:rsidR="0064556C" w:rsidRPr="00BF62A1" w:rsidRDefault="0064556C" w:rsidP="002473B8">
            <w:pPr>
              <w:spacing w:line="240" w:lineRule="auto"/>
              <w:rPr>
                <w:color w:val="000000"/>
                <w:sz w:val="16"/>
                <w:szCs w:val="16"/>
              </w:rPr>
            </w:pPr>
            <w:r w:rsidRPr="00BF62A1">
              <w:rPr>
                <w:color w:val="000000"/>
                <w:sz w:val="16"/>
                <w:szCs w:val="16"/>
              </w:rPr>
              <w:t>"high volume hospital*"[tiab] OR "low volume hospital*"[tiab] OR "high volume center*"[tiab] OR "high volume centre*"[tiab] OR "low volume center*"[tiab] OR "low volume centre*"[tiab]OR "hospital volume*"[tiab] OR "hospital size*"[tiab] OR "clinic size*"[tiab] OR "center volume*"[tiab] OR "centre volume*"[tiab] OR "high volume center"[tiab] OR "high volume centre"[tiab] OR "center size*"[tiab] OR "centre size*"[tiab] OR "patient volume*"[tiab] OR "provider volume*"[tiab] OR "surgical volume*"[tiab] OR "procedure volume*"[tiab] OR "procedural volume*"[tiab] OR "facility volume*"[tiab] OR "treatment volume*"[tiab] OR "Hospitals, High-Volume"[Mesh] OR "Hospitals, Low-Volume"[Mesh]</w:t>
            </w:r>
          </w:p>
        </w:tc>
      </w:tr>
      <w:tr w:rsidR="0064556C" w:rsidRPr="00BF62A1" w14:paraId="6565F891" w14:textId="77777777" w:rsidTr="009B5628">
        <w:trPr>
          <w:trHeight w:val="20"/>
        </w:trPr>
        <w:tc>
          <w:tcPr>
            <w:tcW w:w="284" w:type="pct"/>
            <w:noWrap/>
            <w:hideMark/>
          </w:tcPr>
          <w:p w14:paraId="43B50839" w14:textId="77777777" w:rsidR="0064556C" w:rsidRPr="00BF62A1" w:rsidRDefault="0064556C" w:rsidP="002473B8">
            <w:pPr>
              <w:spacing w:line="240" w:lineRule="auto"/>
              <w:rPr>
                <w:color w:val="000000"/>
                <w:sz w:val="16"/>
                <w:szCs w:val="16"/>
              </w:rPr>
            </w:pPr>
            <w:r w:rsidRPr="00BF62A1">
              <w:rPr>
                <w:color w:val="000000"/>
                <w:sz w:val="16"/>
                <w:szCs w:val="16"/>
              </w:rPr>
              <w:t># 5</w:t>
            </w:r>
          </w:p>
        </w:tc>
        <w:tc>
          <w:tcPr>
            <w:tcW w:w="4716" w:type="pct"/>
            <w:noWrap/>
            <w:vAlign w:val="bottom"/>
            <w:hideMark/>
          </w:tcPr>
          <w:p w14:paraId="13094342" w14:textId="77777777" w:rsidR="0064556C" w:rsidRPr="00BF62A1" w:rsidRDefault="0064556C" w:rsidP="002473B8">
            <w:pPr>
              <w:spacing w:line="240" w:lineRule="auto"/>
              <w:rPr>
                <w:color w:val="000000"/>
                <w:sz w:val="16"/>
                <w:szCs w:val="16"/>
              </w:rPr>
            </w:pPr>
            <w:r w:rsidRPr="00BF62A1">
              <w:rPr>
                <w:color w:val="000000"/>
                <w:sz w:val="16"/>
                <w:szCs w:val="16"/>
              </w:rPr>
              <w:t>("hospital centrali*"[tiab] OR "hospital decentrali*"[tiab] OR "regionalization"[tiab] OR "regionalisation"[tiab]) AND volume[tiab]</w:t>
            </w:r>
          </w:p>
        </w:tc>
      </w:tr>
      <w:tr w:rsidR="0064556C" w:rsidRPr="00BF62A1" w14:paraId="2A4FCF3E" w14:textId="77777777" w:rsidTr="009B5628">
        <w:trPr>
          <w:trHeight w:val="20"/>
        </w:trPr>
        <w:tc>
          <w:tcPr>
            <w:tcW w:w="284" w:type="pct"/>
            <w:noWrap/>
            <w:hideMark/>
          </w:tcPr>
          <w:p w14:paraId="13FDB85B" w14:textId="77777777" w:rsidR="0064556C" w:rsidRPr="00BF62A1" w:rsidRDefault="0064556C" w:rsidP="002473B8">
            <w:pPr>
              <w:spacing w:line="240" w:lineRule="auto"/>
              <w:rPr>
                <w:color w:val="000000"/>
                <w:sz w:val="16"/>
                <w:szCs w:val="16"/>
              </w:rPr>
            </w:pPr>
            <w:r w:rsidRPr="00BF62A1">
              <w:rPr>
                <w:color w:val="000000"/>
                <w:sz w:val="16"/>
                <w:szCs w:val="16"/>
              </w:rPr>
              <w:t># 6</w:t>
            </w:r>
          </w:p>
        </w:tc>
        <w:tc>
          <w:tcPr>
            <w:tcW w:w="4716" w:type="pct"/>
            <w:noWrap/>
            <w:vAlign w:val="bottom"/>
            <w:hideMark/>
          </w:tcPr>
          <w:p w14:paraId="07964132" w14:textId="77777777" w:rsidR="0064556C" w:rsidRPr="00BF62A1" w:rsidRDefault="0064556C" w:rsidP="002473B8">
            <w:pPr>
              <w:spacing w:line="240" w:lineRule="auto"/>
              <w:rPr>
                <w:color w:val="000000"/>
                <w:sz w:val="16"/>
                <w:szCs w:val="16"/>
              </w:rPr>
            </w:pPr>
            <w:r w:rsidRPr="00BF62A1">
              <w:rPr>
                <w:color w:val="000000"/>
                <w:sz w:val="16"/>
                <w:szCs w:val="16"/>
              </w:rPr>
              <w:t>"surgery caseload*"[tiab] OR "surgery workload*"[tiab] OR "surgical caseload*"[tiab] OR "surgical workload*"[tiab] OR "surgeon caseload*"[tiab] OR "surgeon workload*"[tiab] OR "surgeon experience*"[tiab] OR "surgeon performance"[tiab]</w:t>
            </w:r>
          </w:p>
        </w:tc>
      </w:tr>
      <w:tr w:rsidR="0064556C" w:rsidRPr="00BF62A1" w14:paraId="1EBAE66E" w14:textId="77777777" w:rsidTr="009B5628">
        <w:trPr>
          <w:trHeight w:val="20"/>
        </w:trPr>
        <w:tc>
          <w:tcPr>
            <w:tcW w:w="284" w:type="pct"/>
            <w:noWrap/>
            <w:hideMark/>
          </w:tcPr>
          <w:p w14:paraId="52CE3A37" w14:textId="77777777" w:rsidR="0064556C" w:rsidRPr="00BF62A1" w:rsidRDefault="0064556C" w:rsidP="002473B8">
            <w:pPr>
              <w:spacing w:line="240" w:lineRule="auto"/>
              <w:rPr>
                <w:color w:val="000000"/>
                <w:sz w:val="16"/>
                <w:szCs w:val="16"/>
              </w:rPr>
            </w:pPr>
            <w:r w:rsidRPr="00BF62A1">
              <w:rPr>
                <w:color w:val="000000"/>
                <w:sz w:val="16"/>
                <w:szCs w:val="16"/>
              </w:rPr>
              <w:t># 7</w:t>
            </w:r>
          </w:p>
        </w:tc>
        <w:tc>
          <w:tcPr>
            <w:tcW w:w="4716" w:type="pct"/>
            <w:noWrap/>
            <w:vAlign w:val="bottom"/>
            <w:hideMark/>
          </w:tcPr>
          <w:p w14:paraId="4C9C2EC4" w14:textId="77777777" w:rsidR="0064556C" w:rsidRPr="00BF62A1" w:rsidRDefault="0064556C" w:rsidP="002473B8">
            <w:pPr>
              <w:spacing w:line="240" w:lineRule="auto"/>
              <w:rPr>
                <w:color w:val="000000"/>
                <w:sz w:val="16"/>
                <w:szCs w:val="16"/>
              </w:rPr>
            </w:pPr>
            <w:r w:rsidRPr="00BF62A1">
              <w:rPr>
                <w:color w:val="000000"/>
                <w:sz w:val="16"/>
                <w:szCs w:val="16"/>
              </w:rPr>
              <w:t>("Surgeons"[Mesh] OR surgeon*[tiab] OR "Treatment Outcome"[Mesh] OR "Patient Outcome Assessment"[Mesh]) AND (volume[tiab] OR caseload[tiab] OR workload[tiab])</w:t>
            </w:r>
          </w:p>
        </w:tc>
      </w:tr>
      <w:tr w:rsidR="0064556C" w:rsidRPr="00BF62A1" w14:paraId="095D7781" w14:textId="77777777" w:rsidTr="009B5628">
        <w:trPr>
          <w:trHeight w:val="20"/>
        </w:trPr>
        <w:tc>
          <w:tcPr>
            <w:tcW w:w="284" w:type="pct"/>
            <w:noWrap/>
            <w:hideMark/>
          </w:tcPr>
          <w:p w14:paraId="0326B98B" w14:textId="77777777" w:rsidR="0064556C" w:rsidRPr="00BF62A1" w:rsidRDefault="0064556C" w:rsidP="002473B8">
            <w:pPr>
              <w:spacing w:line="240" w:lineRule="auto"/>
              <w:rPr>
                <w:color w:val="000000"/>
                <w:sz w:val="16"/>
                <w:szCs w:val="16"/>
              </w:rPr>
            </w:pPr>
            <w:r w:rsidRPr="00BF62A1">
              <w:rPr>
                <w:color w:val="000000"/>
                <w:sz w:val="16"/>
                <w:szCs w:val="16"/>
              </w:rPr>
              <w:t># 8</w:t>
            </w:r>
          </w:p>
        </w:tc>
        <w:tc>
          <w:tcPr>
            <w:tcW w:w="4716" w:type="pct"/>
            <w:noWrap/>
            <w:vAlign w:val="bottom"/>
            <w:hideMark/>
          </w:tcPr>
          <w:p w14:paraId="7FA8CA15" w14:textId="77777777" w:rsidR="0064556C" w:rsidRPr="00BF62A1" w:rsidRDefault="0064556C" w:rsidP="002473B8">
            <w:pPr>
              <w:spacing w:line="240" w:lineRule="auto"/>
              <w:rPr>
                <w:color w:val="000000"/>
                <w:sz w:val="16"/>
                <w:szCs w:val="16"/>
              </w:rPr>
            </w:pPr>
            <w:r w:rsidRPr="00BF62A1">
              <w:rPr>
                <w:color w:val="000000"/>
                <w:sz w:val="16"/>
                <w:szCs w:val="16"/>
              </w:rPr>
              <w:t>"volume outcome*"[tiab]</w:t>
            </w:r>
          </w:p>
        </w:tc>
      </w:tr>
      <w:tr w:rsidR="0064556C" w:rsidRPr="00BF62A1" w14:paraId="7722FAFD" w14:textId="77777777" w:rsidTr="009B5628">
        <w:trPr>
          <w:trHeight w:val="20"/>
        </w:trPr>
        <w:tc>
          <w:tcPr>
            <w:tcW w:w="284" w:type="pct"/>
            <w:noWrap/>
            <w:hideMark/>
          </w:tcPr>
          <w:p w14:paraId="61BE3B3F" w14:textId="77777777" w:rsidR="0064556C" w:rsidRPr="00BF62A1" w:rsidRDefault="0064556C" w:rsidP="002473B8">
            <w:pPr>
              <w:spacing w:line="240" w:lineRule="auto"/>
              <w:rPr>
                <w:color w:val="000000"/>
                <w:sz w:val="16"/>
                <w:szCs w:val="16"/>
              </w:rPr>
            </w:pPr>
            <w:r w:rsidRPr="00BF62A1">
              <w:rPr>
                <w:color w:val="000000"/>
                <w:sz w:val="16"/>
                <w:szCs w:val="16"/>
              </w:rPr>
              <w:t># 9</w:t>
            </w:r>
          </w:p>
        </w:tc>
        <w:tc>
          <w:tcPr>
            <w:tcW w:w="4716" w:type="pct"/>
            <w:noWrap/>
            <w:vAlign w:val="bottom"/>
            <w:hideMark/>
          </w:tcPr>
          <w:p w14:paraId="59F3C03E" w14:textId="77777777" w:rsidR="0064556C" w:rsidRPr="00BF62A1" w:rsidRDefault="0064556C" w:rsidP="002473B8">
            <w:pPr>
              <w:spacing w:line="240" w:lineRule="auto"/>
              <w:rPr>
                <w:color w:val="000000"/>
                <w:sz w:val="16"/>
                <w:szCs w:val="16"/>
              </w:rPr>
            </w:pPr>
            <w:r w:rsidRPr="00BF62A1">
              <w:rPr>
                <w:color w:val="000000"/>
                <w:sz w:val="16"/>
                <w:szCs w:val="16"/>
              </w:rPr>
              <w:t>#4 OR #5 OR #6 OR #7 OR #8</w:t>
            </w:r>
          </w:p>
        </w:tc>
      </w:tr>
      <w:tr w:rsidR="0064556C" w:rsidRPr="00BF62A1" w14:paraId="64F1F6A6" w14:textId="77777777" w:rsidTr="009B5628">
        <w:trPr>
          <w:trHeight w:val="20"/>
        </w:trPr>
        <w:tc>
          <w:tcPr>
            <w:tcW w:w="284" w:type="pct"/>
            <w:noWrap/>
            <w:hideMark/>
          </w:tcPr>
          <w:p w14:paraId="1403AE67" w14:textId="77777777" w:rsidR="0064556C" w:rsidRPr="00BF62A1" w:rsidRDefault="0064556C" w:rsidP="002473B8">
            <w:pPr>
              <w:spacing w:line="240" w:lineRule="auto"/>
              <w:rPr>
                <w:color w:val="000000"/>
                <w:sz w:val="16"/>
                <w:szCs w:val="16"/>
              </w:rPr>
            </w:pPr>
            <w:r w:rsidRPr="00BF62A1">
              <w:rPr>
                <w:color w:val="000000"/>
                <w:sz w:val="16"/>
                <w:szCs w:val="16"/>
              </w:rPr>
              <w:t># 10</w:t>
            </w:r>
          </w:p>
        </w:tc>
        <w:tc>
          <w:tcPr>
            <w:tcW w:w="4716" w:type="pct"/>
            <w:noWrap/>
            <w:vAlign w:val="bottom"/>
            <w:hideMark/>
          </w:tcPr>
          <w:p w14:paraId="6C466DDF" w14:textId="77777777" w:rsidR="0064556C" w:rsidRPr="00BF62A1" w:rsidRDefault="0064556C" w:rsidP="002473B8">
            <w:pPr>
              <w:spacing w:line="240" w:lineRule="auto"/>
              <w:rPr>
                <w:color w:val="000000"/>
                <w:sz w:val="16"/>
                <w:szCs w:val="16"/>
              </w:rPr>
            </w:pPr>
            <w:r w:rsidRPr="00BF62A1">
              <w:rPr>
                <w:color w:val="000000"/>
                <w:sz w:val="16"/>
                <w:szCs w:val="16"/>
              </w:rPr>
              <w:t>#3 AND #9</w:t>
            </w:r>
          </w:p>
        </w:tc>
      </w:tr>
      <w:tr w:rsidR="0064556C" w:rsidRPr="00BF62A1" w14:paraId="771F67C0" w14:textId="77777777" w:rsidTr="009B5628">
        <w:trPr>
          <w:trHeight w:val="20"/>
        </w:trPr>
        <w:tc>
          <w:tcPr>
            <w:tcW w:w="284" w:type="pct"/>
            <w:noWrap/>
            <w:hideMark/>
          </w:tcPr>
          <w:p w14:paraId="31903B36" w14:textId="77777777" w:rsidR="0064556C" w:rsidRPr="00BF62A1" w:rsidRDefault="0064556C" w:rsidP="002473B8">
            <w:pPr>
              <w:spacing w:line="240" w:lineRule="auto"/>
              <w:rPr>
                <w:color w:val="000000"/>
                <w:sz w:val="16"/>
                <w:szCs w:val="16"/>
              </w:rPr>
            </w:pPr>
            <w:r w:rsidRPr="00BF62A1">
              <w:rPr>
                <w:color w:val="000000"/>
                <w:sz w:val="16"/>
                <w:szCs w:val="16"/>
              </w:rPr>
              <w:t># 11</w:t>
            </w:r>
          </w:p>
        </w:tc>
        <w:tc>
          <w:tcPr>
            <w:tcW w:w="4716" w:type="pct"/>
            <w:noWrap/>
            <w:vAlign w:val="bottom"/>
            <w:hideMark/>
          </w:tcPr>
          <w:p w14:paraId="053C5898" w14:textId="77777777" w:rsidR="0064556C" w:rsidRPr="00BF62A1" w:rsidRDefault="0064556C" w:rsidP="002473B8">
            <w:pPr>
              <w:spacing w:line="240" w:lineRule="auto"/>
              <w:rPr>
                <w:color w:val="000000"/>
                <w:sz w:val="16"/>
                <w:szCs w:val="16"/>
              </w:rPr>
            </w:pPr>
            <w:r w:rsidRPr="00BF62A1">
              <w:rPr>
                <w:color w:val="000000"/>
                <w:sz w:val="16"/>
                <w:szCs w:val="16"/>
              </w:rPr>
              <w:t>#10 NOT ("Conference Abstract" [Publication type] OR "Comment" [Publication Type] OR "Letter" [Publication Type] OR "Editorial" [Publication Type])</w:t>
            </w:r>
          </w:p>
        </w:tc>
      </w:tr>
    </w:tbl>
    <w:p w14:paraId="14E50523" w14:textId="77777777" w:rsidR="009B5628" w:rsidRPr="00BF62A1" w:rsidRDefault="009B5628" w:rsidP="002473B8">
      <w:pPr>
        <w:spacing w:line="240" w:lineRule="auto"/>
        <w:jc w:val="left"/>
      </w:pPr>
    </w:p>
    <w:p w14:paraId="5598B31C" w14:textId="6B61D87B" w:rsidR="009B5628" w:rsidRPr="00BF62A1" w:rsidRDefault="009B5628" w:rsidP="002473B8">
      <w:pPr>
        <w:spacing w:line="240" w:lineRule="auto"/>
        <w:jc w:val="left"/>
      </w:pPr>
    </w:p>
    <w:tbl>
      <w:tblPr>
        <w:tblW w:w="912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8617"/>
      </w:tblGrid>
      <w:tr w:rsidR="009B5628" w:rsidRPr="00BF62A1" w14:paraId="7CA45227" w14:textId="77777777" w:rsidTr="009B5628">
        <w:trPr>
          <w:trHeight w:val="223"/>
        </w:trPr>
        <w:tc>
          <w:tcPr>
            <w:tcW w:w="9127" w:type="dxa"/>
            <w:gridSpan w:val="2"/>
            <w:noWrap/>
            <w:vAlign w:val="bottom"/>
          </w:tcPr>
          <w:p w14:paraId="360BC57E" w14:textId="210BE5D5" w:rsidR="009B5628" w:rsidRPr="00BF62A1" w:rsidRDefault="009B5628" w:rsidP="002473B8">
            <w:pPr>
              <w:spacing w:line="240" w:lineRule="auto"/>
              <w:jc w:val="left"/>
              <w:rPr>
                <w:b/>
                <w:bCs/>
              </w:rPr>
            </w:pPr>
            <w:r w:rsidRPr="00BF62A1">
              <w:rPr>
                <w:b/>
                <w:bCs/>
              </w:rPr>
              <w:t>Cochrane Library:</w:t>
            </w:r>
          </w:p>
        </w:tc>
      </w:tr>
      <w:tr w:rsidR="0072687D" w:rsidRPr="00BF62A1" w14:paraId="075D6029" w14:textId="77777777" w:rsidTr="009B5628">
        <w:trPr>
          <w:trHeight w:val="20"/>
        </w:trPr>
        <w:tc>
          <w:tcPr>
            <w:tcW w:w="510" w:type="dxa"/>
            <w:noWrap/>
            <w:vAlign w:val="bottom"/>
            <w:hideMark/>
          </w:tcPr>
          <w:p w14:paraId="1FEC4EDE"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#1</w:t>
            </w:r>
          </w:p>
        </w:tc>
        <w:tc>
          <w:tcPr>
            <w:tcW w:w="8617" w:type="dxa"/>
            <w:noWrap/>
            <w:vAlign w:val="bottom"/>
            <w:hideMark/>
          </w:tcPr>
          <w:p w14:paraId="479A5937"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MeSH descriptor: [Hepatectomy] explode all trees</w:t>
            </w:r>
          </w:p>
        </w:tc>
      </w:tr>
      <w:tr w:rsidR="0072687D" w:rsidRPr="00BF62A1" w14:paraId="53B9796F" w14:textId="77777777" w:rsidTr="009B5628">
        <w:trPr>
          <w:trHeight w:val="20"/>
        </w:trPr>
        <w:tc>
          <w:tcPr>
            <w:tcW w:w="510" w:type="dxa"/>
            <w:noWrap/>
            <w:vAlign w:val="bottom"/>
            <w:hideMark/>
          </w:tcPr>
          <w:p w14:paraId="243EBBD2"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#2</w:t>
            </w:r>
          </w:p>
        </w:tc>
        <w:tc>
          <w:tcPr>
            <w:tcW w:w="8617" w:type="dxa"/>
            <w:noWrap/>
            <w:vAlign w:val="bottom"/>
            <w:hideMark/>
          </w:tcPr>
          <w:p w14:paraId="15B8203D"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MeSH descriptor: [Carcinoma, Hepatocellular] explode all trees</w:t>
            </w:r>
          </w:p>
        </w:tc>
      </w:tr>
      <w:tr w:rsidR="0072687D" w:rsidRPr="00BF62A1" w14:paraId="6CC46EA6" w14:textId="77777777" w:rsidTr="009B5628">
        <w:trPr>
          <w:trHeight w:val="20"/>
        </w:trPr>
        <w:tc>
          <w:tcPr>
            <w:tcW w:w="510" w:type="dxa"/>
            <w:noWrap/>
            <w:vAlign w:val="bottom"/>
            <w:hideMark/>
          </w:tcPr>
          <w:p w14:paraId="0D7476C9"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#3</w:t>
            </w:r>
          </w:p>
        </w:tc>
        <w:tc>
          <w:tcPr>
            <w:tcW w:w="8617" w:type="dxa"/>
            <w:noWrap/>
            <w:vAlign w:val="bottom"/>
            <w:hideMark/>
          </w:tcPr>
          <w:p w14:paraId="47FDC03B"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(segmentectom* OR hemi?hepat* OR trisectorectom* OR bi?segmentectom* OR Hepatectomy):ti,ab,kw</w:t>
            </w:r>
          </w:p>
        </w:tc>
      </w:tr>
      <w:tr w:rsidR="0072687D" w:rsidRPr="00BF62A1" w14:paraId="1FC80ABE" w14:textId="77777777" w:rsidTr="009B5628">
        <w:trPr>
          <w:trHeight w:val="20"/>
        </w:trPr>
        <w:tc>
          <w:tcPr>
            <w:tcW w:w="510" w:type="dxa"/>
            <w:noWrap/>
            <w:vAlign w:val="bottom"/>
            <w:hideMark/>
          </w:tcPr>
          <w:p w14:paraId="46D5C0A1"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#4</w:t>
            </w:r>
          </w:p>
        </w:tc>
        <w:tc>
          <w:tcPr>
            <w:tcW w:w="8617" w:type="dxa"/>
            <w:noWrap/>
            <w:vAlign w:val="bottom"/>
            <w:hideMark/>
          </w:tcPr>
          <w:p w14:paraId="114BB0BD"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((liver OR hepat*) NEAR/3 (surg* OR resect* OR lobectomy)):ti,ab,kw</w:t>
            </w:r>
          </w:p>
        </w:tc>
      </w:tr>
      <w:tr w:rsidR="0072687D" w:rsidRPr="00BF62A1" w14:paraId="3B338A0C" w14:textId="77777777" w:rsidTr="009B5628">
        <w:trPr>
          <w:trHeight w:val="20"/>
        </w:trPr>
        <w:tc>
          <w:tcPr>
            <w:tcW w:w="510" w:type="dxa"/>
            <w:noWrap/>
            <w:vAlign w:val="bottom"/>
            <w:hideMark/>
          </w:tcPr>
          <w:p w14:paraId="5850EAD2"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#5</w:t>
            </w:r>
          </w:p>
        </w:tc>
        <w:tc>
          <w:tcPr>
            <w:tcW w:w="8617" w:type="dxa"/>
            <w:noWrap/>
            <w:vAlign w:val="bottom"/>
            <w:hideMark/>
          </w:tcPr>
          <w:p w14:paraId="334D654A"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#1 OR #2 OR #3 OR #4</w:t>
            </w:r>
          </w:p>
        </w:tc>
      </w:tr>
      <w:tr w:rsidR="0072687D" w:rsidRPr="00BF62A1" w14:paraId="39CFEC24" w14:textId="77777777" w:rsidTr="009B5628">
        <w:trPr>
          <w:trHeight w:val="20"/>
        </w:trPr>
        <w:tc>
          <w:tcPr>
            <w:tcW w:w="510" w:type="dxa"/>
            <w:noWrap/>
            <w:vAlign w:val="bottom"/>
            <w:hideMark/>
          </w:tcPr>
          <w:p w14:paraId="4343B0BF"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#6</w:t>
            </w:r>
          </w:p>
        </w:tc>
        <w:tc>
          <w:tcPr>
            <w:tcW w:w="8617" w:type="dxa"/>
            <w:noWrap/>
            <w:vAlign w:val="bottom"/>
            <w:hideMark/>
          </w:tcPr>
          <w:p w14:paraId="16E066AE"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MeSH descriptor: [Hospitals, High-Volume] explode all trees</w:t>
            </w:r>
          </w:p>
        </w:tc>
      </w:tr>
      <w:tr w:rsidR="0072687D" w:rsidRPr="00BF62A1" w14:paraId="6AC3F2A7" w14:textId="77777777" w:rsidTr="009B5628">
        <w:trPr>
          <w:trHeight w:val="20"/>
        </w:trPr>
        <w:tc>
          <w:tcPr>
            <w:tcW w:w="510" w:type="dxa"/>
            <w:noWrap/>
            <w:vAlign w:val="bottom"/>
            <w:hideMark/>
          </w:tcPr>
          <w:p w14:paraId="78A2ED21"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#7</w:t>
            </w:r>
          </w:p>
        </w:tc>
        <w:tc>
          <w:tcPr>
            <w:tcW w:w="8617" w:type="dxa"/>
            <w:noWrap/>
            <w:vAlign w:val="bottom"/>
            <w:hideMark/>
          </w:tcPr>
          <w:p w14:paraId="1D6FF2D7"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MeSH descriptor: [Hospitals, Low-Volume] explode all trees</w:t>
            </w:r>
          </w:p>
        </w:tc>
      </w:tr>
      <w:tr w:rsidR="0072687D" w:rsidRPr="00BF62A1" w14:paraId="70555E42" w14:textId="77777777" w:rsidTr="009B5628">
        <w:trPr>
          <w:trHeight w:val="20"/>
        </w:trPr>
        <w:tc>
          <w:tcPr>
            <w:tcW w:w="510" w:type="dxa"/>
            <w:noWrap/>
            <w:vAlign w:val="bottom"/>
            <w:hideMark/>
          </w:tcPr>
          <w:p w14:paraId="7A40D49E"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#8</w:t>
            </w:r>
          </w:p>
        </w:tc>
        <w:tc>
          <w:tcPr>
            <w:tcW w:w="8617" w:type="dxa"/>
            <w:noWrap/>
            <w:vAlign w:val="bottom"/>
            <w:hideMark/>
          </w:tcPr>
          <w:p w14:paraId="2429BD71"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(“high volume hospital*” OR “low volume hospital*” OR “high volume center*” OR “high volume centre*” OR “low-volume center*” OR “low volume centre*” OR “hospital volume*” OR “hospital size*” OR “clinic size*” OR "center volume*" OR "centre volume*" OR "high-volume center" OR "high volume centre" OR "center size*" OR "centre size*" OR "patient volume*" OR "provider volume*" OR "surgical volume*" OR "procedure volume*” OR "procedural volume*” OR "facility volume*” OR "treatment volume*”):ti,ab,kw</w:t>
            </w:r>
          </w:p>
        </w:tc>
      </w:tr>
      <w:tr w:rsidR="0072687D" w:rsidRPr="00BF62A1" w14:paraId="77A47FED" w14:textId="77777777" w:rsidTr="009B5628">
        <w:trPr>
          <w:trHeight w:val="20"/>
        </w:trPr>
        <w:tc>
          <w:tcPr>
            <w:tcW w:w="510" w:type="dxa"/>
            <w:noWrap/>
            <w:vAlign w:val="bottom"/>
            <w:hideMark/>
          </w:tcPr>
          <w:p w14:paraId="160DEB63"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#9</w:t>
            </w:r>
          </w:p>
        </w:tc>
        <w:tc>
          <w:tcPr>
            <w:tcW w:w="8617" w:type="dxa"/>
            <w:noWrap/>
            <w:vAlign w:val="bottom"/>
            <w:hideMark/>
          </w:tcPr>
          <w:p w14:paraId="2F0BED89"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(surgeon* AND (volume* OR workload OR caseload)):ti,ab,kw</w:t>
            </w:r>
          </w:p>
        </w:tc>
      </w:tr>
      <w:tr w:rsidR="0072687D" w:rsidRPr="00BF62A1" w14:paraId="74EE9EFC" w14:textId="77777777" w:rsidTr="009B5628">
        <w:trPr>
          <w:trHeight w:val="20"/>
        </w:trPr>
        <w:tc>
          <w:tcPr>
            <w:tcW w:w="510" w:type="dxa"/>
            <w:noWrap/>
            <w:vAlign w:val="bottom"/>
            <w:hideMark/>
          </w:tcPr>
          <w:p w14:paraId="7CCC9B28"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#10</w:t>
            </w:r>
          </w:p>
        </w:tc>
        <w:tc>
          <w:tcPr>
            <w:tcW w:w="8617" w:type="dxa"/>
            <w:noWrap/>
            <w:vAlign w:val="bottom"/>
            <w:hideMark/>
          </w:tcPr>
          <w:p w14:paraId="50695BAB"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(volume* NEAR/3 outcome*):ti,ab,kw</w:t>
            </w:r>
          </w:p>
        </w:tc>
      </w:tr>
      <w:tr w:rsidR="0072687D" w:rsidRPr="00BF62A1" w14:paraId="2E3C3405" w14:textId="77777777" w:rsidTr="009B5628">
        <w:trPr>
          <w:trHeight w:val="20"/>
        </w:trPr>
        <w:tc>
          <w:tcPr>
            <w:tcW w:w="510" w:type="dxa"/>
            <w:noWrap/>
            <w:vAlign w:val="bottom"/>
            <w:hideMark/>
          </w:tcPr>
          <w:p w14:paraId="01563105"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#11</w:t>
            </w:r>
          </w:p>
        </w:tc>
        <w:tc>
          <w:tcPr>
            <w:tcW w:w="8617" w:type="dxa"/>
            <w:noWrap/>
            <w:vAlign w:val="bottom"/>
            <w:hideMark/>
          </w:tcPr>
          <w:p w14:paraId="62A34FE0"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(centrali* OR decentrali* OR regionali?ation):ti,ab,kw</w:t>
            </w:r>
          </w:p>
        </w:tc>
      </w:tr>
      <w:tr w:rsidR="0072687D" w:rsidRPr="00BF62A1" w14:paraId="581E3EF3" w14:textId="77777777" w:rsidTr="009B5628">
        <w:trPr>
          <w:trHeight w:val="20"/>
        </w:trPr>
        <w:tc>
          <w:tcPr>
            <w:tcW w:w="510" w:type="dxa"/>
            <w:noWrap/>
            <w:vAlign w:val="bottom"/>
            <w:hideMark/>
          </w:tcPr>
          <w:p w14:paraId="56A47B7B"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#12</w:t>
            </w:r>
          </w:p>
        </w:tc>
        <w:tc>
          <w:tcPr>
            <w:tcW w:w="8617" w:type="dxa"/>
            <w:noWrap/>
            <w:vAlign w:val="bottom"/>
            <w:hideMark/>
          </w:tcPr>
          <w:p w14:paraId="7F220B73"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MeSH descriptor: [Surgeons] explode all trees</w:t>
            </w:r>
          </w:p>
        </w:tc>
      </w:tr>
      <w:tr w:rsidR="0072687D" w:rsidRPr="00BF62A1" w14:paraId="3C861540" w14:textId="77777777" w:rsidTr="009B5628">
        <w:trPr>
          <w:trHeight w:val="20"/>
        </w:trPr>
        <w:tc>
          <w:tcPr>
            <w:tcW w:w="510" w:type="dxa"/>
            <w:noWrap/>
            <w:vAlign w:val="bottom"/>
            <w:hideMark/>
          </w:tcPr>
          <w:p w14:paraId="1B61DA01"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#13</w:t>
            </w:r>
          </w:p>
        </w:tc>
        <w:tc>
          <w:tcPr>
            <w:tcW w:w="8617" w:type="dxa"/>
            <w:noWrap/>
            <w:vAlign w:val="bottom"/>
            <w:hideMark/>
          </w:tcPr>
          <w:p w14:paraId="13F51728"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MeSH descriptor: [Patient Outcome Assessment] explode all trees</w:t>
            </w:r>
          </w:p>
        </w:tc>
      </w:tr>
      <w:tr w:rsidR="0072687D" w:rsidRPr="00BF62A1" w14:paraId="7A658304" w14:textId="77777777" w:rsidTr="009B5628">
        <w:trPr>
          <w:trHeight w:val="20"/>
        </w:trPr>
        <w:tc>
          <w:tcPr>
            <w:tcW w:w="510" w:type="dxa"/>
            <w:noWrap/>
            <w:vAlign w:val="bottom"/>
            <w:hideMark/>
          </w:tcPr>
          <w:p w14:paraId="7EEA092B"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#14</w:t>
            </w:r>
          </w:p>
        </w:tc>
        <w:tc>
          <w:tcPr>
            <w:tcW w:w="8617" w:type="dxa"/>
            <w:noWrap/>
            <w:vAlign w:val="bottom"/>
            <w:hideMark/>
          </w:tcPr>
          <w:p w14:paraId="736EBD6A"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MeSH descriptor: [Treatment Outcome] explode all trees</w:t>
            </w:r>
          </w:p>
        </w:tc>
      </w:tr>
      <w:tr w:rsidR="0072687D" w:rsidRPr="00BF62A1" w14:paraId="2E061866" w14:textId="77777777" w:rsidTr="009B5628">
        <w:trPr>
          <w:trHeight w:val="20"/>
        </w:trPr>
        <w:tc>
          <w:tcPr>
            <w:tcW w:w="510" w:type="dxa"/>
            <w:noWrap/>
            <w:vAlign w:val="bottom"/>
            <w:hideMark/>
          </w:tcPr>
          <w:p w14:paraId="236025DE"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#15</w:t>
            </w:r>
          </w:p>
        </w:tc>
        <w:tc>
          <w:tcPr>
            <w:tcW w:w="8617" w:type="dxa"/>
            <w:noWrap/>
            <w:vAlign w:val="bottom"/>
            <w:hideMark/>
          </w:tcPr>
          <w:p w14:paraId="3A998167"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#11 OR #12 OR #13 OR #14</w:t>
            </w:r>
          </w:p>
        </w:tc>
      </w:tr>
      <w:tr w:rsidR="0072687D" w:rsidRPr="00BF62A1" w14:paraId="486F9561" w14:textId="77777777" w:rsidTr="009B5628">
        <w:trPr>
          <w:trHeight w:val="20"/>
        </w:trPr>
        <w:tc>
          <w:tcPr>
            <w:tcW w:w="510" w:type="dxa"/>
            <w:noWrap/>
            <w:vAlign w:val="bottom"/>
            <w:hideMark/>
          </w:tcPr>
          <w:p w14:paraId="3AE2BB93"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#16</w:t>
            </w:r>
          </w:p>
        </w:tc>
        <w:tc>
          <w:tcPr>
            <w:tcW w:w="8617" w:type="dxa"/>
            <w:noWrap/>
            <w:vAlign w:val="bottom"/>
            <w:hideMark/>
          </w:tcPr>
          <w:p w14:paraId="2742CAEC"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(volume* OR workload OR caseload):ti,ab,kw</w:t>
            </w:r>
          </w:p>
        </w:tc>
      </w:tr>
      <w:tr w:rsidR="0072687D" w:rsidRPr="00BF62A1" w14:paraId="2FCD8831" w14:textId="77777777" w:rsidTr="009B5628">
        <w:trPr>
          <w:trHeight w:val="20"/>
        </w:trPr>
        <w:tc>
          <w:tcPr>
            <w:tcW w:w="510" w:type="dxa"/>
            <w:noWrap/>
            <w:vAlign w:val="bottom"/>
            <w:hideMark/>
          </w:tcPr>
          <w:p w14:paraId="7BC27550"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#17</w:t>
            </w:r>
          </w:p>
        </w:tc>
        <w:tc>
          <w:tcPr>
            <w:tcW w:w="8617" w:type="dxa"/>
            <w:noWrap/>
            <w:vAlign w:val="bottom"/>
            <w:hideMark/>
          </w:tcPr>
          <w:p w14:paraId="6E1B7E6A"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#15 AND #16</w:t>
            </w:r>
          </w:p>
        </w:tc>
      </w:tr>
      <w:tr w:rsidR="0072687D" w:rsidRPr="00BF62A1" w14:paraId="5DE8290B" w14:textId="77777777" w:rsidTr="009B5628">
        <w:trPr>
          <w:trHeight w:val="20"/>
        </w:trPr>
        <w:tc>
          <w:tcPr>
            <w:tcW w:w="510" w:type="dxa"/>
            <w:noWrap/>
            <w:vAlign w:val="bottom"/>
            <w:hideMark/>
          </w:tcPr>
          <w:p w14:paraId="7AEE97FD"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#18</w:t>
            </w:r>
          </w:p>
        </w:tc>
        <w:tc>
          <w:tcPr>
            <w:tcW w:w="8617" w:type="dxa"/>
            <w:noWrap/>
            <w:vAlign w:val="bottom"/>
            <w:hideMark/>
          </w:tcPr>
          <w:p w14:paraId="2E49BD19"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#6 OR #7 OR #8 OR #9 OR #10 OR #17</w:t>
            </w:r>
          </w:p>
        </w:tc>
      </w:tr>
      <w:tr w:rsidR="0072687D" w:rsidRPr="00BF62A1" w14:paraId="3DC2E1E4" w14:textId="77777777" w:rsidTr="009B5628">
        <w:trPr>
          <w:trHeight w:val="20"/>
        </w:trPr>
        <w:tc>
          <w:tcPr>
            <w:tcW w:w="510" w:type="dxa"/>
            <w:noWrap/>
            <w:vAlign w:val="bottom"/>
            <w:hideMark/>
          </w:tcPr>
          <w:p w14:paraId="2E7B7758"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#19</w:t>
            </w:r>
          </w:p>
        </w:tc>
        <w:tc>
          <w:tcPr>
            <w:tcW w:w="8617" w:type="dxa"/>
            <w:noWrap/>
            <w:vAlign w:val="bottom"/>
            <w:hideMark/>
          </w:tcPr>
          <w:p w14:paraId="519E3778"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xml:space="preserve">#5 AND #18 in Cochrane Reviews, Cochrane Protocols and Trials </w:t>
            </w:r>
          </w:p>
        </w:tc>
      </w:tr>
    </w:tbl>
    <w:p w14:paraId="5CFC53B9" w14:textId="5853E2C2" w:rsidR="004D7AC0" w:rsidRPr="00BF62A1" w:rsidRDefault="004D7AC0" w:rsidP="002473B8">
      <w:pPr>
        <w:spacing w:line="240" w:lineRule="auto"/>
        <w:jc w:val="left"/>
      </w:pPr>
      <w:r w:rsidRPr="00BF62A1">
        <w:br w:type="page"/>
      </w:r>
    </w:p>
    <w:p w14:paraId="56D5D547" w14:textId="68EBD3A4" w:rsidR="004D7AC0" w:rsidRPr="00BF62A1" w:rsidRDefault="004D7AC0" w:rsidP="002473B8">
      <w:pPr>
        <w:spacing w:line="240" w:lineRule="auto"/>
        <w:jc w:val="left"/>
      </w:pPr>
    </w:p>
    <w:tbl>
      <w:tblPr>
        <w:tblW w:w="918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17"/>
      </w:tblGrid>
      <w:tr w:rsidR="009B5628" w:rsidRPr="00BF62A1" w14:paraId="75FAED9E" w14:textId="77777777" w:rsidTr="009B5628">
        <w:trPr>
          <w:trHeight w:val="20"/>
        </w:trPr>
        <w:tc>
          <w:tcPr>
            <w:tcW w:w="9184" w:type="dxa"/>
            <w:gridSpan w:val="2"/>
          </w:tcPr>
          <w:p w14:paraId="4078D11C" w14:textId="00E97AA6" w:rsidR="009B5628" w:rsidRPr="00BF62A1" w:rsidRDefault="009B5628" w:rsidP="002473B8">
            <w:pPr>
              <w:spacing w:line="240" w:lineRule="auto"/>
              <w:jc w:val="left"/>
              <w:rPr>
                <w:b/>
                <w:bCs/>
                <w:color w:val="000000"/>
                <w:sz w:val="16"/>
                <w:szCs w:val="16"/>
                <w:lang w:eastAsia="en-US"/>
              </w:rPr>
            </w:pPr>
            <w:r w:rsidRPr="00BF62A1">
              <w:rPr>
                <w:b/>
                <w:bCs/>
              </w:rPr>
              <w:t>EMBASE</w:t>
            </w:r>
            <w:r w:rsidR="007D0E23" w:rsidRPr="00BF62A1">
              <w:rPr>
                <w:b/>
                <w:bCs/>
              </w:rPr>
              <w:t>:</w:t>
            </w:r>
          </w:p>
        </w:tc>
      </w:tr>
      <w:tr w:rsidR="0072687D" w:rsidRPr="00BF62A1" w14:paraId="66CBD365" w14:textId="77777777" w:rsidTr="009B5628">
        <w:trPr>
          <w:trHeight w:val="20"/>
        </w:trPr>
        <w:tc>
          <w:tcPr>
            <w:tcW w:w="567" w:type="dxa"/>
            <w:hideMark/>
          </w:tcPr>
          <w:p w14:paraId="6463FA81"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1</w:t>
            </w:r>
          </w:p>
        </w:tc>
        <w:tc>
          <w:tcPr>
            <w:tcW w:w="8617" w:type="dxa"/>
            <w:vAlign w:val="bottom"/>
            <w:hideMark/>
          </w:tcPr>
          <w:p w14:paraId="6A8E0E69"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exp liver resection/</w:t>
            </w:r>
          </w:p>
        </w:tc>
      </w:tr>
      <w:tr w:rsidR="0072687D" w:rsidRPr="00BF62A1" w14:paraId="4E05422D" w14:textId="77777777" w:rsidTr="009B5628">
        <w:trPr>
          <w:trHeight w:val="20"/>
        </w:trPr>
        <w:tc>
          <w:tcPr>
            <w:tcW w:w="567" w:type="dxa"/>
            <w:hideMark/>
          </w:tcPr>
          <w:p w14:paraId="3479B032"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2</w:t>
            </w:r>
          </w:p>
        </w:tc>
        <w:tc>
          <w:tcPr>
            <w:tcW w:w="8617" w:type="dxa"/>
            <w:vAlign w:val="bottom"/>
            <w:hideMark/>
          </w:tcPr>
          <w:p w14:paraId="3B693439"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exp liver disease/su [Surgery]</w:t>
            </w:r>
          </w:p>
        </w:tc>
      </w:tr>
      <w:tr w:rsidR="0072687D" w:rsidRPr="00BF62A1" w14:paraId="4002651A" w14:textId="77777777" w:rsidTr="009B5628">
        <w:trPr>
          <w:trHeight w:val="20"/>
        </w:trPr>
        <w:tc>
          <w:tcPr>
            <w:tcW w:w="567" w:type="dxa"/>
            <w:hideMark/>
          </w:tcPr>
          <w:p w14:paraId="3AC89F86"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3</w:t>
            </w:r>
          </w:p>
        </w:tc>
        <w:tc>
          <w:tcPr>
            <w:tcW w:w="8617" w:type="dxa"/>
            <w:vAlign w:val="bottom"/>
            <w:hideMark/>
          </w:tcPr>
          <w:p w14:paraId="3D9CB617"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exp liver metastasis/su [Surgery]</w:t>
            </w:r>
          </w:p>
        </w:tc>
      </w:tr>
      <w:tr w:rsidR="0072687D" w:rsidRPr="00312729" w14:paraId="782110C9" w14:textId="77777777" w:rsidTr="009B5628">
        <w:trPr>
          <w:trHeight w:val="20"/>
        </w:trPr>
        <w:tc>
          <w:tcPr>
            <w:tcW w:w="567" w:type="dxa"/>
            <w:hideMark/>
          </w:tcPr>
          <w:p w14:paraId="36ED5AA2"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4</w:t>
            </w:r>
          </w:p>
        </w:tc>
        <w:tc>
          <w:tcPr>
            <w:tcW w:w="8617" w:type="dxa"/>
            <w:vAlign w:val="bottom"/>
            <w:hideMark/>
          </w:tcPr>
          <w:p w14:paraId="4ABAB791" w14:textId="77777777" w:rsidR="004D7AC0" w:rsidRPr="00864538" w:rsidRDefault="004D7AC0" w:rsidP="002473B8">
            <w:pPr>
              <w:spacing w:line="240" w:lineRule="auto"/>
              <w:jc w:val="left"/>
              <w:rPr>
                <w:color w:val="000000"/>
                <w:sz w:val="16"/>
                <w:szCs w:val="16"/>
                <w:lang w:val="fr-FR" w:eastAsia="en-US"/>
              </w:rPr>
            </w:pPr>
            <w:r w:rsidRPr="00864538">
              <w:rPr>
                <w:color w:val="000000"/>
                <w:sz w:val="16"/>
                <w:szCs w:val="16"/>
                <w:lang w:val="fr-FR" w:eastAsia="en-US"/>
              </w:rPr>
              <w:t>exp liver cell carcinoma/su [Surgery]</w:t>
            </w:r>
          </w:p>
        </w:tc>
      </w:tr>
      <w:tr w:rsidR="0072687D" w:rsidRPr="00BF62A1" w14:paraId="34D1DC7F" w14:textId="77777777" w:rsidTr="009B5628">
        <w:trPr>
          <w:trHeight w:val="20"/>
        </w:trPr>
        <w:tc>
          <w:tcPr>
            <w:tcW w:w="567" w:type="dxa"/>
            <w:hideMark/>
          </w:tcPr>
          <w:p w14:paraId="278DEA6E"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5</w:t>
            </w:r>
          </w:p>
        </w:tc>
        <w:tc>
          <w:tcPr>
            <w:tcW w:w="8617" w:type="dxa"/>
            <w:vAlign w:val="bottom"/>
            <w:hideMark/>
          </w:tcPr>
          <w:p w14:paraId="0A6737BC"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(segmentectom* or hemihepat* or "hemi-hepat*" or trisectorectom* or bisegmentectom* or "bi-segmentectom*" or Hepatectomy).ab,kf,kw,ti.</w:t>
            </w:r>
          </w:p>
        </w:tc>
      </w:tr>
      <w:tr w:rsidR="0072687D" w:rsidRPr="00BF62A1" w14:paraId="363E6622" w14:textId="77777777" w:rsidTr="009B5628">
        <w:trPr>
          <w:trHeight w:val="20"/>
        </w:trPr>
        <w:tc>
          <w:tcPr>
            <w:tcW w:w="567" w:type="dxa"/>
            <w:hideMark/>
          </w:tcPr>
          <w:p w14:paraId="7204CCA0"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6</w:t>
            </w:r>
          </w:p>
        </w:tc>
        <w:tc>
          <w:tcPr>
            <w:tcW w:w="8617" w:type="dxa"/>
            <w:vAlign w:val="bottom"/>
            <w:hideMark/>
          </w:tcPr>
          <w:p w14:paraId="3D2B03D2"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(surg* or resect* or lobectomy).ab,kf,kw,ti.</w:t>
            </w:r>
          </w:p>
        </w:tc>
      </w:tr>
      <w:tr w:rsidR="0072687D" w:rsidRPr="00BF62A1" w14:paraId="55CD8922" w14:textId="77777777" w:rsidTr="009B5628">
        <w:trPr>
          <w:trHeight w:val="20"/>
        </w:trPr>
        <w:tc>
          <w:tcPr>
            <w:tcW w:w="567" w:type="dxa"/>
            <w:hideMark/>
          </w:tcPr>
          <w:p w14:paraId="12E0EDD6"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7</w:t>
            </w:r>
          </w:p>
        </w:tc>
        <w:tc>
          <w:tcPr>
            <w:tcW w:w="8617" w:type="dxa"/>
            <w:vAlign w:val="bottom"/>
            <w:hideMark/>
          </w:tcPr>
          <w:p w14:paraId="5A10E928"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(liver or hepat*).ab,kf,kw,ti.</w:t>
            </w:r>
          </w:p>
        </w:tc>
      </w:tr>
      <w:tr w:rsidR="0072687D" w:rsidRPr="00BF62A1" w14:paraId="5C3D164A" w14:textId="77777777" w:rsidTr="009B5628">
        <w:trPr>
          <w:trHeight w:val="20"/>
        </w:trPr>
        <w:tc>
          <w:tcPr>
            <w:tcW w:w="567" w:type="dxa"/>
            <w:hideMark/>
          </w:tcPr>
          <w:p w14:paraId="4912C2E1"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8</w:t>
            </w:r>
          </w:p>
        </w:tc>
        <w:tc>
          <w:tcPr>
            <w:tcW w:w="8617" w:type="dxa"/>
            <w:vAlign w:val="bottom"/>
            <w:hideMark/>
          </w:tcPr>
          <w:p w14:paraId="6FCB104C" w14:textId="43BC861B" w:rsidR="004D7AC0" w:rsidRPr="00BF62A1" w:rsidRDefault="0072687D" w:rsidP="002473B8">
            <w:pPr>
              <w:spacing w:line="240" w:lineRule="auto"/>
              <w:jc w:val="left"/>
              <w:rPr>
                <w:color w:val="000000"/>
                <w:sz w:val="16"/>
                <w:szCs w:val="16"/>
                <w:lang w:eastAsia="en-US"/>
              </w:rPr>
            </w:pPr>
            <w:r w:rsidRPr="00BF62A1">
              <w:rPr>
                <w:color w:val="000000"/>
                <w:sz w:val="16"/>
                <w:szCs w:val="16"/>
                <w:lang w:eastAsia="en-US"/>
              </w:rPr>
              <w:t>#</w:t>
            </w:r>
            <w:r w:rsidR="004D7AC0" w:rsidRPr="00BF62A1">
              <w:rPr>
                <w:color w:val="000000"/>
                <w:sz w:val="16"/>
                <w:szCs w:val="16"/>
                <w:lang w:eastAsia="en-US"/>
              </w:rPr>
              <w:t xml:space="preserve">6 and </w:t>
            </w:r>
            <w:r w:rsidRPr="00BF62A1">
              <w:rPr>
                <w:color w:val="000000"/>
                <w:sz w:val="16"/>
                <w:szCs w:val="16"/>
                <w:lang w:eastAsia="en-US"/>
              </w:rPr>
              <w:t>#</w:t>
            </w:r>
            <w:r w:rsidR="004D7AC0" w:rsidRPr="00BF62A1">
              <w:rPr>
                <w:color w:val="000000"/>
                <w:sz w:val="16"/>
                <w:szCs w:val="16"/>
                <w:lang w:eastAsia="en-US"/>
              </w:rPr>
              <w:t>7</w:t>
            </w:r>
          </w:p>
        </w:tc>
      </w:tr>
      <w:tr w:rsidR="0072687D" w:rsidRPr="00BF62A1" w14:paraId="431CB8AA" w14:textId="77777777" w:rsidTr="009B5628">
        <w:trPr>
          <w:trHeight w:val="20"/>
        </w:trPr>
        <w:tc>
          <w:tcPr>
            <w:tcW w:w="567" w:type="dxa"/>
            <w:hideMark/>
          </w:tcPr>
          <w:p w14:paraId="2E8CF744"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9</w:t>
            </w:r>
          </w:p>
        </w:tc>
        <w:tc>
          <w:tcPr>
            <w:tcW w:w="8617" w:type="dxa"/>
            <w:vAlign w:val="bottom"/>
            <w:hideMark/>
          </w:tcPr>
          <w:p w14:paraId="70F6B222" w14:textId="7B67B0CB" w:rsidR="004D7AC0" w:rsidRPr="00BF62A1" w:rsidRDefault="0072687D" w:rsidP="002473B8">
            <w:pPr>
              <w:spacing w:line="240" w:lineRule="auto"/>
              <w:jc w:val="left"/>
              <w:rPr>
                <w:color w:val="000000"/>
                <w:sz w:val="16"/>
                <w:szCs w:val="16"/>
                <w:lang w:eastAsia="en-US"/>
              </w:rPr>
            </w:pPr>
            <w:r w:rsidRPr="00BF62A1">
              <w:rPr>
                <w:color w:val="000000"/>
                <w:sz w:val="16"/>
                <w:szCs w:val="16"/>
                <w:lang w:eastAsia="en-US"/>
              </w:rPr>
              <w:t>#</w:t>
            </w:r>
            <w:r w:rsidR="004D7AC0" w:rsidRPr="00BF62A1">
              <w:rPr>
                <w:color w:val="000000"/>
                <w:sz w:val="16"/>
                <w:szCs w:val="16"/>
                <w:lang w:eastAsia="en-US"/>
              </w:rPr>
              <w:t xml:space="preserve">1 or </w:t>
            </w:r>
            <w:r w:rsidRPr="00BF62A1">
              <w:rPr>
                <w:color w:val="000000"/>
                <w:sz w:val="16"/>
                <w:szCs w:val="16"/>
                <w:lang w:eastAsia="en-US"/>
              </w:rPr>
              <w:t>#</w:t>
            </w:r>
            <w:r w:rsidR="004D7AC0" w:rsidRPr="00BF62A1">
              <w:rPr>
                <w:color w:val="000000"/>
                <w:sz w:val="16"/>
                <w:szCs w:val="16"/>
                <w:lang w:eastAsia="en-US"/>
              </w:rPr>
              <w:t xml:space="preserve">2 or </w:t>
            </w:r>
            <w:r w:rsidRPr="00BF62A1">
              <w:rPr>
                <w:color w:val="000000"/>
                <w:sz w:val="16"/>
                <w:szCs w:val="16"/>
                <w:lang w:eastAsia="en-US"/>
              </w:rPr>
              <w:t>#</w:t>
            </w:r>
            <w:r w:rsidR="004D7AC0" w:rsidRPr="00BF62A1">
              <w:rPr>
                <w:color w:val="000000"/>
                <w:sz w:val="16"/>
                <w:szCs w:val="16"/>
                <w:lang w:eastAsia="en-US"/>
              </w:rPr>
              <w:t xml:space="preserve">3 or </w:t>
            </w:r>
            <w:r w:rsidRPr="00BF62A1">
              <w:rPr>
                <w:color w:val="000000"/>
                <w:sz w:val="16"/>
                <w:szCs w:val="16"/>
                <w:lang w:eastAsia="en-US"/>
              </w:rPr>
              <w:t>#</w:t>
            </w:r>
            <w:r w:rsidR="004D7AC0" w:rsidRPr="00BF62A1">
              <w:rPr>
                <w:color w:val="000000"/>
                <w:sz w:val="16"/>
                <w:szCs w:val="16"/>
                <w:lang w:eastAsia="en-US"/>
              </w:rPr>
              <w:t xml:space="preserve">4 or </w:t>
            </w:r>
            <w:r w:rsidRPr="00BF62A1">
              <w:rPr>
                <w:color w:val="000000"/>
                <w:sz w:val="16"/>
                <w:szCs w:val="16"/>
                <w:lang w:eastAsia="en-US"/>
              </w:rPr>
              <w:t>#</w:t>
            </w:r>
            <w:r w:rsidR="004D7AC0" w:rsidRPr="00BF62A1">
              <w:rPr>
                <w:color w:val="000000"/>
                <w:sz w:val="16"/>
                <w:szCs w:val="16"/>
                <w:lang w:eastAsia="en-US"/>
              </w:rPr>
              <w:t xml:space="preserve">5 or </w:t>
            </w:r>
            <w:r w:rsidRPr="00BF62A1">
              <w:rPr>
                <w:color w:val="000000"/>
                <w:sz w:val="16"/>
                <w:szCs w:val="16"/>
                <w:lang w:eastAsia="en-US"/>
              </w:rPr>
              <w:t>#</w:t>
            </w:r>
            <w:r w:rsidR="004D7AC0" w:rsidRPr="00BF62A1">
              <w:rPr>
                <w:color w:val="000000"/>
                <w:sz w:val="16"/>
                <w:szCs w:val="16"/>
                <w:lang w:eastAsia="en-US"/>
              </w:rPr>
              <w:t>8</w:t>
            </w:r>
          </w:p>
        </w:tc>
      </w:tr>
      <w:tr w:rsidR="0072687D" w:rsidRPr="00BF62A1" w14:paraId="5BB3077F" w14:textId="77777777" w:rsidTr="009B5628">
        <w:trPr>
          <w:trHeight w:val="20"/>
        </w:trPr>
        <w:tc>
          <w:tcPr>
            <w:tcW w:w="567" w:type="dxa"/>
            <w:hideMark/>
          </w:tcPr>
          <w:p w14:paraId="3FE52467"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10</w:t>
            </w:r>
          </w:p>
        </w:tc>
        <w:tc>
          <w:tcPr>
            <w:tcW w:w="8617" w:type="dxa"/>
            <w:vAlign w:val="bottom"/>
            <w:hideMark/>
          </w:tcPr>
          <w:p w14:paraId="54B26AAB"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volume/ or high volume surgeon/ or surgeon volume/ or low volume hospital/ or surgical volume/ or high volume hospital/ or patient volume/ or hospital volume/ or low volume surgeon/</w:t>
            </w:r>
          </w:p>
        </w:tc>
      </w:tr>
      <w:tr w:rsidR="0072687D" w:rsidRPr="00BF62A1" w14:paraId="252E96B5" w14:textId="77777777" w:rsidTr="009B5628">
        <w:trPr>
          <w:trHeight w:val="20"/>
        </w:trPr>
        <w:tc>
          <w:tcPr>
            <w:tcW w:w="567" w:type="dxa"/>
            <w:hideMark/>
          </w:tcPr>
          <w:p w14:paraId="7E338A1F"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11</w:t>
            </w:r>
          </w:p>
        </w:tc>
        <w:tc>
          <w:tcPr>
            <w:tcW w:w="8617" w:type="dxa"/>
            <w:vAlign w:val="bottom"/>
            <w:hideMark/>
          </w:tcPr>
          <w:p w14:paraId="1A46B230"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("high volume hospital*" or "low volume hospital*" or "high volume center*" or "high volume centre*" or "low volume center*" or "low volume centre*" or "hospital volume*" or "hospital size*" or "clinic size*" or "center volume*" or "centre volume*" or "high volume center" or "high volume centre" or "center size*" or "centre size*" or "patient volume*" or "provider volume*" or "surgical volume*" or "procedure volume*" or "procedural volume*" or "facility volume*" or "treatment volume*").ab,kf,kw,ti.</w:t>
            </w:r>
          </w:p>
        </w:tc>
      </w:tr>
      <w:tr w:rsidR="0072687D" w:rsidRPr="00BF62A1" w14:paraId="099B6B43" w14:textId="77777777" w:rsidTr="009B5628">
        <w:trPr>
          <w:trHeight w:val="20"/>
        </w:trPr>
        <w:tc>
          <w:tcPr>
            <w:tcW w:w="567" w:type="dxa"/>
            <w:hideMark/>
          </w:tcPr>
          <w:p w14:paraId="07586B3C"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12</w:t>
            </w:r>
          </w:p>
        </w:tc>
        <w:tc>
          <w:tcPr>
            <w:tcW w:w="8617" w:type="dxa"/>
            <w:vAlign w:val="bottom"/>
            <w:hideMark/>
          </w:tcPr>
          <w:p w14:paraId="6616893A" w14:textId="2A2A2DF2" w:rsidR="004D7AC0" w:rsidRPr="00BF62A1" w:rsidRDefault="0072687D" w:rsidP="002473B8">
            <w:pPr>
              <w:spacing w:line="240" w:lineRule="auto"/>
              <w:jc w:val="left"/>
              <w:rPr>
                <w:color w:val="000000"/>
                <w:sz w:val="16"/>
                <w:szCs w:val="16"/>
                <w:lang w:eastAsia="en-US"/>
              </w:rPr>
            </w:pPr>
            <w:r w:rsidRPr="00BF62A1">
              <w:rPr>
                <w:color w:val="000000"/>
                <w:sz w:val="16"/>
                <w:szCs w:val="16"/>
                <w:lang w:eastAsia="en-US"/>
              </w:rPr>
              <w:t>#</w:t>
            </w:r>
            <w:r w:rsidR="004D7AC0" w:rsidRPr="00BF62A1">
              <w:rPr>
                <w:color w:val="000000"/>
                <w:sz w:val="16"/>
                <w:szCs w:val="16"/>
                <w:lang w:eastAsia="en-US"/>
              </w:rPr>
              <w:t xml:space="preserve">10 or </w:t>
            </w:r>
            <w:r w:rsidRPr="00BF62A1">
              <w:rPr>
                <w:color w:val="000000"/>
                <w:sz w:val="16"/>
                <w:szCs w:val="16"/>
                <w:lang w:eastAsia="en-US"/>
              </w:rPr>
              <w:t>#</w:t>
            </w:r>
            <w:r w:rsidR="004D7AC0" w:rsidRPr="00BF62A1">
              <w:rPr>
                <w:color w:val="000000"/>
                <w:sz w:val="16"/>
                <w:szCs w:val="16"/>
                <w:lang w:eastAsia="en-US"/>
              </w:rPr>
              <w:t>11</w:t>
            </w:r>
          </w:p>
        </w:tc>
      </w:tr>
      <w:tr w:rsidR="0072687D" w:rsidRPr="00BF62A1" w14:paraId="597D2D29" w14:textId="77777777" w:rsidTr="009B5628">
        <w:trPr>
          <w:trHeight w:val="20"/>
        </w:trPr>
        <w:tc>
          <w:tcPr>
            <w:tcW w:w="567" w:type="dxa"/>
            <w:hideMark/>
          </w:tcPr>
          <w:p w14:paraId="2A6EA01D"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13</w:t>
            </w:r>
          </w:p>
        </w:tc>
        <w:tc>
          <w:tcPr>
            <w:tcW w:w="8617" w:type="dxa"/>
            <w:vAlign w:val="bottom"/>
            <w:hideMark/>
          </w:tcPr>
          <w:p w14:paraId="710149E8"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regionalization/</w:t>
            </w:r>
          </w:p>
        </w:tc>
      </w:tr>
      <w:tr w:rsidR="0072687D" w:rsidRPr="00BF62A1" w14:paraId="67D48844" w14:textId="77777777" w:rsidTr="009B5628">
        <w:trPr>
          <w:trHeight w:val="20"/>
        </w:trPr>
        <w:tc>
          <w:tcPr>
            <w:tcW w:w="567" w:type="dxa"/>
            <w:hideMark/>
          </w:tcPr>
          <w:p w14:paraId="323A5CAE"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14</w:t>
            </w:r>
          </w:p>
        </w:tc>
        <w:tc>
          <w:tcPr>
            <w:tcW w:w="8617" w:type="dxa"/>
            <w:vAlign w:val="bottom"/>
            <w:hideMark/>
          </w:tcPr>
          <w:p w14:paraId="04025070"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exp centralization/</w:t>
            </w:r>
          </w:p>
        </w:tc>
      </w:tr>
      <w:tr w:rsidR="0072687D" w:rsidRPr="00BF62A1" w14:paraId="3DF27DE1" w14:textId="77777777" w:rsidTr="009B5628">
        <w:trPr>
          <w:trHeight w:val="20"/>
        </w:trPr>
        <w:tc>
          <w:tcPr>
            <w:tcW w:w="567" w:type="dxa"/>
            <w:hideMark/>
          </w:tcPr>
          <w:p w14:paraId="5F7C7FA7"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15</w:t>
            </w:r>
          </w:p>
        </w:tc>
        <w:tc>
          <w:tcPr>
            <w:tcW w:w="8617" w:type="dxa"/>
            <w:vAlign w:val="bottom"/>
            <w:hideMark/>
          </w:tcPr>
          <w:p w14:paraId="463A1989"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("hospital centrali*" or "hospital decentrali*" or regionali?ation).ab,kf,kw,ti.</w:t>
            </w:r>
          </w:p>
        </w:tc>
      </w:tr>
      <w:tr w:rsidR="0072687D" w:rsidRPr="00312729" w14:paraId="4B11D051" w14:textId="77777777" w:rsidTr="009B5628">
        <w:trPr>
          <w:trHeight w:val="20"/>
        </w:trPr>
        <w:tc>
          <w:tcPr>
            <w:tcW w:w="567" w:type="dxa"/>
            <w:hideMark/>
          </w:tcPr>
          <w:p w14:paraId="1AD3E3CD"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16</w:t>
            </w:r>
          </w:p>
        </w:tc>
        <w:tc>
          <w:tcPr>
            <w:tcW w:w="8617" w:type="dxa"/>
            <w:vAlign w:val="bottom"/>
            <w:hideMark/>
          </w:tcPr>
          <w:p w14:paraId="4DD6F8C1" w14:textId="77777777" w:rsidR="004D7AC0" w:rsidRPr="00312729" w:rsidRDefault="004D7AC0" w:rsidP="002473B8">
            <w:pPr>
              <w:spacing w:line="240" w:lineRule="auto"/>
              <w:jc w:val="left"/>
              <w:rPr>
                <w:color w:val="000000"/>
                <w:sz w:val="16"/>
                <w:szCs w:val="16"/>
                <w:lang w:val="de-DE" w:eastAsia="en-US"/>
              </w:rPr>
            </w:pPr>
            <w:r w:rsidRPr="00312729">
              <w:rPr>
                <w:color w:val="000000"/>
                <w:sz w:val="16"/>
                <w:szCs w:val="16"/>
                <w:lang w:val="de-DE" w:eastAsia="en-US"/>
              </w:rPr>
              <w:t>volume*.ab,kf,kw,ti.</w:t>
            </w:r>
          </w:p>
        </w:tc>
      </w:tr>
      <w:tr w:rsidR="0072687D" w:rsidRPr="00BF62A1" w14:paraId="4AC82C76" w14:textId="77777777" w:rsidTr="009B5628">
        <w:trPr>
          <w:trHeight w:val="20"/>
        </w:trPr>
        <w:tc>
          <w:tcPr>
            <w:tcW w:w="567" w:type="dxa"/>
            <w:hideMark/>
          </w:tcPr>
          <w:p w14:paraId="057182DB"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17</w:t>
            </w:r>
          </w:p>
        </w:tc>
        <w:tc>
          <w:tcPr>
            <w:tcW w:w="8617" w:type="dxa"/>
            <w:vAlign w:val="bottom"/>
            <w:hideMark/>
          </w:tcPr>
          <w:p w14:paraId="6EB5AD59" w14:textId="10FD4FA9" w:rsidR="004D7AC0" w:rsidRPr="00BF62A1" w:rsidRDefault="0072687D" w:rsidP="002473B8">
            <w:pPr>
              <w:spacing w:line="240" w:lineRule="auto"/>
              <w:jc w:val="left"/>
              <w:rPr>
                <w:color w:val="000000"/>
                <w:sz w:val="16"/>
                <w:szCs w:val="16"/>
                <w:lang w:eastAsia="en-US"/>
              </w:rPr>
            </w:pPr>
            <w:r w:rsidRPr="00BF62A1">
              <w:rPr>
                <w:color w:val="000000"/>
                <w:sz w:val="16"/>
                <w:szCs w:val="16"/>
                <w:lang w:eastAsia="en-US"/>
              </w:rPr>
              <w:t>#</w:t>
            </w:r>
            <w:r w:rsidR="004D7AC0" w:rsidRPr="00BF62A1">
              <w:rPr>
                <w:color w:val="000000"/>
                <w:sz w:val="16"/>
                <w:szCs w:val="16"/>
                <w:lang w:eastAsia="en-US"/>
              </w:rPr>
              <w:t xml:space="preserve">13 or </w:t>
            </w:r>
            <w:r w:rsidRPr="00BF62A1">
              <w:rPr>
                <w:color w:val="000000"/>
                <w:sz w:val="16"/>
                <w:szCs w:val="16"/>
                <w:lang w:eastAsia="en-US"/>
              </w:rPr>
              <w:t>#</w:t>
            </w:r>
            <w:r w:rsidR="004D7AC0" w:rsidRPr="00BF62A1">
              <w:rPr>
                <w:color w:val="000000"/>
                <w:sz w:val="16"/>
                <w:szCs w:val="16"/>
                <w:lang w:eastAsia="en-US"/>
              </w:rPr>
              <w:t xml:space="preserve">14 or </w:t>
            </w:r>
            <w:r w:rsidRPr="00BF62A1">
              <w:rPr>
                <w:color w:val="000000"/>
                <w:sz w:val="16"/>
                <w:szCs w:val="16"/>
                <w:lang w:eastAsia="en-US"/>
              </w:rPr>
              <w:t>#</w:t>
            </w:r>
            <w:r w:rsidR="004D7AC0" w:rsidRPr="00BF62A1">
              <w:rPr>
                <w:color w:val="000000"/>
                <w:sz w:val="16"/>
                <w:szCs w:val="16"/>
                <w:lang w:eastAsia="en-US"/>
              </w:rPr>
              <w:t>15</w:t>
            </w:r>
          </w:p>
        </w:tc>
      </w:tr>
      <w:tr w:rsidR="0072687D" w:rsidRPr="00BF62A1" w14:paraId="20782CE5" w14:textId="77777777" w:rsidTr="009B5628">
        <w:trPr>
          <w:trHeight w:val="20"/>
        </w:trPr>
        <w:tc>
          <w:tcPr>
            <w:tcW w:w="567" w:type="dxa"/>
            <w:hideMark/>
          </w:tcPr>
          <w:p w14:paraId="7C5E91E4"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18</w:t>
            </w:r>
          </w:p>
        </w:tc>
        <w:tc>
          <w:tcPr>
            <w:tcW w:w="8617" w:type="dxa"/>
            <w:vAlign w:val="bottom"/>
            <w:hideMark/>
          </w:tcPr>
          <w:p w14:paraId="530FCEAA" w14:textId="6B5A0C2D" w:rsidR="004D7AC0" w:rsidRPr="00BF62A1" w:rsidRDefault="0072687D" w:rsidP="002473B8">
            <w:pPr>
              <w:spacing w:line="240" w:lineRule="auto"/>
              <w:jc w:val="left"/>
              <w:rPr>
                <w:color w:val="000000"/>
                <w:sz w:val="16"/>
                <w:szCs w:val="16"/>
                <w:lang w:eastAsia="en-US"/>
              </w:rPr>
            </w:pPr>
            <w:r w:rsidRPr="00BF62A1">
              <w:rPr>
                <w:color w:val="000000"/>
                <w:sz w:val="16"/>
                <w:szCs w:val="16"/>
                <w:lang w:eastAsia="en-US"/>
              </w:rPr>
              <w:t>#</w:t>
            </w:r>
            <w:r w:rsidR="004D7AC0" w:rsidRPr="00BF62A1">
              <w:rPr>
                <w:color w:val="000000"/>
                <w:sz w:val="16"/>
                <w:szCs w:val="16"/>
                <w:lang w:eastAsia="en-US"/>
              </w:rPr>
              <w:t xml:space="preserve">16 and </w:t>
            </w:r>
            <w:r w:rsidRPr="00BF62A1">
              <w:rPr>
                <w:color w:val="000000"/>
                <w:sz w:val="16"/>
                <w:szCs w:val="16"/>
                <w:lang w:eastAsia="en-US"/>
              </w:rPr>
              <w:t>#</w:t>
            </w:r>
            <w:r w:rsidR="004D7AC0" w:rsidRPr="00BF62A1">
              <w:rPr>
                <w:color w:val="000000"/>
                <w:sz w:val="16"/>
                <w:szCs w:val="16"/>
                <w:lang w:eastAsia="en-US"/>
              </w:rPr>
              <w:t>17</w:t>
            </w:r>
          </w:p>
        </w:tc>
      </w:tr>
      <w:tr w:rsidR="0072687D" w:rsidRPr="00BF62A1" w14:paraId="5F3E5C82" w14:textId="77777777" w:rsidTr="009B5628">
        <w:trPr>
          <w:trHeight w:val="20"/>
        </w:trPr>
        <w:tc>
          <w:tcPr>
            <w:tcW w:w="567" w:type="dxa"/>
            <w:hideMark/>
          </w:tcPr>
          <w:p w14:paraId="3D5F1E90"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19</w:t>
            </w:r>
          </w:p>
        </w:tc>
        <w:tc>
          <w:tcPr>
            <w:tcW w:w="8617" w:type="dxa"/>
            <w:vAlign w:val="bottom"/>
            <w:hideMark/>
          </w:tcPr>
          <w:p w14:paraId="05245E32"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("surgery caseload*" or "surgery workload*" or "surgical caseload*" or "surgical workload*" or "surgeon caseload*" or "surgeon workload*" or "surgeon experience*" or "surgeon performance").ab,kf,kw,ti.</w:t>
            </w:r>
          </w:p>
        </w:tc>
      </w:tr>
      <w:tr w:rsidR="0072687D" w:rsidRPr="00BF62A1" w14:paraId="29696F22" w14:textId="77777777" w:rsidTr="009B5628">
        <w:trPr>
          <w:trHeight w:val="20"/>
        </w:trPr>
        <w:tc>
          <w:tcPr>
            <w:tcW w:w="567" w:type="dxa"/>
            <w:hideMark/>
          </w:tcPr>
          <w:p w14:paraId="766FD7D7"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20</w:t>
            </w:r>
          </w:p>
        </w:tc>
        <w:tc>
          <w:tcPr>
            <w:tcW w:w="8617" w:type="dxa"/>
            <w:vAlign w:val="bottom"/>
            <w:hideMark/>
          </w:tcPr>
          <w:p w14:paraId="3BB85388"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exp surgeon/ or surgeon*.ab,kf,kw,ti.</w:t>
            </w:r>
          </w:p>
        </w:tc>
      </w:tr>
      <w:tr w:rsidR="0072687D" w:rsidRPr="00BF62A1" w14:paraId="1F3041B5" w14:textId="77777777" w:rsidTr="009B5628">
        <w:trPr>
          <w:trHeight w:val="20"/>
        </w:trPr>
        <w:tc>
          <w:tcPr>
            <w:tcW w:w="567" w:type="dxa"/>
            <w:hideMark/>
          </w:tcPr>
          <w:p w14:paraId="4CD94650"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21</w:t>
            </w:r>
          </w:p>
        </w:tc>
        <w:tc>
          <w:tcPr>
            <w:tcW w:w="8617" w:type="dxa"/>
            <w:vAlign w:val="bottom"/>
            <w:hideMark/>
          </w:tcPr>
          <w:p w14:paraId="466B5888"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exp clinical outcome/</w:t>
            </w:r>
          </w:p>
        </w:tc>
      </w:tr>
      <w:tr w:rsidR="0072687D" w:rsidRPr="00BF62A1" w14:paraId="479CEAF7" w14:textId="77777777" w:rsidTr="009B5628">
        <w:trPr>
          <w:trHeight w:val="20"/>
        </w:trPr>
        <w:tc>
          <w:tcPr>
            <w:tcW w:w="567" w:type="dxa"/>
            <w:hideMark/>
          </w:tcPr>
          <w:p w14:paraId="1955909A"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22</w:t>
            </w:r>
          </w:p>
        </w:tc>
        <w:tc>
          <w:tcPr>
            <w:tcW w:w="8617" w:type="dxa"/>
            <w:vAlign w:val="bottom"/>
            <w:hideMark/>
          </w:tcPr>
          <w:p w14:paraId="0299213E"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exp patient-reported outcome/</w:t>
            </w:r>
          </w:p>
        </w:tc>
      </w:tr>
      <w:tr w:rsidR="0072687D" w:rsidRPr="00BF62A1" w14:paraId="02FD8F82" w14:textId="77777777" w:rsidTr="009B5628">
        <w:trPr>
          <w:trHeight w:val="20"/>
        </w:trPr>
        <w:tc>
          <w:tcPr>
            <w:tcW w:w="567" w:type="dxa"/>
            <w:hideMark/>
          </w:tcPr>
          <w:p w14:paraId="69EEDC59"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23</w:t>
            </w:r>
          </w:p>
        </w:tc>
        <w:tc>
          <w:tcPr>
            <w:tcW w:w="8617" w:type="dxa"/>
            <w:vAlign w:val="bottom"/>
            <w:hideMark/>
          </w:tcPr>
          <w:p w14:paraId="0B883247"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exp outcome assessment/</w:t>
            </w:r>
          </w:p>
        </w:tc>
      </w:tr>
      <w:tr w:rsidR="0072687D" w:rsidRPr="00BF62A1" w14:paraId="2CA1477A" w14:textId="77777777" w:rsidTr="009B5628">
        <w:trPr>
          <w:trHeight w:val="20"/>
        </w:trPr>
        <w:tc>
          <w:tcPr>
            <w:tcW w:w="567" w:type="dxa"/>
            <w:hideMark/>
          </w:tcPr>
          <w:p w14:paraId="54772D2A"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24</w:t>
            </w:r>
          </w:p>
        </w:tc>
        <w:tc>
          <w:tcPr>
            <w:tcW w:w="8617" w:type="dxa"/>
            <w:vAlign w:val="bottom"/>
            <w:hideMark/>
          </w:tcPr>
          <w:p w14:paraId="7B0C9446" w14:textId="2D3BE116" w:rsidR="004D7AC0" w:rsidRPr="00BF62A1" w:rsidRDefault="0072687D" w:rsidP="002473B8">
            <w:pPr>
              <w:spacing w:line="240" w:lineRule="auto"/>
              <w:jc w:val="left"/>
              <w:rPr>
                <w:color w:val="000000"/>
                <w:sz w:val="16"/>
                <w:szCs w:val="16"/>
                <w:lang w:eastAsia="en-US"/>
              </w:rPr>
            </w:pPr>
            <w:r w:rsidRPr="00BF62A1">
              <w:rPr>
                <w:color w:val="000000"/>
                <w:sz w:val="16"/>
                <w:szCs w:val="16"/>
                <w:lang w:eastAsia="en-US"/>
              </w:rPr>
              <w:t>#</w:t>
            </w:r>
            <w:r w:rsidR="004D7AC0" w:rsidRPr="00BF62A1">
              <w:rPr>
                <w:color w:val="000000"/>
                <w:sz w:val="16"/>
                <w:szCs w:val="16"/>
                <w:lang w:eastAsia="en-US"/>
              </w:rPr>
              <w:t xml:space="preserve">21 or </w:t>
            </w:r>
            <w:r w:rsidRPr="00BF62A1">
              <w:rPr>
                <w:color w:val="000000"/>
                <w:sz w:val="16"/>
                <w:szCs w:val="16"/>
                <w:lang w:eastAsia="en-US"/>
              </w:rPr>
              <w:t>#</w:t>
            </w:r>
            <w:r w:rsidR="004D7AC0" w:rsidRPr="00BF62A1">
              <w:rPr>
                <w:color w:val="000000"/>
                <w:sz w:val="16"/>
                <w:szCs w:val="16"/>
                <w:lang w:eastAsia="en-US"/>
              </w:rPr>
              <w:t xml:space="preserve">22 or </w:t>
            </w:r>
            <w:r w:rsidRPr="00BF62A1">
              <w:rPr>
                <w:color w:val="000000"/>
                <w:sz w:val="16"/>
                <w:szCs w:val="16"/>
                <w:lang w:eastAsia="en-US"/>
              </w:rPr>
              <w:t>#</w:t>
            </w:r>
            <w:r w:rsidR="004D7AC0" w:rsidRPr="00BF62A1">
              <w:rPr>
                <w:color w:val="000000"/>
                <w:sz w:val="16"/>
                <w:szCs w:val="16"/>
                <w:lang w:eastAsia="en-US"/>
              </w:rPr>
              <w:t xml:space="preserve">23 or </w:t>
            </w:r>
            <w:r w:rsidRPr="00BF62A1">
              <w:rPr>
                <w:color w:val="000000"/>
                <w:sz w:val="16"/>
                <w:szCs w:val="16"/>
                <w:lang w:eastAsia="en-US"/>
              </w:rPr>
              <w:t>#</w:t>
            </w:r>
            <w:r w:rsidR="004D7AC0" w:rsidRPr="00BF62A1">
              <w:rPr>
                <w:color w:val="000000"/>
                <w:sz w:val="16"/>
                <w:szCs w:val="16"/>
                <w:lang w:eastAsia="en-US"/>
              </w:rPr>
              <w:t>20</w:t>
            </w:r>
          </w:p>
        </w:tc>
      </w:tr>
      <w:tr w:rsidR="0072687D" w:rsidRPr="00BF62A1" w14:paraId="50A6ED78" w14:textId="77777777" w:rsidTr="009B5628">
        <w:trPr>
          <w:trHeight w:val="20"/>
        </w:trPr>
        <w:tc>
          <w:tcPr>
            <w:tcW w:w="567" w:type="dxa"/>
            <w:hideMark/>
          </w:tcPr>
          <w:p w14:paraId="423FEB83"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25</w:t>
            </w:r>
          </w:p>
        </w:tc>
        <w:tc>
          <w:tcPr>
            <w:tcW w:w="8617" w:type="dxa"/>
            <w:vAlign w:val="bottom"/>
            <w:hideMark/>
          </w:tcPr>
          <w:p w14:paraId="293AD26A"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(volume* or caseload or workload).ab,kf,kw,ti.</w:t>
            </w:r>
          </w:p>
        </w:tc>
      </w:tr>
      <w:tr w:rsidR="0072687D" w:rsidRPr="00BF62A1" w14:paraId="06C8E006" w14:textId="77777777" w:rsidTr="009B5628">
        <w:trPr>
          <w:trHeight w:val="20"/>
        </w:trPr>
        <w:tc>
          <w:tcPr>
            <w:tcW w:w="567" w:type="dxa"/>
            <w:hideMark/>
          </w:tcPr>
          <w:p w14:paraId="2EF100F1"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26</w:t>
            </w:r>
          </w:p>
        </w:tc>
        <w:tc>
          <w:tcPr>
            <w:tcW w:w="8617" w:type="dxa"/>
            <w:vAlign w:val="bottom"/>
            <w:hideMark/>
          </w:tcPr>
          <w:p w14:paraId="6EBDEA0D" w14:textId="695348F8" w:rsidR="004D7AC0" w:rsidRPr="00BF62A1" w:rsidRDefault="0072687D" w:rsidP="002473B8">
            <w:pPr>
              <w:spacing w:line="240" w:lineRule="auto"/>
              <w:jc w:val="left"/>
              <w:rPr>
                <w:color w:val="000000"/>
                <w:sz w:val="16"/>
                <w:szCs w:val="16"/>
                <w:lang w:eastAsia="en-US"/>
              </w:rPr>
            </w:pPr>
            <w:r w:rsidRPr="00BF62A1">
              <w:rPr>
                <w:color w:val="000000"/>
                <w:sz w:val="16"/>
                <w:szCs w:val="16"/>
                <w:lang w:eastAsia="en-US"/>
              </w:rPr>
              <w:t>#</w:t>
            </w:r>
            <w:r w:rsidR="004D7AC0" w:rsidRPr="00BF62A1">
              <w:rPr>
                <w:color w:val="000000"/>
                <w:sz w:val="16"/>
                <w:szCs w:val="16"/>
                <w:lang w:eastAsia="en-US"/>
              </w:rPr>
              <w:t xml:space="preserve">24 and </w:t>
            </w:r>
            <w:r w:rsidRPr="00BF62A1">
              <w:rPr>
                <w:color w:val="000000"/>
                <w:sz w:val="16"/>
                <w:szCs w:val="16"/>
                <w:lang w:eastAsia="en-US"/>
              </w:rPr>
              <w:t>#</w:t>
            </w:r>
            <w:r w:rsidR="004D7AC0" w:rsidRPr="00BF62A1">
              <w:rPr>
                <w:color w:val="000000"/>
                <w:sz w:val="16"/>
                <w:szCs w:val="16"/>
                <w:lang w:eastAsia="en-US"/>
              </w:rPr>
              <w:t>25</w:t>
            </w:r>
          </w:p>
        </w:tc>
      </w:tr>
      <w:tr w:rsidR="0072687D" w:rsidRPr="00BF62A1" w14:paraId="5A9EC3A8" w14:textId="77777777" w:rsidTr="009B5628">
        <w:trPr>
          <w:trHeight w:val="20"/>
        </w:trPr>
        <w:tc>
          <w:tcPr>
            <w:tcW w:w="567" w:type="dxa"/>
            <w:hideMark/>
          </w:tcPr>
          <w:p w14:paraId="6346FDD9"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27</w:t>
            </w:r>
          </w:p>
        </w:tc>
        <w:tc>
          <w:tcPr>
            <w:tcW w:w="8617" w:type="dxa"/>
            <w:vAlign w:val="bottom"/>
            <w:hideMark/>
          </w:tcPr>
          <w:p w14:paraId="35856C76"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(volume* adj3 outcome*).ab,kf,kw,ti.</w:t>
            </w:r>
          </w:p>
        </w:tc>
      </w:tr>
      <w:tr w:rsidR="0072687D" w:rsidRPr="00BF62A1" w14:paraId="13F7184D" w14:textId="77777777" w:rsidTr="009B5628">
        <w:trPr>
          <w:trHeight w:val="20"/>
        </w:trPr>
        <w:tc>
          <w:tcPr>
            <w:tcW w:w="567" w:type="dxa"/>
            <w:hideMark/>
          </w:tcPr>
          <w:p w14:paraId="17C4E73D"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28</w:t>
            </w:r>
          </w:p>
        </w:tc>
        <w:tc>
          <w:tcPr>
            <w:tcW w:w="8617" w:type="dxa"/>
            <w:vAlign w:val="bottom"/>
            <w:hideMark/>
          </w:tcPr>
          <w:p w14:paraId="77E7D584" w14:textId="57EDA691" w:rsidR="004D7AC0" w:rsidRPr="00BF62A1" w:rsidRDefault="0072687D" w:rsidP="002473B8">
            <w:pPr>
              <w:spacing w:line="240" w:lineRule="auto"/>
              <w:jc w:val="left"/>
              <w:rPr>
                <w:color w:val="000000"/>
                <w:sz w:val="16"/>
                <w:szCs w:val="16"/>
                <w:lang w:eastAsia="en-US"/>
              </w:rPr>
            </w:pPr>
            <w:r w:rsidRPr="00BF62A1">
              <w:rPr>
                <w:color w:val="000000"/>
                <w:sz w:val="16"/>
                <w:szCs w:val="16"/>
                <w:lang w:eastAsia="en-US"/>
              </w:rPr>
              <w:t>#</w:t>
            </w:r>
            <w:r w:rsidR="004D7AC0" w:rsidRPr="00BF62A1">
              <w:rPr>
                <w:color w:val="000000"/>
                <w:sz w:val="16"/>
                <w:szCs w:val="16"/>
                <w:lang w:eastAsia="en-US"/>
              </w:rPr>
              <w:t xml:space="preserve">12 or </w:t>
            </w:r>
            <w:r w:rsidRPr="00BF62A1">
              <w:rPr>
                <w:color w:val="000000"/>
                <w:sz w:val="16"/>
                <w:szCs w:val="16"/>
                <w:lang w:eastAsia="en-US"/>
              </w:rPr>
              <w:t>#</w:t>
            </w:r>
            <w:r w:rsidR="004D7AC0" w:rsidRPr="00BF62A1">
              <w:rPr>
                <w:color w:val="000000"/>
                <w:sz w:val="16"/>
                <w:szCs w:val="16"/>
                <w:lang w:eastAsia="en-US"/>
              </w:rPr>
              <w:t xml:space="preserve">18 or </w:t>
            </w:r>
            <w:r w:rsidRPr="00BF62A1">
              <w:rPr>
                <w:color w:val="000000"/>
                <w:sz w:val="16"/>
                <w:szCs w:val="16"/>
                <w:lang w:eastAsia="en-US"/>
              </w:rPr>
              <w:t>#</w:t>
            </w:r>
            <w:r w:rsidR="004D7AC0" w:rsidRPr="00BF62A1">
              <w:rPr>
                <w:color w:val="000000"/>
                <w:sz w:val="16"/>
                <w:szCs w:val="16"/>
                <w:lang w:eastAsia="en-US"/>
              </w:rPr>
              <w:t xml:space="preserve">19 or </w:t>
            </w:r>
            <w:r w:rsidRPr="00BF62A1">
              <w:rPr>
                <w:color w:val="000000"/>
                <w:sz w:val="16"/>
                <w:szCs w:val="16"/>
                <w:lang w:eastAsia="en-US"/>
              </w:rPr>
              <w:t>#</w:t>
            </w:r>
            <w:r w:rsidR="004D7AC0" w:rsidRPr="00BF62A1">
              <w:rPr>
                <w:color w:val="000000"/>
                <w:sz w:val="16"/>
                <w:szCs w:val="16"/>
                <w:lang w:eastAsia="en-US"/>
              </w:rPr>
              <w:t xml:space="preserve">26 or </w:t>
            </w:r>
            <w:r w:rsidRPr="00BF62A1">
              <w:rPr>
                <w:color w:val="000000"/>
                <w:sz w:val="16"/>
                <w:szCs w:val="16"/>
                <w:lang w:eastAsia="en-US"/>
              </w:rPr>
              <w:t>#</w:t>
            </w:r>
            <w:r w:rsidR="004D7AC0" w:rsidRPr="00BF62A1">
              <w:rPr>
                <w:color w:val="000000"/>
                <w:sz w:val="16"/>
                <w:szCs w:val="16"/>
                <w:lang w:eastAsia="en-US"/>
              </w:rPr>
              <w:t>27</w:t>
            </w:r>
          </w:p>
        </w:tc>
      </w:tr>
      <w:tr w:rsidR="0072687D" w:rsidRPr="00BF62A1" w14:paraId="149A9F8B" w14:textId="77777777" w:rsidTr="009B5628">
        <w:trPr>
          <w:trHeight w:val="20"/>
        </w:trPr>
        <w:tc>
          <w:tcPr>
            <w:tcW w:w="567" w:type="dxa"/>
            <w:hideMark/>
          </w:tcPr>
          <w:p w14:paraId="096BF274"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29</w:t>
            </w:r>
          </w:p>
        </w:tc>
        <w:tc>
          <w:tcPr>
            <w:tcW w:w="8617" w:type="dxa"/>
            <w:vAlign w:val="bottom"/>
            <w:hideMark/>
          </w:tcPr>
          <w:p w14:paraId="0D4113A0" w14:textId="1E02752A" w:rsidR="004D7AC0" w:rsidRPr="00BF62A1" w:rsidRDefault="0072687D" w:rsidP="002473B8">
            <w:pPr>
              <w:spacing w:line="240" w:lineRule="auto"/>
              <w:jc w:val="left"/>
              <w:rPr>
                <w:color w:val="000000"/>
                <w:sz w:val="16"/>
                <w:szCs w:val="16"/>
                <w:lang w:eastAsia="en-US"/>
              </w:rPr>
            </w:pPr>
            <w:r w:rsidRPr="00BF62A1">
              <w:rPr>
                <w:color w:val="000000"/>
                <w:sz w:val="16"/>
                <w:szCs w:val="16"/>
                <w:lang w:eastAsia="en-US"/>
              </w:rPr>
              <w:t>#</w:t>
            </w:r>
            <w:r w:rsidR="004D7AC0" w:rsidRPr="00BF62A1">
              <w:rPr>
                <w:color w:val="000000"/>
                <w:sz w:val="16"/>
                <w:szCs w:val="16"/>
                <w:lang w:eastAsia="en-US"/>
              </w:rPr>
              <w:t xml:space="preserve">9 and </w:t>
            </w:r>
            <w:r w:rsidRPr="00BF62A1">
              <w:rPr>
                <w:color w:val="000000"/>
                <w:sz w:val="16"/>
                <w:szCs w:val="16"/>
                <w:lang w:eastAsia="en-US"/>
              </w:rPr>
              <w:t>#</w:t>
            </w:r>
            <w:r w:rsidR="004D7AC0" w:rsidRPr="00BF62A1">
              <w:rPr>
                <w:color w:val="000000"/>
                <w:sz w:val="16"/>
                <w:szCs w:val="16"/>
                <w:lang w:eastAsia="en-US"/>
              </w:rPr>
              <w:t>28</w:t>
            </w:r>
          </w:p>
        </w:tc>
      </w:tr>
      <w:tr w:rsidR="0072687D" w:rsidRPr="00BF62A1" w14:paraId="15BE3037" w14:textId="77777777" w:rsidTr="009B5628">
        <w:trPr>
          <w:trHeight w:val="20"/>
        </w:trPr>
        <w:tc>
          <w:tcPr>
            <w:tcW w:w="567" w:type="dxa"/>
            <w:hideMark/>
          </w:tcPr>
          <w:p w14:paraId="0AE756BD"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30</w:t>
            </w:r>
          </w:p>
        </w:tc>
        <w:tc>
          <w:tcPr>
            <w:tcW w:w="8617" w:type="dxa"/>
            <w:vAlign w:val="bottom"/>
            <w:hideMark/>
          </w:tcPr>
          <w:p w14:paraId="67F74FD3" w14:textId="531BFEE9"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xml:space="preserve">limit </w:t>
            </w:r>
            <w:r w:rsidR="0072687D" w:rsidRPr="00BF62A1">
              <w:rPr>
                <w:color w:val="000000"/>
                <w:sz w:val="16"/>
                <w:szCs w:val="16"/>
                <w:lang w:eastAsia="en-US"/>
              </w:rPr>
              <w:t>#</w:t>
            </w:r>
            <w:r w:rsidRPr="00BF62A1">
              <w:rPr>
                <w:color w:val="000000"/>
                <w:sz w:val="16"/>
                <w:szCs w:val="16"/>
                <w:lang w:eastAsia="en-US"/>
              </w:rPr>
              <w:t>29 to "remove medline records"</w:t>
            </w:r>
          </w:p>
        </w:tc>
      </w:tr>
      <w:tr w:rsidR="0072687D" w:rsidRPr="00BF62A1" w14:paraId="658041D5" w14:textId="77777777" w:rsidTr="009B5628">
        <w:trPr>
          <w:trHeight w:val="20"/>
        </w:trPr>
        <w:tc>
          <w:tcPr>
            <w:tcW w:w="567" w:type="dxa"/>
            <w:hideMark/>
          </w:tcPr>
          <w:p w14:paraId="3C4C6A4C" w14:textId="77777777" w:rsidR="004D7AC0" w:rsidRPr="00BF62A1" w:rsidRDefault="004D7AC0" w:rsidP="002473B8">
            <w:pPr>
              <w:spacing w:line="240" w:lineRule="auto"/>
              <w:jc w:val="left"/>
              <w:rPr>
                <w:color w:val="000000"/>
                <w:sz w:val="16"/>
                <w:szCs w:val="16"/>
                <w:lang w:eastAsia="en-US"/>
              </w:rPr>
            </w:pPr>
            <w:r w:rsidRPr="00BF62A1">
              <w:rPr>
                <w:color w:val="000000"/>
                <w:sz w:val="16"/>
                <w:szCs w:val="16"/>
                <w:lang w:eastAsia="en-US"/>
              </w:rPr>
              <w:t># 31</w:t>
            </w:r>
          </w:p>
        </w:tc>
        <w:tc>
          <w:tcPr>
            <w:tcW w:w="8617" w:type="dxa"/>
            <w:vAlign w:val="bottom"/>
            <w:hideMark/>
          </w:tcPr>
          <w:p w14:paraId="5A96C7EA" w14:textId="740F229C" w:rsidR="004D7AC0" w:rsidRPr="00BF62A1" w:rsidRDefault="0072687D" w:rsidP="002473B8">
            <w:pPr>
              <w:spacing w:line="240" w:lineRule="auto"/>
              <w:jc w:val="left"/>
              <w:rPr>
                <w:color w:val="000000"/>
                <w:sz w:val="16"/>
                <w:szCs w:val="16"/>
                <w:lang w:eastAsia="en-US"/>
              </w:rPr>
            </w:pPr>
            <w:r w:rsidRPr="00BF62A1">
              <w:rPr>
                <w:color w:val="000000"/>
                <w:sz w:val="16"/>
                <w:szCs w:val="16"/>
                <w:lang w:eastAsia="en-US"/>
              </w:rPr>
              <w:t>#</w:t>
            </w:r>
            <w:r w:rsidR="004D7AC0" w:rsidRPr="00BF62A1">
              <w:rPr>
                <w:color w:val="000000"/>
                <w:sz w:val="16"/>
                <w:szCs w:val="16"/>
                <w:lang w:eastAsia="en-US"/>
              </w:rPr>
              <w:t>30 not (Conference Abstract or Editorial or Letter).pt.</w:t>
            </w:r>
          </w:p>
        </w:tc>
      </w:tr>
    </w:tbl>
    <w:p w14:paraId="5CBC6D42" w14:textId="747C1245" w:rsidR="004D7AC0" w:rsidRPr="00BF62A1" w:rsidRDefault="004D7AC0" w:rsidP="002473B8">
      <w:pPr>
        <w:spacing w:line="240" w:lineRule="auto"/>
        <w:jc w:val="left"/>
      </w:pPr>
    </w:p>
    <w:p w14:paraId="0F4DABED" w14:textId="216B1441" w:rsidR="0064556C" w:rsidRPr="00BF62A1" w:rsidRDefault="0064556C" w:rsidP="002473B8">
      <w:pPr>
        <w:spacing w:line="240" w:lineRule="auto"/>
        <w:jc w:val="left"/>
      </w:pPr>
    </w:p>
    <w:tbl>
      <w:tblPr>
        <w:tblW w:w="918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17"/>
      </w:tblGrid>
      <w:tr w:rsidR="009B5628" w:rsidRPr="00BF62A1" w14:paraId="6B81C2F9" w14:textId="77777777" w:rsidTr="007A767D">
        <w:trPr>
          <w:trHeight w:val="58"/>
        </w:trPr>
        <w:tc>
          <w:tcPr>
            <w:tcW w:w="9184" w:type="dxa"/>
            <w:gridSpan w:val="2"/>
            <w:noWrap/>
            <w:vAlign w:val="bottom"/>
          </w:tcPr>
          <w:p w14:paraId="633E63A6" w14:textId="23F4BE3B" w:rsidR="009B5628" w:rsidRPr="00BF62A1" w:rsidRDefault="009B5628" w:rsidP="002473B8">
            <w:pPr>
              <w:spacing w:line="240" w:lineRule="auto"/>
              <w:jc w:val="left"/>
              <w:rPr>
                <w:b/>
                <w:bCs/>
                <w:color w:val="000000"/>
                <w:sz w:val="16"/>
                <w:szCs w:val="16"/>
                <w:lang w:eastAsia="en-US"/>
              </w:rPr>
            </w:pPr>
            <w:r w:rsidRPr="00BF62A1">
              <w:rPr>
                <w:b/>
                <w:bCs/>
              </w:rPr>
              <w:t>CENTRAL:</w:t>
            </w:r>
          </w:p>
        </w:tc>
      </w:tr>
      <w:tr w:rsidR="0064556C" w:rsidRPr="00BF62A1" w14:paraId="28898997" w14:textId="77777777" w:rsidTr="009B5628">
        <w:trPr>
          <w:trHeight w:val="58"/>
        </w:trPr>
        <w:tc>
          <w:tcPr>
            <w:tcW w:w="567" w:type="dxa"/>
            <w:noWrap/>
            <w:vAlign w:val="bottom"/>
            <w:hideMark/>
          </w:tcPr>
          <w:p w14:paraId="3B294BDB"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#1</w:t>
            </w:r>
          </w:p>
        </w:tc>
        <w:tc>
          <w:tcPr>
            <w:tcW w:w="8617" w:type="dxa"/>
            <w:vAlign w:val="bottom"/>
            <w:hideMark/>
          </w:tcPr>
          <w:p w14:paraId="3A4FF57D"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MeSH descriptor: [Hepatectomy] explode all trees</w:t>
            </w:r>
          </w:p>
        </w:tc>
      </w:tr>
      <w:tr w:rsidR="0064556C" w:rsidRPr="00BF62A1" w14:paraId="479E3895" w14:textId="77777777" w:rsidTr="009B5628">
        <w:trPr>
          <w:trHeight w:val="112"/>
        </w:trPr>
        <w:tc>
          <w:tcPr>
            <w:tcW w:w="567" w:type="dxa"/>
            <w:noWrap/>
            <w:vAlign w:val="bottom"/>
            <w:hideMark/>
          </w:tcPr>
          <w:p w14:paraId="3F701CC7"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#2</w:t>
            </w:r>
          </w:p>
        </w:tc>
        <w:tc>
          <w:tcPr>
            <w:tcW w:w="8617" w:type="dxa"/>
            <w:vAlign w:val="bottom"/>
            <w:hideMark/>
          </w:tcPr>
          <w:p w14:paraId="4B0CDD9A"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MeSH descriptor: [Carcinoma, Hepatocellular] explode all trees</w:t>
            </w:r>
          </w:p>
        </w:tc>
      </w:tr>
      <w:tr w:rsidR="0064556C" w:rsidRPr="00BF62A1" w14:paraId="39E3DA65" w14:textId="77777777" w:rsidTr="009B5628">
        <w:trPr>
          <w:trHeight w:val="58"/>
        </w:trPr>
        <w:tc>
          <w:tcPr>
            <w:tcW w:w="567" w:type="dxa"/>
            <w:noWrap/>
            <w:vAlign w:val="bottom"/>
            <w:hideMark/>
          </w:tcPr>
          <w:p w14:paraId="1BED8B97"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#3</w:t>
            </w:r>
          </w:p>
        </w:tc>
        <w:tc>
          <w:tcPr>
            <w:tcW w:w="8617" w:type="dxa"/>
            <w:vAlign w:val="bottom"/>
            <w:hideMark/>
          </w:tcPr>
          <w:p w14:paraId="0310E312"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(segmentectom* OR hemi?hepat* OR trisectorectom* OR bi?segmentectom* OR Hepatectomy):ti,ab,kw</w:t>
            </w:r>
          </w:p>
        </w:tc>
      </w:tr>
      <w:tr w:rsidR="0064556C" w:rsidRPr="00BF62A1" w14:paraId="669B2DF4" w14:textId="77777777" w:rsidTr="009B5628">
        <w:trPr>
          <w:trHeight w:val="58"/>
        </w:trPr>
        <w:tc>
          <w:tcPr>
            <w:tcW w:w="567" w:type="dxa"/>
            <w:noWrap/>
            <w:vAlign w:val="bottom"/>
            <w:hideMark/>
          </w:tcPr>
          <w:p w14:paraId="753E18A7"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#4</w:t>
            </w:r>
          </w:p>
        </w:tc>
        <w:tc>
          <w:tcPr>
            <w:tcW w:w="8617" w:type="dxa"/>
            <w:vAlign w:val="bottom"/>
            <w:hideMark/>
          </w:tcPr>
          <w:p w14:paraId="6A44A5D8"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((liver OR hepat*) NEAR/3 (surg* OR resect* OR lobectomy)):ti,ab,kw</w:t>
            </w:r>
          </w:p>
        </w:tc>
      </w:tr>
      <w:tr w:rsidR="0064556C" w:rsidRPr="00BF62A1" w14:paraId="1C132EB8" w14:textId="77777777" w:rsidTr="009B5628">
        <w:trPr>
          <w:trHeight w:val="92"/>
        </w:trPr>
        <w:tc>
          <w:tcPr>
            <w:tcW w:w="567" w:type="dxa"/>
            <w:noWrap/>
            <w:vAlign w:val="bottom"/>
            <w:hideMark/>
          </w:tcPr>
          <w:p w14:paraId="6A3EC55A"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#5</w:t>
            </w:r>
          </w:p>
        </w:tc>
        <w:tc>
          <w:tcPr>
            <w:tcW w:w="8617" w:type="dxa"/>
            <w:vAlign w:val="bottom"/>
            <w:hideMark/>
          </w:tcPr>
          <w:p w14:paraId="0525F420"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#1 OR #2 OR #3 OR #4</w:t>
            </w:r>
          </w:p>
        </w:tc>
      </w:tr>
      <w:tr w:rsidR="0064556C" w:rsidRPr="00BF62A1" w14:paraId="7B9BCA89" w14:textId="77777777" w:rsidTr="009B5628">
        <w:trPr>
          <w:trHeight w:val="58"/>
        </w:trPr>
        <w:tc>
          <w:tcPr>
            <w:tcW w:w="567" w:type="dxa"/>
            <w:noWrap/>
            <w:vAlign w:val="bottom"/>
            <w:hideMark/>
          </w:tcPr>
          <w:p w14:paraId="26F3FA13"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#6</w:t>
            </w:r>
          </w:p>
        </w:tc>
        <w:tc>
          <w:tcPr>
            <w:tcW w:w="8617" w:type="dxa"/>
            <w:vAlign w:val="bottom"/>
            <w:hideMark/>
          </w:tcPr>
          <w:p w14:paraId="78CD6B56"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MeSH descriptor: [Hospitals, High-Volume] explode all trees</w:t>
            </w:r>
          </w:p>
        </w:tc>
      </w:tr>
      <w:tr w:rsidR="0064556C" w:rsidRPr="00BF62A1" w14:paraId="5E92377C" w14:textId="77777777" w:rsidTr="009B5628">
        <w:trPr>
          <w:trHeight w:val="58"/>
        </w:trPr>
        <w:tc>
          <w:tcPr>
            <w:tcW w:w="567" w:type="dxa"/>
            <w:noWrap/>
            <w:vAlign w:val="bottom"/>
            <w:hideMark/>
          </w:tcPr>
          <w:p w14:paraId="22B5D332"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#7</w:t>
            </w:r>
          </w:p>
        </w:tc>
        <w:tc>
          <w:tcPr>
            <w:tcW w:w="8617" w:type="dxa"/>
            <w:vAlign w:val="bottom"/>
            <w:hideMark/>
          </w:tcPr>
          <w:p w14:paraId="3473EE85"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MeSH descriptor: [Hospitals, Low-Volume] explode all trees</w:t>
            </w:r>
          </w:p>
        </w:tc>
      </w:tr>
      <w:tr w:rsidR="0064556C" w:rsidRPr="00BF62A1" w14:paraId="6507D055" w14:textId="77777777" w:rsidTr="009B5628">
        <w:trPr>
          <w:trHeight w:val="511"/>
        </w:trPr>
        <w:tc>
          <w:tcPr>
            <w:tcW w:w="567" w:type="dxa"/>
            <w:noWrap/>
            <w:vAlign w:val="bottom"/>
            <w:hideMark/>
          </w:tcPr>
          <w:p w14:paraId="2A6781B7"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#8</w:t>
            </w:r>
          </w:p>
        </w:tc>
        <w:tc>
          <w:tcPr>
            <w:tcW w:w="8617" w:type="dxa"/>
            <w:vAlign w:val="bottom"/>
            <w:hideMark/>
          </w:tcPr>
          <w:p w14:paraId="5FE81202"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(“high volume hospital*” OR “low volume hospital*” OR “high volume center*” OR “high volume centre*” OR “low-volume center*” OR “low volume centre*” OR “hospital volume*” OR “hospital size*” OR “clinic size*” OR "center volume*" OR "centre volume*" OR "high-volume center" OR "high volume centre" OR "center size*" OR "centre size*" OR "patient volume*" OR "provider volume*" OR "surgical volume*" OR "procedure volume*” OR "procedural volume*” OR "facility volume*” OR "treatment volume*”):ti,ab,kw</w:t>
            </w:r>
          </w:p>
        </w:tc>
      </w:tr>
      <w:tr w:rsidR="0064556C" w:rsidRPr="00BF62A1" w14:paraId="1B2CCC7C" w14:textId="77777777" w:rsidTr="009B5628">
        <w:trPr>
          <w:trHeight w:val="141"/>
        </w:trPr>
        <w:tc>
          <w:tcPr>
            <w:tcW w:w="567" w:type="dxa"/>
            <w:noWrap/>
            <w:vAlign w:val="bottom"/>
            <w:hideMark/>
          </w:tcPr>
          <w:p w14:paraId="77D04583"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#9</w:t>
            </w:r>
          </w:p>
        </w:tc>
        <w:tc>
          <w:tcPr>
            <w:tcW w:w="8617" w:type="dxa"/>
            <w:vAlign w:val="bottom"/>
            <w:hideMark/>
          </w:tcPr>
          <w:p w14:paraId="0C079D5E"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(surgeon* AND (volume* OR workload OR caseload)):ti,ab,kw</w:t>
            </w:r>
          </w:p>
        </w:tc>
      </w:tr>
      <w:tr w:rsidR="0064556C" w:rsidRPr="00BF62A1" w14:paraId="6E08A819" w14:textId="77777777" w:rsidTr="009B5628">
        <w:trPr>
          <w:trHeight w:val="88"/>
        </w:trPr>
        <w:tc>
          <w:tcPr>
            <w:tcW w:w="567" w:type="dxa"/>
            <w:noWrap/>
            <w:vAlign w:val="bottom"/>
            <w:hideMark/>
          </w:tcPr>
          <w:p w14:paraId="20AD6067"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#10</w:t>
            </w:r>
          </w:p>
        </w:tc>
        <w:tc>
          <w:tcPr>
            <w:tcW w:w="8617" w:type="dxa"/>
            <w:vAlign w:val="bottom"/>
            <w:hideMark/>
          </w:tcPr>
          <w:p w14:paraId="36582177"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(volume* NEAR/3 outcome*):ti,ab,kw</w:t>
            </w:r>
          </w:p>
        </w:tc>
      </w:tr>
      <w:tr w:rsidR="0064556C" w:rsidRPr="00BF62A1" w14:paraId="3ED2ED13" w14:textId="77777777" w:rsidTr="009B5628">
        <w:trPr>
          <w:trHeight w:val="58"/>
        </w:trPr>
        <w:tc>
          <w:tcPr>
            <w:tcW w:w="567" w:type="dxa"/>
            <w:noWrap/>
            <w:vAlign w:val="bottom"/>
            <w:hideMark/>
          </w:tcPr>
          <w:p w14:paraId="5D25A710"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#11</w:t>
            </w:r>
          </w:p>
        </w:tc>
        <w:tc>
          <w:tcPr>
            <w:tcW w:w="8617" w:type="dxa"/>
            <w:vAlign w:val="bottom"/>
            <w:hideMark/>
          </w:tcPr>
          <w:p w14:paraId="088704E1"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(centrali* OR decentrali* OR regionali?ation):ti,ab,kw</w:t>
            </w:r>
          </w:p>
        </w:tc>
      </w:tr>
      <w:tr w:rsidR="0064556C" w:rsidRPr="00BF62A1" w14:paraId="3F298530" w14:textId="77777777" w:rsidTr="009B5628">
        <w:trPr>
          <w:trHeight w:val="135"/>
        </w:trPr>
        <w:tc>
          <w:tcPr>
            <w:tcW w:w="567" w:type="dxa"/>
            <w:noWrap/>
            <w:vAlign w:val="bottom"/>
            <w:hideMark/>
          </w:tcPr>
          <w:p w14:paraId="3CDDDABA"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#12</w:t>
            </w:r>
          </w:p>
        </w:tc>
        <w:tc>
          <w:tcPr>
            <w:tcW w:w="8617" w:type="dxa"/>
            <w:vAlign w:val="bottom"/>
            <w:hideMark/>
          </w:tcPr>
          <w:p w14:paraId="261CEFD5"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MeSH descriptor: [Surgeons] explode all trees</w:t>
            </w:r>
          </w:p>
        </w:tc>
      </w:tr>
      <w:tr w:rsidR="0064556C" w:rsidRPr="00BF62A1" w14:paraId="61596131" w14:textId="77777777" w:rsidTr="009B5628">
        <w:trPr>
          <w:trHeight w:val="82"/>
        </w:trPr>
        <w:tc>
          <w:tcPr>
            <w:tcW w:w="567" w:type="dxa"/>
            <w:noWrap/>
            <w:vAlign w:val="bottom"/>
            <w:hideMark/>
          </w:tcPr>
          <w:p w14:paraId="36E74EDE"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#13</w:t>
            </w:r>
          </w:p>
        </w:tc>
        <w:tc>
          <w:tcPr>
            <w:tcW w:w="8617" w:type="dxa"/>
            <w:vAlign w:val="bottom"/>
            <w:hideMark/>
          </w:tcPr>
          <w:p w14:paraId="62C9589D"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MeSH descriptor: [Patient Outcome Assessment] explode all trees</w:t>
            </w:r>
          </w:p>
        </w:tc>
      </w:tr>
      <w:tr w:rsidR="0064556C" w:rsidRPr="00BF62A1" w14:paraId="3911BE7C" w14:textId="77777777" w:rsidTr="009B5628">
        <w:trPr>
          <w:trHeight w:val="169"/>
        </w:trPr>
        <w:tc>
          <w:tcPr>
            <w:tcW w:w="567" w:type="dxa"/>
            <w:noWrap/>
            <w:vAlign w:val="bottom"/>
            <w:hideMark/>
          </w:tcPr>
          <w:p w14:paraId="3CF26CB1"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#14</w:t>
            </w:r>
          </w:p>
        </w:tc>
        <w:tc>
          <w:tcPr>
            <w:tcW w:w="8617" w:type="dxa"/>
            <w:vAlign w:val="bottom"/>
            <w:hideMark/>
          </w:tcPr>
          <w:p w14:paraId="3B409E9D"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MeSH descriptor: [Treatment Outcome] explode all trees</w:t>
            </w:r>
          </w:p>
        </w:tc>
      </w:tr>
      <w:tr w:rsidR="0064556C" w:rsidRPr="00BF62A1" w14:paraId="50220757" w14:textId="77777777" w:rsidTr="009B5628">
        <w:trPr>
          <w:trHeight w:val="101"/>
        </w:trPr>
        <w:tc>
          <w:tcPr>
            <w:tcW w:w="567" w:type="dxa"/>
            <w:noWrap/>
            <w:vAlign w:val="bottom"/>
            <w:hideMark/>
          </w:tcPr>
          <w:p w14:paraId="78C55F87"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#15</w:t>
            </w:r>
          </w:p>
        </w:tc>
        <w:tc>
          <w:tcPr>
            <w:tcW w:w="8617" w:type="dxa"/>
            <w:vAlign w:val="bottom"/>
            <w:hideMark/>
          </w:tcPr>
          <w:p w14:paraId="46EEBEFF"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#11 OR #12 OR #13 OR #14</w:t>
            </w:r>
          </w:p>
        </w:tc>
      </w:tr>
      <w:tr w:rsidR="0064556C" w:rsidRPr="00BF62A1" w14:paraId="2CBDB307" w14:textId="77777777" w:rsidTr="009B5628">
        <w:trPr>
          <w:trHeight w:val="62"/>
        </w:trPr>
        <w:tc>
          <w:tcPr>
            <w:tcW w:w="567" w:type="dxa"/>
            <w:noWrap/>
            <w:vAlign w:val="bottom"/>
            <w:hideMark/>
          </w:tcPr>
          <w:p w14:paraId="4480721E"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#16</w:t>
            </w:r>
          </w:p>
        </w:tc>
        <w:tc>
          <w:tcPr>
            <w:tcW w:w="8617" w:type="dxa"/>
            <w:vAlign w:val="bottom"/>
            <w:hideMark/>
          </w:tcPr>
          <w:p w14:paraId="0EA6B6C1"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(volume* OR workload OR caseload):ti,ab,kw</w:t>
            </w:r>
          </w:p>
        </w:tc>
      </w:tr>
      <w:tr w:rsidR="0064556C" w:rsidRPr="00BF62A1" w14:paraId="786CBAF5" w14:textId="77777777" w:rsidTr="009B5628">
        <w:trPr>
          <w:trHeight w:val="149"/>
        </w:trPr>
        <w:tc>
          <w:tcPr>
            <w:tcW w:w="567" w:type="dxa"/>
            <w:noWrap/>
            <w:vAlign w:val="bottom"/>
            <w:hideMark/>
          </w:tcPr>
          <w:p w14:paraId="0489CDC4"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#17</w:t>
            </w:r>
          </w:p>
        </w:tc>
        <w:tc>
          <w:tcPr>
            <w:tcW w:w="8617" w:type="dxa"/>
            <w:vAlign w:val="bottom"/>
            <w:hideMark/>
          </w:tcPr>
          <w:p w14:paraId="35A790DA"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#15 AND #16</w:t>
            </w:r>
          </w:p>
        </w:tc>
      </w:tr>
      <w:tr w:rsidR="0064556C" w:rsidRPr="00BF62A1" w14:paraId="3D702608" w14:textId="77777777" w:rsidTr="009B5628">
        <w:trPr>
          <w:trHeight w:val="95"/>
        </w:trPr>
        <w:tc>
          <w:tcPr>
            <w:tcW w:w="567" w:type="dxa"/>
            <w:noWrap/>
            <w:vAlign w:val="bottom"/>
            <w:hideMark/>
          </w:tcPr>
          <w:p w14:paraId="7E4D38F1"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#18</w:t>
            </w:r>
          </w:p>
        </w:tc>
        <w:tc>
          <w:tcPr>
            <w:tcW w:w="8617" w:type="dxa"/>
            <w:vAlign w:val="bottom"/>
            <w:hideMark/>
          </w:tcPr>
          <w:p w14:paraId="738E8423"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#6 OR #7 OR #8 OR #9 OR #10 OR #17</w:t>
            </w:r>
          </w:p>
        </w:tc>
      </w:tr>
      <w:tr w:rsidR="0064556C" w:rsidRPr="00BF62A1" w14:paraId="63D75934" w14:textId="77777777" w:rsidTr="009B5628">
        <w:trPr>
          <w:trHeight w:val="184"/>
        </w:trPr>
        <w:tc>
          <w:tcPr>
            <w:tcW w:w="567" w:type="dxa"/>
            <w:noWrap/>
            <w:vAlign w:val="bottom"/>
            <w:hideMark/>
          </w:tcPr>
          <w:p w14:paraId="126FC95D"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#19</w:t>
            </w:r>
          </w:p>
        </w:tc>
        <w:tc>
          <w:tcPr>
            <w:tcW w:w="8617" w:type="dxa"/>
            <w:vAlign w:val="bottom"/>
            <w:hideMark/>
          </w:tcPr>
          <w:p w14:paraId="658CC10F" w14:textId="77777777" w:rsidR="0064556C" w:rsidRPr="00BF62A1" w:rsidRDefault="0064556C" w:rsidP="002473B8">
            <w:pPr>
              <w:spacing w:line="240" w:lineRule="auto"/>
              <w:jc w:val="left"/>
              <w:rPr>
                <w:color w:val="000000"/>
                <w:sz w:val="16"/>
                <w:szCs w:val="16"/>
                <w:lang w:eastAsia="en-US"/>
              </w:rPr>
            </w:pPr>
            <w:r w:rsidRPr="00BF62A1">
              <w:rPr>
                <w:color w:val="000000"/>
                <w:sz w:val="16"/>
                <w:szCs w:val="16"/>
                <w:lang w:eastAsia="en-US"/>
              </w:rPr>
              <w:t>#5 AND #18 in Cochrane Reviews, Cochrane Protocols, Trials</w:t>
            </w:r>
          </w:p>
        </w:tc>
      </w:tr>
    </w:tbl>
    <w:p w14:paraId="1CFFBD8F" w14:textId="3C0C30AF" w:rsidR="00CC4A06" w:rsidRPr="00BF62A1" w:rsidRDefault="00CC4A06" w:rsidP="002473B8"/>
    <w:p w14:paraId="2E513822" w14:textId="77777777" w:rsidR="00A57ABC" w:rsidRPr="00BF62A1" w:rsidRDefault="00A57ABC" w:rsidP="002473B8"/>
    <w:tbl>
      <w:tblPr>
        <w:tblW w:w="918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632"/>
      </w:tblGrid>
      <w:tr w:rsidR="00B90D01" w:rsidRPr="00BF62A1" w14:paraId="0488CB32" w14:textId="77777777" w:rsidTr="00C51707">
        <w:trPr>
          <w:trHeight w:val="58"/>
        </w:trPr>
        <w:tc>
          <w:tcPr>
            <w:tcW w:w="9184" w:type="dxa"/>
            <w:gridSpan w:val="2"/>
            <w:noWrap/>
            <w:vAlign w:val="bottom"/>
          </w:tcPr>
          <w:p w14:paraId="6FA0BD3D" w14:textId="10A0D4BC" w:rsidR="00B90D01" w:rsidRPr="00BF62A1" w:rsidRDefault="00B90D01" w:rsidP="00C51707">
            <w:pPr>
              <w:spacing w:line="240" w:lineRule="auto"/>
              <w:jc w:val="left"/>
              <w:rPr>
                <w:b/>
                <w:bCs/>
                <w:color w:val="000000"/>
                <w:sz w:val="16"/>
                <w:szCs w:val="16"/>
                <w:lang w:eastAsia="en-US"/>
              </w:rPr>
            </w:pPr>
            <w:r w:rsidRPr="00BF62A1">
              <w:rPr>
                <w:b/>
                <w:bCs/>
              </w:rPr>
              <w:lastRenderedPageBreak/>
              <w:t>Study regist</w:t>
            </w:r>
            <w:r w:rsidR="00023246">
              <w:rPr>
                <w:b/>
                <w:bCs/>
              </w:rPr>
              <w:t>ries</w:t>
            </w:r>
            <w:r w:rsidRPr="00BF62A1">
              <w:rPr>
                <w:b/>
                <w:bCs/>
              </w:rPr>
              <w:t>:</w:t>
            </w:r>
          </w:p>
        </w:tc>
      </w:tr>
      <w:tr w:rsidR="00B90D01" w:rsidRPr="00BF62A1" w14:paraId="69D8A451" w14:textId="77777777" w:rsidTr="00864538">
        <w:trPr>
          <w:trHeight w:val="58"/>
        </w:trPr>
        <w:tc>
          <w:tcPr>
            <w:tcW w:w="2552" w:type="dxa"/>
            <w:noWrap/>
            <w:vAlign w:val="center"/>
            <w:hideMark/>
          </w:tcPr>
          <w:p w14:paraId="0EE7DE5C" w14:textId="2DBCF5B4" w:rsidR="00B90D01" w:rsidRPr="00864538" w:rsidRDefault="00B90D01" w:rsidP="00B90D01">
            <w:pPr>
              <w:spacing w:line="240" w:lineRule="auto"/>
              <w:jc w:val="left"/>
              <w:rPr>
                <w:b/>
                <w:bCs/>
                <w:color w:val="000000"/>
                <w:sz w:val="16"/>
                <w:szCs w:val="16"/>
                <w:lang w:eastAsia="en-US"/>
              </w:rPr>
            </w:pPr>
            <w:r w:rsidRPr="00864538">
              <w:rPr>
                <w:b/>
                <w:bCs/>
                <w:color w:val="000000"/>
                <w:sz w:val="16"/>
                <w:szCs w:val="16"/>
                <w:lang w:eastAsia="en-US"/>
              </w:rPr>
              <w:t>ICTRP</w:t>
            </w:r>
          </w:p>
        </w:tc>
        <w:tc>
          <w:tcPr>
            <w:tcW w:w="6632" w:type="dxa"/>
            <w:vAlign w:val="bottom"/>
            <w:hideMark/>
          </w:tcPr>
          <w:p w14:paraId="704A34CE" w14:textId="31420DE0" w:rsidR="00B90D01" w:rsidRPr="00BF62A1" w:rsidRDefault="00B90D01" w:rsidP="00C51707">
            <w:pPr>
              <w:spacing w:line="240" w:lineRule="auto"/>
              <w:jc w:val="left"/>
              <w:rPr>
                <w:color w:val="000000"/>
                <w:sz w:val="16"/>
                <w:szCs w:val="16"/>
                <w:lang w:eastAsia="en-US"/>
              </w:rPr>
            </w:pPr>
            <w:r w:rsidRPr="00BF62A1">
              <w:rPr>
                <w:color w:val="000000"/>
                <w:sz w:val="16"/>
                <w:szCs w:val="16"/>
                <w:lang w:eastAsia="en-US"/>
              </w:rPr>
              <w:t>("liver resection" OR hepatectomy OR surgery OR resection OR surgeon OR hospital OR provider OR liver OR institution OR center OR centre OR multicentre OR multicenter) AND (volume OR outcome OR experience OR results OR caseload OR costs OR cost)</w:t>
            </w:r>
          </w:p>
        </w:tc>
      </w:tr>
      <w:tr w:rsidR="00B90D01" w:rsidRPr="00BF62A1" w14:paraId="6ED36E65" w14:textId="77777777" w:rsidTr="00864538">
        <w:trPr>
          <w:trHeight w:val="58"/>
        </w:trPr>
        <w:tc>
          <w:tcPr>
            <w:tcW w:w="2552" w:type="dxa"/>
            <w:noWrap/>
            <w:vAlign w:val="center"/>
          </w:tcPr>
          <w:p w14:paraId="78C31FE2" w14:textId="797B9E69" w:rsidR="00B90D01" w:rsidRPr="00864538" w:rsidRDefault="00B90D01" w:rsidP="00B90D01">
            <w:pPr>
              <w:spacing w:line="240" w:lineRule="auto"/>
              <w:jc w:val="left"/>
              <w:rPr>
                <w:b/>
                <w:bCs/>
                <w:color w:val="000000"/>
                <w:sz w:val="16"/>
                <w:szCs w:val="16"/>
                <w:lang w:eastAsia="en-US"/>
              </w:rPr>
            </w:pPr>
            <w:r w:rsidRPr="00864538">
              <w:rPr>
                <w:b/>
                <w:bCs/>
                <w:color w:val="000000"/>
                <w:sz w:val="16"/>
                <w:szCs w:val="16"/>
                <w:lang w:eastAsia="en-US"/>
              </w:rPr>
              <w:t>Clinicaltrials.gov</w:t>
            </w:r>
          </w:p>
        </w:tc>
        <w:tc>
          <w:tcPr>
            <w:tcW w:w="6632" w:type="dxa"/>
            <w:vAlign w:val="bottom"/>
          </w:tcPr>
          <w:p w14:paraId="70AB1862" w14:textId="56AB4475" w:rsidR="00B90D01" w:rsidRPr="00BF62A1" w:rsidRDefault="00B90D01" w:rsidP="00C51707">
            <w:pPr>
              <w:spacing w:line="240" w:lineRule="auto"/>
              <w:jc w:val="left"/>
              <w:rPr>
                <w:color w:val="000000"/>
                <w:sz w:val="16"/>
                <w:szCs w:val="16"/>
                <w:lang w:eastAsia="en-US"/>
              </w:rPr>
            </w:pPr>
            <w:r w:rsidRPr="00BF62A1">
              <w:rPr>
                <w:color w:val="000000"/>
                <w:sz w:val="16"/>
                <w:szCs w:val="16"/>
                <w:lang w:eastAsia="en-US"/>
              </w:rPr>
              <w:t>EXPAND[Concept] ( "hospital volume" OR "volume hospital" OR "centre volume" OR "volume centre" OR "center volume" OR "volume center" OR "clinic size" OR "centre size" OR "center size" OR "patient volume" OR "provider volume" OR "surgical volume" OR "procedure volume" OR "procedural volume" OR "facility volume" OR "volume facility" OR "treatment volume" OR "Surgery caseload" OR "surgery workload" OR "surgeon workload" OR "surgeon experience" OR "surgeon skills" OR "experienced surgeon" OR "surgical caseload" OR "surgeon performance" OR "performance surgeon" OR "volume outcome" ) AND AREA[ConditionSearch] ( hepatic OR liver OR Hepatocellular OR hepatic metastasis OR Hepatic OR Liver AND ( Neoplasms OR Diseases OR Cancer ) ) AND AREA[InterventionSearch] ( Liver surgery and liver resection OR surgery OR Resection OR Hepatectomy OR hepatic surgery OR hepatic resection )</w:t>
            </w:r>
          </w:p>
        </w:tc>
      </w:tr>
      <w:tr w:rsidR="00B90D01" w:rsidRPr="00BF62A1" w14:paraId="4D13B33D" w14:textId="77777777" w:rsidTr="00864538">
        <w:trPr>
          <w:trHeight w:val="58"/>
        </w:trPr>
        <w:tc>
          <w:tcPr>
            <w:tcW w:w="2552" w:type="dxa"/>
            <w:noWrap/>
            <w:vAlign w:val="center"/>
          </w:tcPr>
          <w:p w14:paraId="70B7D219" w14:textId="7126DADB" w:rsidR="00B90D01" w:rsidRPr="00864538" w:rsidRDefault="00B90D01" w:rsidP="00B90D01">
            <w:pPr>
              <w:spacing w:line="240" w:lineRule="auto"/>
              <w:jc w:val="left"/>
              <w:rPr>
                <w:b/>
                <w:bCs/>
                <w:color w:val="000000"/>
                <w:sz w:val="16"/>
                <w:szCs w:val="16"/>
                <w:lang w:eastAsia="en-US"/>
              </w:rPr>
            </w:pPr>
            <w:r w:rsidRPr="00864538">
              <w:rPr>
                <w:b/>
                <w:bCs/>
                <w:color w:val="000000"/>
                <w:sz w:val="16"/>
                <w:szCs w:val="16"/>
                <w:lang w:eastAsia="en-US"/>
              </w:rPr>
              <w:t>German Clinical Trials Register</w:t>
            </w:r>
          </w:p>
        </w:tc>
        <w:tc>
          <w:tcPr>
            <w:tcW w:w="6632" w:type="dxa"/>
            <w:vAlign w:val="bottom"/>
          </w:tcPr>
          <w:p w14:paraId="5703EFCF" w14:textId="67A237ED" w:rsidR="00B90D01" w:rsidRPr="00BF62A1" w:rsidRDefault="00B90D01" w:rsidP="00C51707">
            <w:pPr>
              <w:spacing w:line="240" w:lineRule="auto"/>
              <w:jc w:val="left"/>
              <w:rPr>
                <w:color w:val="000000"/>
                <w:sz w:val="16"/>
                <w:szCs w:val="16"/>
                <w:lang w:eastAsia="en-US"/>
              </w:rPr>
            </w:pPr>
            <w:r w:rsidRPr="00BF62A1">
              <w:rPr>
                <w:color w:val="000000"/>
                <w:sz w:val="16"/>
                <w:szCs w:val="16"/>
                <w:lang w:eastAsia="en-US"/>
              </w:rPr>
              <w:t>Liver AND resection AND volume</w:t>
            </w:r>
          </w:p>
        </w:tc>
      </w:tr>
    </w:tbl>
    <w:p w14:paraId="5DE1A1CB" w14:textId="77777777" w:rsidR="00A57ABC" w:rsidRPr="00BF62A1" w:rsidRDefault="00A57ABC" w:rsidP="002473B8"/>
    <w:p w14:paraId="1D87A3B2" w14:textId="77777777" w:rsidR="00A57ABC" w:rsidRPr="00BF62A1" w:rsidRDefault="00A57ABC" w:rsidP="002473B8"/>
    <w:p w14:paraId="69B93F7D" w14:textId="77777777" w:rsidR="00CC4A06" w:rsidRPr="00BF62A1" w:rsidRDefault="00CC4A06" w:rsidP="002473B8">
      <w:pPr>
        <w:pStyle w:val="Heading1"/>
        <w:numPr>
          <w:ilvl w:val="0"/>
          <w:numId w:val="0"/>
        </w:numPr>
        <w:rPr>
          <w:rFonts w:cs="Times New Roman"/>
          <w:sz w:val="28"/>
          <w:szCs w:val="28"/>
        </w:rPr>
      </w:pPr>
      <w:r w:rsidRPr="00BF62A1">
        <w:rPr>
          <w:rFonts w:cs="Times New Roman"/>
          <w:sz w:val="28"/>
          <w:szCs w:val="28"/>
        </w:rPr>
        <w:t>Appendix 2: Excluded full-texts</w:t>
      </w:r>
    </w:p>
    <w:p w14:paraId="02C591BB" w14:textId="2342C975" w:rsidR="00CC4A06" w:rsidRPr="00BF62A1" w:rsidRDefault="00CC4A06" w:rsidP="002473B8">
      <w:pPr>
        <w:rPr>
          <w:sz w:val="20"/>
          <w:szCs w:val="20"/>
        </w:rPr>
      </w:pPr>
      <w:r w:rsidRPr="00BF62A1">
        <w:rPr>
          <w:sz w:val="20"/>
          <w:szCs w:val="20"/>
        </w:rPr>
        <w:t xml:space="preserve">Wrong </w:t>
      </w:r>
      <w:r w:rsidRPr="000526BD">
        <w:rPr>
          <w:sz w:val="20"/>
          <w:szCs w:val="20"/>
        </w:rPr>
        <w:t>intervention</w:t>
      </w:r>
      <w:r w:rsidR="005B00F0" w:rsidRPr="000526BD">
        <w:rPr>
          <w:sz w:val="20"/>
          <w:szCs w:val="20"/>
        </w:rPr>
        <w:t xml:space="preserve"> (including from </w:t>
      </w:r>
      <w:r w:rsidR="000526BD" w:rsidRPr="000526BD">
        <w:rPr>
          <w:sz w:val="20"/>
          <w:szCs w:val="20"/>
        </w:rPr>
        <w:t>records identified from systematic reviews)</w:t>
      </w:r>
      <w:r w:rsidRPr="000526BD">
        <w:rPr>
          <w:sz w:val="20"/>
          <w:szCs w:val="20"/>
        </w:rPr>
        <w:t>: (28)</w:t>
      </w:r>
    </w:p>
    <w:tbl>
      <w:tblPr>
        <w:tblStyle w:val="TableGrid"/>
        <w:tblW w:w="9356" w:type="dxa"/>
        <w:tblInd w:w="-714" w:type="dxa"/>
        <w:tblLook w:val="04A0" w:firstRow="1" w:lastRow="0" w:firstColumn="1" w:lastColumn="0" w:noHBand="0" w:noVBand="1"/>
      </w:tblPr>
      <w:tblGrid>
        <w:gridCol w:w="9356"/>
      </w:tblGrid>
      <w:tr w:rsidR="00CC4A06" w:rsidRPr="00BF62A1" w14:paraId="39EBD9F4" w14:textId="77777777" w:rsidTr="00864538">
        <w:trPr>
          <w:trHeight w:val="20"/>
        </w:trPr>
        <w:tc>
          <w:tcPr>
            <w:tcW w:w="9356" w:type="dxa"/>
          </w:tcPr>
          <w:p w14:paraId="707454F3" w14:textId="77777777" w:rsidR="00CC4A06" w:rsidRPr="00BF62A1" w:rsidRDefault="00CC4A06" w:rsidP="000B7BD7">
            <w:pPr>
              <w:spacing w:line="240" w:lineRule="auto"/>
              <w:rPr>
                <w:sz w:val="16"/>
                <w:szCs w:val="16"/>
              </w:rPr>
            </w:pPr>
            <w:r w:rsidRPr="00BF62A1">
              <w:rPr>
                <w:sz w:val="16"/>
                <w:szCs w:val="16"/>
              </w:rPr>
              <w:t>Suzuki, H. et al. (2011) ‘Nationwide survey and establishment of a clinical database for gastrointestinal surgery in Japan: Targeting integration of a cancer registration system and improving the outcome of cancer treatment’, Cancer Sci, 102(1), pp. 226–30.</w:t>
            </w:r>
          </w:p>
        </w:tc>
      </w:tr>
      <w:tr w:rsidR="00CC4A06" w:rsidRPr="00BF62A1" w14:paraId="4FFDBCB4" w14:textId="77777777" w:rsidTr="00864538">
        <w:trPr>
          <w:trHeight w:val="20"/>
        </w:trPr>
        <w:tc>
          <w:tcPr>
            <w:tcW w:w="9356" w:type="dxa"/>
          </w:tcPr>
          <w:p w14:paraId="281530CC" w14:textId="77777777" w:rsidR="00CC4A06" w:rsidRPr="00BF62A1" w:rsidRDefault="00CC4A06" w:rsidP="000B7BD7">
            <w:pPr>
              <w:spacing w:line="240" w:lineRule="auto"/>
              <w:rPr>
                <w:sz w:val="16"/>
                <w:szCs w:val="16"/>
              </w:rPr>
            </w:pPr>
            <w:r w:rsidRPr="00BF62A1">
              <w:rPr>
                <w:sz w:val="16"/>
                <w:szCs w:val="16"/>
              </w:rPr>
              <w:t>Nuzzo, G. (2012) ‘Improvement in Perioperative and Long-term Outcome After Surgical Treatment of Hilar Cholangiocarcinoma: Results of an Italian Multicenter Analysis of 440 Patients’, Archives of Surgery, 147(1), p. 26.</w:t>
            </w:r>
          </w:p>
        </w:tc>
      </w:tr>
      <w:tr w:rsidR="00CC4A06" w:rsidRPr="00BF62A1" w14:paraId="48232943" w14:textId="77777777" w:rsidTr="00864538">
        <w:trPr>
          <w:trHeight w:val="20"/>
        </w:trPr>
        <w:tc>
          <w:tcPr>
            <w:tcW w:w="9356" w:type="dxa"/>
          </w:tcPr>
          <w:p w14:paraId="543D20E1" w14:textId="77777777" w:rsidR="00CC4A06" w:rsidRPr="00BF62A1" w:rsidRDefault="00CC4A06" w:rsidP="000B7BD7">
            <w:pPr>
              <w:spacing w:line="240" w:lineRule="auto"/>
              <w:rPr>
                <w:sz w:val="16"/>
                <w:szCs w:val="16"/>
              </w:rPr>
            </w:pPr>
            <w:r w:rsidRPr="00BF62A1">
              <w:rPr>
                <w:sz w:val="16"/>
                <w:szCs w:val="16"/>
              </w:rPr>
              <w:t>Lau, K. et al. (2014) ‘The effect of a regional hepatopancreaticobiliary surgical program on clinical volume, quality of cancer care, and outcomes in the Veterans Affairs system’, JAMA Surg, 149(11), pp. 1153–61.</w:t>
            </w:r>
          </w:p>
        </w:tc>
      </w:tr>
      <w:tr w:rsidR="00CC4A06" w:rsidRPr="00BF62A1" w14:paraId="05F4D438" w14:textId="77777777" w:rsidTr="00864538">
        <w:trPr>
          <w:trHeight w:val="20"/>
        </w:trPr>
        <w:tc>
          <w:tcPr>
            <w:tcW w:w="9356" w:type="dxa"/>
          </w:tcPr>
          <w:p w14:paraId="07F2BACC" w14:textId="77777777" w:rsidR="00CC4A06" w:rsidRPr="00BF62A1" w:rsidRDefault="00CC4A06" w:rsidP="000B7BD7">
            <w:pPr>
              <w:spacing w:line="240" w:lineRule="auto"/>
              <w:rPr>
                <w:sz w:val="16"/>
                <w:szCs w:val="16"/>
              </w:rPr>
            </w:pPr>
            <w:r w:rsidRPr="00312729">
              <w:rPr>
                <w:sz w:val="16"/>
                <w:szCs w:val="16"/>
                <w:lang w:val="de-DE"/>
              </w:rPr>
              <w:t xml:space="preserve">Schneider, E.B. et al. </w:t>
            </w:r>
            <w:r w:rsidRPr="00BF62A1">
              <w:rPr>
                <w:sz w:val="16"/>
                <w:szCs w:val="16"/>
              </w:rPr>
              <w:t>(2014) ‘Hospital volume and patient outcomes in hepato-pancreatico-biliary surgery: is assessing differences in mortality enough?’, J Gastrointest Surg, 18(12), pp. 2105–15.</w:t>
            </w:r>
          </w:p>
        </w:tc>
      </w:tr>
      <w:tr w:rsidR="00CC4A06" w:rsidRPr="00BF62A1" w14:paraId="2AC4F292" w14:textId="77777777" w:rsidTr="00864538">
        <w:trPr>
          <w:trHeight w:val="20"/>
        </w:trPr>
        <w:tc>
          <w:tcPr>
            <w:tcW w:w="9356" w:type="dxa"/>
          </w:tcPr>
          <w:p w14:paraId="1C7E0CFC" w14:textId="77777777" w:rsidR="00CC4A06" w:rsidRPr="00BF62A1" w:rsidRDefault="00CC4A06" w:rsidP="000B7BD7">
            <w:pPr>
              <w:spacing w:line="240" w:lineRule="auto"/>
              <w:rPr>
                <w:sz w:val="16"/>
                <w:szCs w:val="16"/>
              </w:rPr>
            </w:pPr>
            <w:r w:rsidRPr="00BF62A1">
              <w:rPr>
                <w:sz w:val="16"/>
                <w:szCs w:val="16"/>
              </w:rPr>
              <w:t>Yamashita, Y. et al. (2014) ‘Trends in surgical results of hepatic resection for hepatocellular carcinoma: 1,000 consecutive cases over 20 years in a single institution’, Am J Surg, 207(6), pp. 890–6.</w:t>
            </w:r>
          </w:p>
        </w:tc>
      </w:tr>
      <w:tr w:rsidR="00CC4A06" w:rsidRPr="00BF62A1" w14:paraId="236FCE8E" w14:textId="77777777" w:rsidTr="00864538">
        <w:trPr>
          <w:trHeight w:val="20"/>
        </w:trPr>
        <w:tc>
          <w:tcPr>
            <w:tcW w:w="9356" w:type="dxa"/>
          </w:tcPr>
          <w:p w14:paraId="609A8867" w14:textId="77777777" w:rsidR="00CC4A06" w:rsidRPr="00BF62A1" w:rsidRDefault="00CC4A06" w:rsidP="000B7BD7">
            <w:pPr>
              <w:spacing w:line="240" w:lineRule="auto"/>
              <w:rPr>
                <w:sz w:val="16"/>
                <w:szCs w:val="16"/>
              </w:rPr>
            </w:pPr>
            <w:r w:rsidRPr="00864538">
              <w:rPr>
                <w:sz w:val="16"/>
                <w:szCs w:val="16"/>
              </w:rPr>
              <w:t xml:space="preserve">van der Geest, L.G. et al. </w:t>
            </w:r>
            <w:r w:rsidRPr="00BF62A1">
              <w:rPr>
                <w:sz w:val="16"/>
                <w:szCs w:val="16"/>
              </w:rPr>
              <w:t>(2015) ‘Survival in relation to hospital type after resection or sorafenib treatment for hepatocellular carcinoma in The Netherlands’, Clin Res Hepatol Gastroenterol, 39(6), pp. 725–35.</w:t>
            </w:r>
          </w:p>
        </w:tc>
      </w:tr>
      <w:tr w:rsidR="00CC4A06" w:rsidRPr="00BF62A1" w14:paraId="162E2EF2" w14:textId="77777777" w:rsidTr="00864538">
        <w:trPr>
          <w:trHeight w:val="20"/>
        </w:trPr>
        <w:tc>
          <w:tcPr>
            <w:tcW w:w="9356" w:type="dxa"/>
          </w:tcPr>
          <w:p w14:paraId="1353F016" w14:textId="77777777" w:rsidR="00CC4A06" w:rsidRPr="00BF62A1" w:rsidRDefault="00CC4A06" w:rsidP="000B7BD7">
            <w:pPr>
              <w:spacing w:line="240" w:lineRule="auto"/>
              <w:rPr>
                <w:sz w:val="16"/>
                <w:szCs w:val="16"/>
              </w:rPr>
            </w:pPr>
            <w:r w:rsidRPr="00864538">
              <w:rPr>
                <w:sz w:val="16"/>
                <w:szCs w:val="16"/>
                <w:lang w:val="fr-FR"/>
              </w:rPr>
              <w:t xml:space="preserve">Mokdad, A.A. et al. </w:t>
            </w:r>
            <w:r w:rsidRPr="00BF62A1">
              <w:rPr>
                <w:sz w:val="16"/>
                <w:szCs w:val="16"/>
              </w:rPr>
              <w:t>(2016) ‘Hospital Volume and Survival After Hepatocellular Carcinoma Diagnosis’, Am J Gastroenterol, 111(7), pp. 967–75.</w:t>
            </w:r>
          </w:p>
        </w:tc>
      </w:tr>
      <w:tr w:rsidR="00CC4A06" w:rsidRPr="00BF62A1" w14:paraId="17BE84DC" w14:textId="77777777" w:rsidTr="00864538">
        <w:trPr>
          <w:trHeight w:val="20"/>
        </w:trPr>
        <w:tc>
          <w:tcPr>
            <w:tcW w:w="9356" w:type="dxa"/>
          </w:tcPr>
          <w:p w14:paraId="04CBC12D" w14:textId="77777777" w:rsidR="00CC4A06" w:rsidRPr="00BF62A1" w:rsidRDefault="00CC4A06" w:rsidP="000B7BD7">
            <w:pPr>
              <w:spacing w:line="240" w:lineRule="auto"/>
              <w:rPr>
                <w:sz w:val="16"/>
                <w:szCs w:val="16"/>
              </w:rPr>
            </w:pPr>
            <w:r w:rsidRPr="00BF62A1">
              <w:rPr>
                <w:sz w:val="16"/>
                <w:szCs w:val="16"/>
              </w:rPr>
              <w:t>Lagergren, J., Mattsson, F. and Lagergren, P. (2017) ‘Prognosis following cancer surgery during holiday periods’, Int J Cancer, 141(10), pp. 1971–1980.</w:t>
            </w:r>
          </w:p>
        </w:tc>
      </w:tr>
      <w:tr w:rsidR="00CC4A06" w:rsidRPr="00BF62A1" w14:paraId="0DBC7416" w14:textId="77777777" w:rsidTr="00864538">
        <w:trPr>
          <w:trHeight w:val="20"/>
        </w:trPr>
        <w:tc>
          <w:tcPr>
            <w:tcW w:w="9356" w:type="dxa"/>
          </w:tcPr>
          <w:p w14:paraId="02FBB787" w14:textId="77777777" w:rsidR="00CC4A06" w:rsidRPr="00BF62A1" w:rsidRDefault="00CC4A06" w:rsidP="000B7BD7">
            <w:pPr>
              <w:spacing w:line="240" w:lineRule="auto"/>
              <w:rPr>
                <w:sz w:val="16"/>
                <w:szCs w:val="16"/>
              </w:rPr>
            </w:pPr>
            <w:r w:rsidRPr="00864538">
              <w:rPr>
                <w:sz w:val="16"/>
                <w:szCs w:val="16"/>
                <w:lang w:val="fr-FR"/>
              </w:rPr>
              <w:t xml:space="preserve">Altieri, M.S. et al. </w:t>
            </w:r>
            <w:r w:rsidRPr="00BF62A1">
              <w:rPr>
                <w:sz w:val="16"/>
                <w:szCs w:val="16"/>
              </w:rPr>
              <w:t>(2018) ‘Academic status does not affect outcome following complex hepato-pancreato-biliary procedures’, Surg Endosc, 32(5), pp. 2355–2364.</w:t>
            </w:r>
          </w:p>
        </w:tc>
      </w:tr>
      <w:tr w:rsidR="00CC4A06" w:rsidRPr="00BF62A1" w14:paraId="48AE00E3" w14:textId="77777777" w:rsidTr="00864538">
        <w:trPr>
          <w:trHeight w:val="20"/>
        </w:trPr>
        <w:tc>
          <w:tcPr>
            <w:tcW w:w="9356" w:type="dxa"/>
          </w:tcPr>
          <w:p w14:paraId="11BE32C2" w14:textId="77777777" w:rsidR="00CC4A06" w:rsidRPr="00BF62A1" w:rsidRDefault="00CC4A06" w:rsidP="000B7BD7">
            <w:pPr>
              <w:spacing w:line="240" w:lineRule="auto"/>
              <w:rPr>
                <w:sz w:val="16"/>
                <w:szCs w:val="16"/>
              </w:rPr>
            </w:pPr>
            <w:r w:rsidRPr="00BF62A1">
              <w:rPr>
                <w:sz w:val="16"/>
                <w:szCs w:val="16"/>
              </w:rPr>
              <w:t>Haneuse, S. et al. (2018) ‘Assessment of Between-Hospital Variation in Readmission and Mortality After Cancer Surgical Procedures’, JAMA Netw Open, 1(6), p. e183038.</w:t>
            </w:r>
          </w:p>
        </w:tc>
      </w:tr>
      <w:tr w:rsidR="00CC4A06" w:rsidRPr="00BF62A1" w14:paraId="75C292BD" w14:textId="77777777" w:rsidTr="00864538">
        <w:trPr>
          <w:trHeight w:val="20"/>
        </w:trPr>
        <w:tc>
          <w:tcPr>
            <w:tcW w:w="9356" w:type="dxa"/>
          </w:tcPr>
          <w:p w14:paraId="5664D815" w14:textId="77777777" w:rsidR="00CC4A06" w:rsidRPr="00BF62A1" w:rsidRDefault="00CC4A06" w:rsidP="000B7BD7">
            <w:pPr>
              <w:spacing w:line="240" w:lineRule="auto"/>
              <w:rPr>
                <w:sz w:val="16"/>
                <w:szCs w:val="16"/>
              </w:rPr>
            </w:pPr>
            <w:r w:rsidRPr="00BF62A1">
              <w:rPr>
                <w:sz w:val="16"/>
                <w:szCs w:val="16"/>
              </w:rPr>
              <w:t>Sanaiha, Y. et al. (2018) ‘Incidence and trends of cardiac complications in major abdominal surgery’, Surgery, 164(3), pp. 539–545.</w:t>
            </w:r>
          </w:p>
        </w:tc>
      </w:tr>
      <w:tr w:rsidR="00CC4A06" w:rsidRPr="00BF62A1" w14:paraId="245E8272" w14:textId="77777777" w:rsidTr="00864538">
        <w:trPr>
          <w:trHeight w:val="20"/>
        </w:trPr>
        <w:tc>
          <w:tcPr>
            <w:tcW w:w="9356" w:type="dxa"/>
          </w:tcPr>
          <w:p w14:paraId="44845931" w14:textId="77777777" w:rsidR="00CC4A06" w:rsidRPr="00BF62A1" w:rsidRDefault="00CC4A06" w:rsidP="000B7BD7">
            <w:pPr>
              <w:spacing w:line="240" w:lineRule="auto"/>
              <w:rPr>
                <w:sz w:val="16"/>
                <w:szCs w:val="16"/>
              </w:rPr>
            </w:pPr>
            <w:r w:rsidRPr="00864538">
              <w:rPr>
                <w:sz w:val="16"/>
                <w:szCs w:val="16"/>
                <w:lang w:val="fr-FR"/>
              </w:rPr>
              <w:t xml:space="preserve">Varley, P.R. et al. </w:t>
            </w:r>
            <w:r w:rsidRPr="00BF62A1">
              <w:rPr>
                <w:sz w:val="16"/>
                <w:szCs w:val="16"/>
              </w:rPr>
              <w:t>(2018) ‘Dissemination of Minimally Invasive Liver Resection for Primary Malignancy: Reevaluating Effectiveness’, Ann Surg Oncol, 25(3), pp. 808–817.</w:t>
            </w:r>
          </w:p>
        </w:tc>
      </w:tr>
      <w:tr w:rsidR="00CC4A06" w:rsidRPr="00BF62A1" w14:paraId="36682DC3" w14:textId="77777777" w:rsidTr="00864538">
        <w:trPr>
          <w:trHeight w:val="20"/>
        </w:trPr>
        <w:tc>
          <w:tcPr>
            <w:tcW w:w="9356" w:type="dxa"/>
          </w:tcPr>
          <w:p w14:paraId="58BF1A7E" w14:textId="77777777" w:rsidR="00CC4A06" w:rsidRPr="00BF62A1" w:rsidRDefault="00CC4A06" w:rsidP="000B7BD7">
            <w:pPr>
              <w:spacing w:line="240" w:lineRule="auto"/>
              <w:rPr>
                <w:sz w:val="16"/>
                <w:szCs w:val="16"/>
              </w:rPr>
            </w:pPr>
            <w:r w:rsidRPr="00BF62A1">
              <w:rPr>
                <w:sz w:val="16"/>
                <w:szCs w:val="16"/>
              </w:rPr>
              <w:t>Wasif, N. et al. (2018) ‘Does Improved Mortality at Low- and Medium-Volume Hospitals Lead to Attenuation of the Volume to Outcomes Relationship for Major Visceral Surgery?’, J Am Coll Surg, 227(1), pp. 85-93.e9.</w:t>
            </w:r>
          </w:p>
        </w:tc>
      </w:tr>
      <w:tr w:rsidR="00CC4A06" w:rsidRPr="00BF62A1" w14:paraId="6CFD19EC" w14:textId="77777777" w:rsidTr="00864538">
        <w:trPr>
          <w:trHeight w:val="20"/>
        </w:trPr>
        <w:tc>
          <w:tcPr>
            <w:tcW w:w="9356" w:type="dxa"/>
          </w:tcPr>
          <w:p w14:paraId="55B07173" w14:textId="77777777" w:rsidR="00CC4A06" w:rsidRPr="00BF62A1" w:rsidRDefault="00CC4A06" w:rsidP="000B7BD7">
            <w:pPr>
              <w:spacing w:line="240" w:lineRule="auto"/>
              <w:rPr>
                <w:sz w:val="16"/>
                <w:szCs w:val="16"/>
              </w:rPr>
            </w:pPr>
            <w:r w:rsidRPr="00BF62A1">
              <w:rPr>
                <w:sz w:val="16"/>
                <w:szCs w:val="16"/>
              </w:rPr>
              <w:t>Wasif, N. et al. (2019) ‘Contemporary Improvements in Postoperative Mortality After Major Cancer Surgery are Associated with Weakening of the Volume-Outcome Association’, Ann Surg Oncol, 26(8), pp. 2348–2356.</w:t>
            </w:r>
          </w:p>
        </w:tc>
      </w:tr>
      <w:tr w:rsidR="00CC4A06" w:rsidRPr="00BF62A1" w14:paraId="3D1D65C3" w14:textId="77777777" w:rsidTr="00864538">
        <w:trPr>
          <w:trHeight w:val="20"/>
        </w:trPr>
        <w:tc>
          <w:tcPr>
            <w:tcW w:w="9356" w:type="dxa"/>
          </w:tcPr>
          <w:p w14:paraId="44D86812" w14:textId="77777777" w:rsidR="00CC4A06" w:rsidRPr="00BF62A1" w:rsidRDefault="00CC4A06" w:rsidP="000B7BD7">
            <w:pPr>
              <w:spacing w:line="240" w:lineRule="auto"/>
              <w:rPr>
                <w:sz w:val="16"/>
                <w:szCs w:val="16"/>
              </w:rPr>
            </w:pPr>
            <w:r w:rsidRPr="00BF62A1">
              <w:rPr>
                <w:sz w:val="16"/>
                <w:szCs w:val="16"/>
              </w:rPr>
              <w:t>Chen, Q. et al. (2019) ‘Procedure-Specific Volume and Nurse-to-Patient Ratio: Implications for Failure to Rescue Patients Following Liver Surgery’, World J Surg, 43(3), pp. 910–919.</w:t>
            </w:r>
          </w:p>
        </w:tc>
      </w:tr>
      <w:tr w:rsidR="00CC4A06" w:rsidRPr="00BF62A1" w14:paraId="425660AB" w14:textId="77777777" w:rsidTr="00864538">
        <w:trPr>
          <w:trHeight w:val="20"/>
        </w:trPr>
        <w:tc>
          <w:tcPr>
            <w:tcW w:w="9356" w:type="dxa"/>
          </w:tcPr>
          <w:p w14:paraId="2BD5C0E8" w14:textId="77777777" w:rsidR="00CC4A06" w:rsidRPr="00BF62A1" w:rsidRDefault="00CC4A06" w:rsidP="000B7BD7">
            <w:pPr>
              <w:spacing w:line="240" w:lineRule="auto"/>
              <w:rPr>
                <w:sz w:val="16"/>
                <w:szCs w:val="16"/>
              </w:rPr>
            </w:pPr>
            <w:r w:rsidRPr="00864538">
              <w:rPr>
                <w:sz w:val="16"/>
                <w:szCs w:val="16"/>
                <w:lang w:val="fr-FR"/>
              </w:rPr>
              <w:t xml:space="preserve">Gottlieb-Vedi, E. et al. </w:t>
            </w:r>
            <w:r w:rsidRPr="00BF62A1">
              <w:rPr>
                <w:sz w:val="16"/>
                <w:szCs w:val="16"/>
              </w:rPr>
              <w:t>(2019) ‘Annual hospital volume of surgery for gastrointestinal cancer in relation to prognosis’, Eur J Surg Oncol, 45(10), pp. 1839–1846.</w:t>
            </w:r>
          </w:p>
        </w:tc>
      </w:tr>
      <w:tr w:rsidR="00CC4A06" w:rsidRPr="00BF62A1" w14:paraId="289C667F" w14:textId="77777777" w:rsidTr="00864538">
        <w:trPr>
          <w:trHeight w:val="20"/>
        </w:trPr>
        <w:tc>
          <w:tcPr>
            <w:tcW w:w="9356" w:type="dxa"/>
          </w:tcPr>
          <w:p w14:paraId="06C7588A" w14:textId="77777777" w:rsidR="00CC4A06" w:rsidRPr="00BF62A1" w:rsidRDefault="00CC4A06" w:rsidP="000B7BD7">
            <w:pPr>
              <w:spacing w:line="240" w:lineRule="auto"/>
              <w:rPr>
                <w:sz w:val="16"/>
                <w:szCs w:val="16"/>
              </w:rPr>
            </w:pPr>
            <w:r w:rsidRPr="00BF62A1">
              <w:rPr>
                <w:sz w:val="16"/>
                <w:szCs w:val="16"/>
              </w:rPr>
              <w:t>Kommalapati, A. et al. (2019) ‘Association between treatment facility volume, therapy types and overall survival in patients with intrahepatic cholangiocarcinoma’, HPB (Oxford), 21(3), pp. 379–386.</w:t>
            </w:r>
          </w:p>
        </w:tc>
      </w:tr>
      <w:tr w:rsidR="00CC4A06" w:rsidRPr="00BF62A1" w14:paraId="2572398E" w14:textId="77777777" w:rsidTr="00864538">
        <w:trPr>
          <w:trHeight w:val="20"/>
        </w:trPr>
        <w:tc>
          <w:tcPr>
            <w:tcW w:w="9356" w:type="dxa"/>
          </w:tcPr>
          <w:p w14:paraId="1314F11A" w14:textId="77777777" w:rsidR="00CC4A06" w:rsidRPr="00BF62A1" w:rsidRDefault="00CC4A06" w:rsidP="000B7BD7">
            <w:pPr>
              <w:spacing w:line="240" w:lineRule="auto"/>
              <w:rPr>
                <w:sz w:val="16"/>
                <w:szCs w:val="16"/>
              </w:rPr>
            </w:pPr>
            <w:r w:rsidRPr="00BF62A1">
              <w:rPr>
                <w:sz w:val="16"/>
                <w:szCs w:val="16"/>
              </w:rPr>
              <w:t>Mehta, R. et al. (2020) ‘Influence of hospital teaching status on the chance to achieve a textbook outcome after hepatopancreatic surgery for cancer among Medicare beneficiaries’, Surgery, 168(1), pp. 92–100.</w:t>
            </w:r>
          </w:p>
        </w:tc>
      </w:tr>
      <w:tr w:rsidR="00CC4A06" w:rsidRPr="00BF62A1" w14:paraId="4597EE86" w14:textId="77777777" w:rsidTr="00864538">
        <w:trPr>
          <w:trHeight w:val="20"/>
        </w:trPr>
        <w:tc>
          <w:tcPr>
            <w:tcW w:w="9356" w:type="dxa"/>
          </w:tcPr>
          <w:p w14:paraId="2A16BE86" w14:textId="2AD95392" w:rsidR="00CC4A06" w:rsidRPr="00BF62A1" w:rsidRDefault="00CC4A06" w:rsidP="000B7BD7">
            <w:pPr>
              <w:spacing w:line="240" w:lineRule="auto"/>
              <w:rPr>
                <w:sz w:val="16"/>
                <w:szCs w:val="16"/>
              </w:rPr>
            </w:pPr>
            <w:r w:rsidRPr="00BF62A1">
              <w:rPr>
                <w:sz w:val="16"/>
                <w:szCs w:val="16"/>
              </w:rPr>
              <w:t>Olthof, P.B. et al. (2020) ‘Volume–outcome relationship of liver surgery: a nationwide analysis’, British Journal of Surgery, 107(7), pp. 917–926.</w:t>
            </w:r>
            <w:r w:rsidR="0067660E">
              <w:rPr>
                <w:sz w:val="16"/>
                <w:szCs w:val="16"/>
              </w:rPr>
              <w:t>g</w:t>
            </w:r>
          </w:p>
        </w:tc>
      </w:tr>
      <w:tr w:rsidR="00CC4A06" w:rsidRPr="00BF62A1" w14:paraId="3BE3A30C" w14:textId="77777777" w:rsidTr="00864538">
        <w:trPr>
          <w:trHeight w:val="20"/>
        </w:trPr>
        <w:tc>
          <w:tcPr>
            <w:tcW w:w="9356" w:type="dxa"/>
          </w:tcPr>
          <w:p w14:paraId="70A66E55" w14:textId="77777777" w:rsidR="00CC4A06" w:rsidRPr="00BF62A1" w:rsidRDefault="00CC4A06" w:rsidP="000B7BD7">
            <w:pPr>
              <w:spacing w:line="240" w:lineRule="auto"/>
              <w:rPr>
                <w:sz w:val="16"/>
                <w:szCs w:val="16"/>
              </w:rPr>
            </w:pPr>
            <w:r w:rsidRPr="006F6793">
              <w:rPr>
                <w:sz w:val="16"/>
                <w:szCs w:val="16"/>
                <w:lang w:val="nl-NL"/>
              </w:rPr>
              <w:t xml:space="preserve">Brauer, D.G. et al. </w:t>
            </w:r>
            <w:r w:rsidRPr="00BF62A1">
              <w:rPr>
                <w:sz w:val="16"/>
                <w:szCs w:val="16"/>
              </w:rPr>
              <w:t>(2021) ‘Care Fragmentation and Mortality in Readmission after Surgery for Hepatopancreatobiliary and Gastric Cancer: A Patient-Level and Hospital-Level Analysis of the Healthcare Cost and Utilization Project Administrative Database’, J Am Coll Surg, 232(6), pp. 921-932.e12.</w:t>
            </w:r>
          </w:p>
        </w:tc>
      </w:tr>
      <w:tr w:rsidR="00CC4A06" w:rsidRPr="00BF62A1" w14:paraId="4DA404A1" w14:textId="77777777" w:rsidTr="00864538">
        <w:trPr>
          <w:trHeight w:val="20"/>
        </w:trPr>
        <w:tc>
          <w:tcPr>
            <w:tcW w:w="9356" w:type="dxa"/>
          </w:tcPr>
          <w:p w14:paraId="26F2DA0E" w14:textId="77777777" w:rsidR="00CC4A06" w:rsidRPr="00BF62A1" w:rsidRDefault="00CC4A06" w:rsidP="000B7BD7">
            <w:pPr>
              <w:spacing w:line="240" w:lineRule="auto"/>
              <w:rPr>
                <w:sz w:val="16"/>
                <w:szCs w:val="16"/>
              </w:rPr>
            </w:pPr>
            <w:r w:rsidRPr="00BF62A1">
              <w:rPr>
                <w:sz w:val="16"/>
                <w:szCs w:val="16"/>
              </w:rPr>
              <w:t>Ball, C.G. (2022) ‘Hepatobiliary and pancreatic hemorrhage: Technical tools and tricks’, Surg Open Sci, 7, pp. 22–25.</w:t>
            </w:r>
          </w:p>
        </w:tc>
      </w:tr>
      <w:tr w:rsidR="00CC4A06" w:rsidRPr="00BF62A1" w14:paraId="003F3D16" w14:textId="77777777" w:rsidTr="00864538">
        <w:trPr>
          <w:trHeight w:val="20"/>
        </w:trPr>
        <w:tc>
          <w:tcPr>
            <w:tcW w:w="9356" w:type="dxa"/>
          </w:tcPr>
          <w:p w14:paraId="28528183" w14:textId="77777777" w:rsidR="00CC4A06" w:rsidRPr="00BF62A1" w:rsidRDefault="00CC4A06" w:rsidP="000B7BD7">
            <w:pPr>
              <w:spacing w:line="240" w:lineRule="auto"/>
              <w:rPr>
                <w:sz w:val="16"/>
                <w:szCs w:val="16"/>
              </w:rPr>
            </w:pPr>
            <w:r w:rsidRPr="00BF62A1">
              <w:rPr>
                <w:sz w:val="16"/>
                <w:szCs w:val="16"/>
              </w:rPr>
              <w:t>Endo, I. et al. (2021) ‘Mortality, morbidity, and failure to rescue in hepatopancreatoduodenectomy: An analysis of patients registered in the National Clinical Database in Japan’, J Hepatobiliary Pancreat Sci, 28(4), pp. 305–316.</w:t>
            </w:r>
          </w:p>
        </w:tc>
      </w:tr>
      <w:tr w:rsidR="00CC4A06" w:rsidRPr="00BF62A1" w14:paraId="31873727" w14:textId="77777777" w:rsidTr="00864538">
        <w:trPr>
          <w:trHeight w:val="20"/>
        </w:trPr>
        <w:tc>
          <w:tcPr>
            <w:tcW w:w="9356" w:type="dxa"/>
          </w:tcPr>
          <w:p w14:paraId="151714D7" w14:textId="77777777" w:rsidR="00CC4A06" w:rsidRPr="00BF62A1" w:rsidRDefault="00CC4A06" w:rsidP="000B7BD7">
            <w:pPr>
              <w:spacing w:line="240" w:lineRule="auto"/>
              <w:rPr>
                <w:sz w:val="16"/>
                <w:szCs w:val="16"/>
              </w:rPr>
            </w:pPr>
            <w:r w:rsidRPr="00864538">
              <w:rPr>
                <w:sz w:val="16"/>
                <w:szCs w:val="16"/>
                <w:lang w:val="fr-FR"/>
              </w:rPr>
              <w:t xml:space="preserve">de Geus, S.W. et al. </w:t>
            </w:r>
            <w:r w:rsidRPr="00BF62A1">
              <w:rPr>
                <w:sz w:val="16"/>
                <w:szCs w:val="16"/>
              </w:rPr>
              <w:t>(2022) ‘A Rising Tide Lifts All Boats: Impact of Combined Volume of Complex Cancer Operations on Surgical Outcomes in a Low-Volume Setting’, Journal of the American College of Surgeons, 234(6), pp. 981–988.</w:t>
            </w:r>
          </w:p>
        </w:tc>
      </w:tr>
      <w:tr w:rsidR="00CC4A06" w:rsidRPr="00BF62A1" w14:paraId="7433E009" w14:textId="77777777" w:rsidTr="00864538">
        <w:trPr>
          <w:trHeight w:val="20"/>
        </w:trPr>
        <w:tc>
          <w:tcPr>
            <w:tcW w:w="9356" w:type="dxa"/>
          </w:tcPr>
          <w:p w14:paraId="2B5B9A1C" w14:textId="77777777" w:rsidR="00CC4A06" w:rsidRPr="00BF62A1" w:rsidRDefault="00CC4A06" w:rsidP="000B7BD7">
            <w:pPr>
              <w:spacing w:line="240" w:lineRule="auto"/>
              <w:rPr>
                <w:sz w:val="16"/>
                <w:szCs w:val="16"/>
              </w:rPr>
            </w:pPr>
            <w:r w:rsidRPr="00864538">
              <w:rPr>
                <w:sz w:val="16"/>
                <w:szCs w:val="16"/>
                <w:lang w:val="fr-FR"/>
              </w:rPr>
              <w:t xml:space="preserve">de Geus, S.W. et al. </w:t>
            </w:r>
            <w:r w:rsidRPr="00BF62A1">
              <w:rPr>
                <w:sz w:val="16"/>
                <w:szCs w:val="16"/>
              </w:rPr>
              <w:t>(2021) ‘Combined Hepatopancreaticobiliary Volume and Hepatectomy Outcomes in Hepatocellular Carcinoma Patients at Low-Volume Liver Centers’, J Am Coll Surg, 232(6), pp. 864–871.</w:t>
            </w:r>
          </w:p>
        </w:tc>
      </w:tr>
      <w:tr w:rsidR="00CC4A06" w:rsidRPr="00BF62A1" w14:paraId="3A66C01D" w14:textId="77777777" w:rsidTr="00864538">
        <w:trPr>
          <w:trHeight w:val="20"/>
        </w:trPr>
        <w:tc>
          <w:tcPr>
            <w:tcW w:w="9356" w:type="dxa"/>
          </w:tcPr>
          <w:p w14:paraId="0526BE7F" w14:textId="77777777" w:rsidR="00CC4A06" w:rsidRPr="00BF62A1" w:rsidRDefault="00CC4A06" w:rsidP="000B7BD7">
            <w:pPr>
              <w:spacing w:line="240" w:lineRule="auto"/>
              <w:rPr>
                <w:sz w:val="16"/>
                <w:szCs w:val="16"/>
              </w:rPr>
            </w:pPr>
            <w:r w:rsidRPr="00864538">
              <w:rPr>
                <w:sz w:val="16"/>
                <w:szCs w:val="16"/>
                <w:lang w:val="fr-FR"/>
              </w:rPr>
              <w:t xml:space="preserve">Hyer, J.M. et al. </w:t>
            </w:r>
            <w:r w:rsidRPr="00BF62A1">
              <w:rPr>
                <w:sz w:val="16"/>
                <w:szCs w:val="16"/>
              </w:rPr>
              <w:t>(2021) ‘A higher hospital case mix index increases the odds of achieving a textbook outcome after hepatopancreatic surgery in the Medicare population’, Surgery, 170(5), pp. 1525–1531.</w:t>
            </w:r>
          </w:p>
        </w:tc>
      </w:tr>
      <w:tr w:rsidR="00CC4A06" w:rsidRPr="00BF62A1" w14:paraId="75163454" w14:textId="77777777" w:rsidTr="00864538">
        <w:trPr>
          <w:trHeight w:val="20"/>
        </w:trPr>
        <w:tc>
          <w:tcPr>
            <w:tcW w:w="9356" w:type="dxa"/>
          </w:tcPr>
          <w:p w14:paraId="12E4F84C" w14:textId="77777777" w:rsidR="00CC4A06" w:rsidRPr="00BF62A1" w:rsidRDefault="00CC4A06" w:rsidP="000B7BD7">
            <w:pPr>
              <w:spacing w:line="240" w:lineRule="auto"/>
              <w:rPr>
                <w:sz w:val="16"/>
                <w:szCs w:val="16"/>
              </w:rPr>
            </w:pPr>
            <w:r w:rsidRPr="00BF62A1">
              <w:rPr>
                <w:sz w:val="16"/>
                <w:szCs w:val="16"/>
              </w:rPr>
              <w:lastRenderedPageBreak/>
              <w:t>Mehta, R., Tsilimigras, D.I. and Pawlik, T.M. (2021) ‘Assessment of Magnet status and Textbook Outcomes among medicare beneficiaries undergoing hepato-pancreatic surgery for cancer’, J Surg Oncol, 124(3), pp. 334–342.</w:t>
            </w:r>
          </w:p>
        </w:tc>
      </w:tr>
      <w:tr w:rsidR="00CC4A06" w:rsidRPr="00BF62A1" w14:paraId="5BADB77E" w14:textId="77777777" w:rsidTr="00864538">
        <w:trPr>
          <w:trHeight w:val="20"/>
        </w:trPr>
        <w:tc>
          <w:tcPr>
            <w:tcW w:w="9356" w:type="dxa"/>
          </w:tcPr>
          <w:p w14:paraId="6FE2679C" w14:textId="77777777" w:rsidR="00CC4A06" w:rsidRPr="00BF62A1" w:rsidRDefault="00CC4A06" w:rsidP="000B7BD7">
            <w:pPr>
              <w:spacing w:line="240" w:lineRule="auto"/>
              <w:rPr>
                <w:sz w:val="16"/>
                <w:szCs w:val="16"/>
              </w:rPr>
            </w:pPr>
            <w:r w:rsidRPr="00BF62A1">
              <w:rPr>
                <w:sz w:val="16"/>
                <w:szCs w:val="16"/>
              </w:rPr>
              <w:t>Mueller, M. et al. (2021) ‘Perihilar Cholangiocarcinoma - Novel Benchmark Values for Surgical and Oncological Outcomes From 24 Expert Centers’, Ann Surg, 274(5), pp. 780–788.</w:t>
            </w:r>
          </w:p>
        </w:tc>
      </w:tr>
      <w:tr w:rsidR="00CC4A06" w:rsidRPr="00BF62A1" w14:paraId="72205D5B" w14:textId="77777777" w:rsidTr="00864538">
        <w:trPr>
          <w:trHeight w:val="20"/>
        </w:trPr>
        <w:tc>
          <w:tcPr>
            <w:tcW w:w="9356" w:type="dxa"/>
          </w:tcPr>
          <w:p w14:paraId="3265454D" w14:textId="77777777" w:rsidR="00CC4A06" w:rsidRPr="00BF62A1" w:rsidRDefault="00CC4A06" w:rsidP="000B7BD7">
            <w:pPr>
              <w:spacing w:line="240" w:lineRule="auto"/>
              <w:rPr>
                <w:sz w:val="16"/>
                <w:szCs w:val="16"/>
              </w:rPr>
            </w:pPr>
            <w:r w:rsidRPr="00864538">
              <w:rPr>
                <w:sz w:val="16"/>
                <w:szCs w:val="16"/>
                <w:lang w:val="fr-FR"/>
              </w:rPr>
              <w:t xml:space="preserve">Wanis, K.N. et al. </w:t>
            </w:r>
            <w:r w:rsidRPr="00BF62A1">
              <w:rPr>
                <w:sz w:val="16"/>
                <w:szCs w:val="16"/>
              </w:rPr>
              <w:t>(2021) ‘Variation in complications and mortality following ALPPS at early-adopting centers’, HPB (Oxford), 23(1), pp. 46–55.</w:t>
            </w:r>
          </w:p>
        </w:tc>
      </w:tr>
    </w:tbl>
    <w:p w14:paraId="5EAA69B6" w14:textId="77777777" w:rsidR="00CC4A06" w:rsidRPr="00BF62A1" w:rsidRDefault="00CC4A06" w:rsidP="00CC4A06"/>
    <w:p w14:paraId="4AA65C7C" w14:textId="77777777" w:rsidR="00CC4A06" w:rsidRPr="00BF62A1" w:rsidRDefault="00CC4A06" w:rsidP="002473B8">
      <w:pPr>
        <w:rPr>
          <w:sz w:val="20"/>
          <w:szCs w:val="20"/>
        </w:rPr>
      </w:pPr>
      <w:r w:rsidRPr="00BF62A1">
        <w:rPr>
          <w:sz w:val="20"/>
          <w:szCs w:val="20"/>
        </w:rPr>
        <w:t>Wrong Context: (12)</w:t>
      </w:r>
    </w:p>
    <w:tbl>
      <w:tblPr>
        <w:tblStyle w:val="TableGrid"/>
        <w:tblW w:w="9356" w:type="dxa"/>
        <w:tblInd w:w="-714" w:type="dxa"/>
        <w:tblLook w:val="04A0" w:firstRow="1" w:lastRow="0" w:firstColumn="1" w:lastColumn="0" w:noHBand="0" w:noVBand="1"/>
      </w:tblPr>
      <w:tblGrid>
        <w:gridCol w:w="9356"/>
      </w:tblGrid>
      <w:tr w:rsidR="00CC4A06" w:rsidRPr="00BF62A1" w14:paraId="317273E8" w14:textId="77777777" w:rsidTr="00864538">
        <w:trPr>
          <w:trHeight w:val="227"/>
        </w:trPr>
        <w:tc>
          <w:tcPr>
            <w:tcW w:w="9356" w:type="dxa"/>
          </w:tcPr>
          <w:p w14:paraId="6B36D411" w14:textId="77777777" w:rsidR="00CC4A06" w:rsidRPr="00BF62A1" w:rsidRDefault="00CC4A06" w:rsidP="000B7BD7">
            <w:pPr>
              <w:spacing w:line="240" w:lineRule="auto"/>
              <w:rPr>
                <w:sz w:val="16"/>
                <w:szCs w:val="16"/>
              </w:rPr>
            </w:pPr>
            <w:r w:rsidRPr="00864538">
              <w:rPr>
                <w:sz w:val="16"/>
                <w:szCs w:val="16"/>
                <w:lang w:val="fr-FR"/>
              </w:rPr>
              <w:t xml:space="preserve">Nygård, I.E. et al. </w:t>
            </w:r>
            <w:r w:rsidRPr="00BF62A1">
              <w:rPr>
                <w:sz w:val="16"/>
                <w:szCs w:val="16"/>
              </w:rPr>
              <w:t>(2012) ‘Mortality and survival rates after elective hepatic surgery in a low-volume centre are comparable to those of high-volume centres’, ISRN Surg, 2012, p. 783932.</w:t>
            </w:r>
          </w:p>
        </w:tc>
      </w:tr>
      <w:tr w:rsidR="00CC4A06" w:rsidRPr="00BF62A1" w14:paraId="2A3C3774" w14:textId="77777777" w:rsidTr="00864538">
        <w:trPr>
          <w:trHeight w:val="227"/>
        </w:trPr>
        <w:tc>
          <w:tcPr>
            <w:tcW w:w="9356" w:type="dxa"/>
          </w:tcPr>
          <w:p w14:paraId="0ED55C22" w14:textId="77777777" w:rsidR="00CC4A06" w:rsidRPr="00BF62A1" w:rsidRDefault="00CC4A06" w:rsidP="000B7BD7">
            <w:pPr>
              <w:spacing w:line="240" w:lineRule="auto"/>
              <w:rPr>
                <w:sz w:val="16"/>
                <w:szCs w:val="16"/>
              </w:rPr>
            </w:pPr>
            <w:r w:rsidRPr="00BF62A1">
              <w:rPr>
                <w:sz w:val="16"/>
                <w:szCs w:val="16"/>
              </w:rPr>
              <w:t>Hyder, O. et al. (2013) ‘Impact of hospital teaching status on length of stay and mortality among patients undergoing complex hepatopancreaticobiliary surgery in the USA’, J Gastrointest Surg, 17(12), pp. 2114–22.</w:t>
            </w:r>
          </w:p>
        </w:tc>
      </w:tr>
      <w:tr w:rsidR="00CC4A06" w:rsidRPr="00BF62A1" w14:paraId="181FD4E0" w14:textId="77777777" w:rsidTr="00864538">
        <w:trPr>
          <w:trHeight w:val="227"/>
        </w:trPr>
        <w:tc>
          <w:tcPr>
            <w:tcW w:w="9356" w:type="dxa"/>
          </w:tcPr>
          <w:p w14:paraId="63283255" w14:textId="77777777" w:rsidR="00CC4A06" w:rsidRPr="00BF62A1" w:rsidRDefault="00CC4A06" w:rsidP="000B7BD7">
            <w:pPr>
              <w:spacing w:line="240" w:lineRule="auto"/>
              <w:rPr>
                <w:sz w:val="16"/>
                <w:szCs w:val="16"/>
              </w:rPr>
            </w:pPr>
            <w:r w:rsidRPr="00864538">
              <w:rPr>
                <w:sz w:val="16"/>
                <w:szCs w:val="16"/>
                <w:lang w:val="fr-FR"/>
              </w:rPr>
              <w:t xml:space="preserve">Kluger, M.D. et al. </w:t>
            </w:r>
            <w:r w:rsidRPr="00BF62A1">
              <w:rPr>
                <w:sz w:val="16"/>
                <w:szCs w:val="16"/>
              </w:rPr>
              <w:t>(2013) ‘The learning curve in laparoscopic major liver resection’, J Hepatobiliary Pancreat Sci, 20(2), pp. 131–6.</w:t>
            </w:r>
          </w:p>
        </w:tc>
      </w:tr>
      <w:tr w:rsidR="00CC4A06" w:rsidRPr="00BF62A1" w14:paraId="794FF9EE" w14:textId="77777777" w:rsidTr="00864538">
        <w:trPr>
          <w:trHeight w:val="227"/>
        </w:trPr>
        <w:tc>
          <w:tcPr>
            <w:tcW w:w="9356" w:type="dxa"/>
          </w:tcPr>
          <w:p w14:paraId="183661BB" w14:textId="77777777" w:rsidR="00CC4A06" w:rsidRPr="00BF62A1" w:rsidRDefault="00CC4A06" w:rsidP="000B7BD7">
            <w:pPr>
              <w:spacing w:line="240" w:lineRule="auto"/>
              <w:rPr>
                <w:sz w:val="16"/>
                <w:szCs w:val="16"/>
              </w:rPr>
            </w:pPr>
            <w:r w:rsidRPr="00BF62A1">
              <w:rPr>
                <w:sz w:val="16"/>
                <w:szCs w:val="16"/>
              </w:rPr>
              <w:t>Atallah, C. et al. (2021) ‘Are academic hospitals better at treating metastatic colorectal cancer?’, Surgery, 169(2), pp. 248–256.</w:t>
            </w:r>
          </w:p>
        </w:tc>
      </w:tr>
      <w:tr w:rsidR="00CC4A06" w:rsidRPr="00BF62A1" w14:paraId="42CCFB40" w14:textId="77777777" w:rsidTr="00864538">
        <w:trPr>
          <w:trHeight w:val="227"/>
        </w:trPr>
        <w:tc>
          <w:tcPr>
            <w:tcW w:w="9356" w:type="dxa"/>
          </w:tcPr>
          <w:p w14:paraId="0C3405BE" w14:textId="77777777" w:rsidR="00CC4A06" w:rsidRPr="00BF62A1" w:rsidRDefault="00CC4A06" w:rsidP="000B7BD7">
            <w:pPr>
              <w:spacing w:line="240" w:lineRule="auto"/>
              <w:rPr>
                <w:sz w:val="16"/>
                <w:szCs w:val="16"/>
              </w:rPr>
            </w:pPr>
            <w:r w:rsidRPr="00864538">
              <w:rPr>
                <w:sz w:val="16"/>
                <w:szCs w:val="16"/>
                <w:lang w:val="fr-FR"/>
              </w:rPr>
              <w:t xml:space="preserve">Booth, C.M. et al. </w:t>
            </w:r>
            <w:r w:rsidRPr="00BF62A1">
              <w:rPr>
                <w:sz w:val="16"/>
                <w:szCs w:val="16"/>
              </w:rPr>
              <w:t>(2016) ‘Surgical resection and peri-operative chemotherapy for colorectal cancer liver metastases: A population-based study’, Eur J Surg Oncol, 42(2), pp. 281–7.</w:t>
            </w:r>
          </w:p>
        </w:tc>
      </w:tr>
      <w:tr w:rsidR="00CC4A06" w:rsidRPr="00BF62A1" w14:paraId="562EADA7" w14:textId="77777777" w:rsidTr="00864538">
        <w:trPr>
          <w:trHeight w:val="227"/>
        </w:trPr>
        <w:tc>
          <w:tcPr>
            <w:tcW w:w="9356" w:type="dxa"/>
          </w:tcPr>
          <w:p w14:paraId="4CCFAD0D" w14:textId="77777777" w:rsidR="00CC4A06" w:rsidRPr="00BF62A1" w:rsidRDefault="00CC4A06" w:rsidP="000B7BD7">
            <w:pPr>
              <w:spacing w:line="240" w:lineRule="auto"/>
              <w:rPr>
                <w:sz w:val="16"/>
                <w:szCs w:val="16"/>
              </w:rPr>
            </w:pPr>
            <w:r w:rsidRPr="00864538">
              <w:rPr>
                <w:sz w:val="16"/>
                <w:szCs w:val="16"/>
                <w:lang w:val="fr-FR"/>
              </w:rPr>
              <w:t xml:space="preserve">Beal, E.W. et al. </w:t>
            </w:r>
            <w:r w:rsidRPr="00BF62A1">
              <w:rPr>
                <w:sz w:val="16"/>
                <w:szCs w:val="16"/>
              </w:rPr>
              <w:t>(2019) ‘Index versus Non-index Readmission After Hepato-Pancreato-Biliary Surgery: Where Do Patients Go to Be Readmitted?’, J Gastrointest Surg, 23(4), pp. 702–711.</w:t>
            </w:r>
          </w:p>
        </w:tc>
      </w:tr>
      <w:tr w:rsidR="00CC4A06" w:rsidRPr="00BF62A1" w14:paraId="4CD48721" w14:textId="77777777" w:rsidTr="00864538">
        <w:trPr>
          <w:trHeight w:val="227"/>
        </w:trPr>
        <w:tc>
          <w:tcPr>
            <w:tcW w:w="9356" w:type="dxa"/>
          </w:tcPr>
          <w:p w14:paraId="57C8C904" w14:textId="77777777" w:rsidR="00CC4A06" w:rsidRPr="00BF62A1" w:rsidRDefault="00CC4A06" w:rsidP="000B7BD7">
            <w:pPr>
              <w:spacing w:line="240" w:lineRule="auto"/>
              <w:rPr>
                <w:sz w:val="16"/>
                <w:szCs w:val="16"/>
              </w:rPr>
            </w:pPr>
            <w:r w:rsidRPr="00BF62A1">
              <w:rPr>
                <w:sz w:val="16"/>
                <w:szCs w:val="16"/>
              </w:rPr>
              <w:t>Cappelle, M. et al. (2020) ‘A multicenter cohort analysis of laparoscopic hepatic caudate lobe resection’, Langenbecks Arch Surg, 405(2), pp. 181–189.</w:t>
            </w:r>
          </w:p>
        </w:tc>
      </w:tr>
      <w:tr w:rsidR="00CC4A06" w:rsidRPr="00BF62A1" w14:paraId="06E1451E" w14:textId="77777777" w:rsidTr="00864538">
        <w:trPr>
          <w:trHeight w:val="227"/>
        </w:trPr>
        <w:tc>
          <w:tcPr>
            <w:tcW w:w="9356" w:type="dxa"/>
          </w:tcPr>
          <w:p w14:paraId="1050CD51" w14:textId="77777777" w:rsidR="00CC4A06" w:rsidRPr="00BF62A1" w:rsidRDefault="00CC4A06" w:rsidP="000B7BD7">
            <w:pPr>
              <w:spacing w:line="240" w:lineRule="auto"/>
              <w:rPr>
                <w:sz w:val="16"/>
                <w:szCs w:val="16"/>
              </w:rPr>
            </w:pPr>
            <w:r w:rsidRPr="00BF62A1">
              <w:rPr>
                <w:sz w:val="16"/>
                <w:szCs w:val="16"/>
              </w:rPr>
              <w:t>Diaz, A. et al. (2021) ‘Association of social vulnerability with the use of high-volume and Magnet recognition hospitals for hepatopancreatic cancer surgery’, Surgery, 170(2), pp. 571–578.</w:t>
            </w:r>
          </w:p>
        </w:tc>
      </w:tr>
      <w:tr w:rsidR="00CC4A06" w:rsidRPr="00BF62A1" w14:paraId="2D7743FE" w14:textId="77777777" w:rsidTr="00864538">
        <w:trPr>
          <w:trHeight w:val="227"/>
        </w:trPr>
        <w:tc>
          <w:tcPr>
            <w:tcW w:w="9356" w:type="dxa"/>
          </w:tcPr>
          <w:p w14:paraId="0B253537" w14:textId="77777777" w:rsidR="00CC4A06" w:rsidRPr="00BF62A1" w:rsidRDefault="00CC4A06" w:rsidP="000B7BD7">
            <w:pPr>
              <w:spacing w:line="240" w:lineRule="auto"/>
              <w:rPr>
                <w:sz w:val="16"/>
                <w:szCs w:val="16"/>
              </w:rPr>
            </w:pPr>
            <w:r w:rsidRPr="00864538">
              <w:rPr>
                <w:sz w:val="16"/>
                <w:szCs w:val="16"/>
                <w:lang w:val="fr-FR"/>
              </w:rPr>
              <w:t xml:space="preserve">Joshi, H.M. et al. </w:t>
            </w:r>
            <w:r w:rsidRPr="00BF62A1">
              <w:rPr>
                <w:sz w:val="16"/>
                <w:szCs w:val="16"/>
              </w:rPr>
              <w:t>(2016) ‘Objective assessment of trainee operative experience in a tertiary hepatobiliary unit’, Eur J Surg Oncol, 42(10), pp. 1548–51.</w:t>
            </w:r>
          </w:p>
        </w:tc>
      </w:tr>
      <w:tr w:rsidR="00CC4A06" w:rsidRPr="00BF62A1" w14:paraId="43535627" w14:textId="77777777" w:rsidTr="00864538">
        <w:trPr>
          <w:trHeight w:val="227"/>
        </w:trPr>
        <w:tc>
          <w:tcPr>
            <w:tcW w:w="9356" w:type="dxa"/>
          </w:tcPr>
          <w:p w14:paraId="537825EA" w14:textId="77777777" w:rsidR="00CC4A06" w:rsidRPr="00BF62A1" w:rsidRDefault="00CC4A06" w:rsidP="000B7BD7">
            <w:pPr>
              <w:spacing w:line="240" w:lineRule="auto"/>
              <w:rPr>
                <w:sz w:val="16"/>
                <w:szCs w:val="16"/>
              </w:rPr>
            </w:pPr>
            <w:r w:rsidRPr="00BF62A1">
              <w:rPr>
                <w:sz w:val="16"/>
                <w:szCs w:val="16"/>
              </w:rPr>
              <w:t>Ihemelandu, C. et al. (2016) ‘Multimorbidity and access to major cancer surgery at high-volume hospitals in a regionalized era’, Am J Surg, 211(4), pp. 697–702.</w:t>
            </w:r>
          </w:p>
        </w:tc>
      </w:tr>
      <w:tr w:rsidR="00CC4A06" w:rsidRPr="00BF62A1" w14:paraId="44166F90" w14:textId="77777777" w:rsidTr="00864538">
        <w:trPr>
          <w:trHeight w:val="227"/>
        </w:trPr>
        <w:tc>
          <w:tcPr>
            <w:tcW w:w="9356" w:type="dxa"/>
          </w:tcPr>
          <w:p w14:paraId="6F1CEF55" w14:textId="77777777" w:rsidR="00CC4A06" w:rsidRPr="00BF62A1" w:rsidRDefault="00CC4A06" w:rsidP="000B7BD7">
            <w:pPr>
              <w:spacing w:line="240" w:lineRule="auto"/>
              <w:rPr>
                <w:sz w:val="16"/>
                <w:szCs w:val="16"/>
              </w:rPr>
            </w:pPr>
            <w:r w:rsidRPr="00BF62A1">
              <w:rPr>
                <w:sz w:val="16"/>
                <w:szCs w:val="16"/>
              </w:rPr>
              <w:t>Ibuki, S. et al. (2022) ‘Short-term Outcomes of “Difficult” Laparoscopic Liver Resection at Specialized Centers: Report From INSTALL (International Survey on Technical Aspects of Laparoscopic Liver Resection)-2 on 4478 Patients’, Ann Surg, 275(5), pp. 940–946.</w:t>
            </w:r>
          </w:p>
        </w:tc>
      </w:tr>
      <w:tr w:rsidR="00CC4A06" w:rsidRPr="00BF62A1" w14:paraId="693989AF" w14:textId="77777777" w:rsidTr="00864538">
        <w:trPr>
          <w:trHeight w:val="227"/>
        </w:trPr>
        <w:tc>
          <w:tcPr>
            <w:tcW w:w="9356" w:type="dxa"/>
          </w:tcPr>
          <w:p w14:paraId="2BC2BF81" w14:textId="77777777" w:rsidR="00CC4A06" w:rsidRPr="00BF62A1" w:rsidRDefault="00CC4A06" w:rsidP="000B7BD7">
            <w:pPr>
              <w:spacing w:line="240" w:lineRule="auto"/>
              <w:rPr>
                <w:sz w:val="16"/>
                <w:szCs w:val="16"/>
              </w:rPr>
            </w:pPr>
            <w:r w:rsidRPr="00864538">
              <w:rPr>
                <w:sz w:val="16"/>
                <w:szCs w:val="16"/>
                <w:lang w:val="fr-FR"/>
              </w:rPr>
              <w:t xml:space="preserve">Navarro, J.G. et al. </w:t>
            </w:r>
            <w:r w:rsidRPr="00BF62A1">
              <w:rPr>
                <w:sz w:val="16"/>
                <w:szCs w:val="16"/>
              </w:rPr>
              <w:t>(2021) ‘Major Laparoscopic Versus Open Resection for Hepatocellular Carcinoma: A Propensity Score-Matched Analysis Based on Surgeons’ Learning Curve’, Ann Surg Oncol, 28(1), pp. 447–458.</w:t>
            </w:r>
          </w:p>
        </w:tc>
      </w:tr>
    </w:tbl>
    <w:p w14:paraId="5F63E5E6" w14:textId="77777777" w:rsidR="00CC4A06" w:rsidRPr="00BF62A1" w:rsidRDefault="00CC4A06" w:rsidP="00CC4A06"/>
    <w:p w14:paraId="167794E7" w14:textId="1FE055B5" w:rsidR="00CC4A06" w:rsidRPr="00BF62A1" w:rsidRDefault="00CC4A06" w:rsidP="002473B8">
      <w:pPr>
        <w:rPr>
          <w:sz w:val="20"/>
          <w:szCs w:val="20"/>
        </w:rPr>
      </w:pPr>
      <w:r w:rsidRPr="00BF62A1">
        <w:rPr>
          <w:sz w:val="20"/>
          <w:szCs w:val="20"/>
        </w:rPr>
        <w:t>Single hospital</w:t>
      </w:r>
      <w:r w:rsidR="001605A7">
        <w:rPr>
          <w:sz w:val="20"/>
          <w:szCs w:val="20"/>
        </w:rPr>
        <w:t>/surgeon</w:t>
      </w:r>
      <w:r w:rsidRPr="00BF62A1">
        <w:rPr>
          <w:sz w:val="20"/>
          <w:szCs w:val="20"/>
        </w:rPr>
        <w:t xml:space="preserve"> only: (4)</w:t>
      </w:r>
    </w:p>
    <w:tbl>
      <w:tblPr>
        <w:tblStyle w:val="TableGrid"/>
        <w:tblW w:w="9356" w:type="dxa"/>
        <w:tblInd w:w="-714" w:type="dxa"/>
        <w:tblLook w:val="04A0" w:firstRow="1" w:lastRow="0" w:firstColumn="1" w:lastColumn="0" w:noHBand="0" w:noVBand="1"/>
      </w:tblPr>
      <w:tblGrid>
        <w:gridCol w:w="9356"/>
      </w:tblGrid>
      <w:tr w:rsidR="00CC4A06" w:rsidRPr="00BF62A1" w14:paraId="5D39AA2B" w14:textId="77777777" w:rsidTr="00864538">
        <w:trPr>
          <w:trHeight w:val="283"/>
        </w:trPr>
        <w:tc>
          <w:tcPr>
            <w:tcW w:w="9356" w:type="dxa"/>
          </w:tcPr>
          <w:p w14:paraId="04982E6C" w14:textId="77777777" w:rsidR="00CC4A06" w:rsidRPr="00BF62A1" w:rsidRDefault="00CC4A06" w:rsidP="000B7BD7">
            <w:pPr>
              <w:spacing w:line="240" w:lineRule="auto"/>
              <w:rPr>
                <w:sz w:val="16"/>
                <w:szCs w:val="16"/>
              </w:rPr>
            </w:pPr>
            <w:r w:rsidRPr="00312729">
              <w:rPr>
                <w:sz w:val="16"/>
                <w:szCs w:val="16"/>
                <w:lang w:val="de-DE"/>
              </w:rPr>
              <w:t xml:space="preserve">Schwartz, G.S. et al. </w:t>
            </w:r>
            <w:r w:rsidRPr="00BF62A1">
              <w:rPr>
                <w:sz w:val="16"/>
                <w:szCs w:val="16"/>
              </w:rPr>
              <w:t>(2011) ‘Morbidity and mortality after hepatic and pancreatic resections: results from one surgeon at a low-volume urban hospital over thirty years’, Am J Surg, 201(4), pp. 438–44.</w:t>
            </w:r>
          </w:p>
        </w:tc>
      </w:tr>
      <w:tr w:rsidR="00CC4A06" w:rsidRPr="00BF62A1" w14:paraId="69AC324B" w14:textId="77777777" w:rsidTr="00864538">
        <w:trPr>
          <w:trHeight w:val="283"/>
        </w:trPr>
        <w:tc>
          <w:tcPr>
            <w:tcW w:w="9356" w:type="dxa"/>
          </w:tcPr>
          <w:p w14:paraId="084211A9" w14:textId="77777777" w:rsidR="00CC4A06" w:rsidRPr="00BF62A1" w:rsidRDefault="00CC4A06" w:rsidP="000B7BD7">
            <w:pPr>
              <w:spacing w:line="240" w:lineRule="auto"/>
              <w:rPr>
                <w:sz w:val="16"/>
                <w:szCs w:val="16"/>
              </w:rPr>
            </w:pPr>
            <w:r w:rsidRPr="00864538">
              <w:rPr>
                <w:sz w:val="16"/>
                <w:szCs w:val="16"/>
                <w:lang w:val="fr-FR"/>
              </w:rPr>
              <w:t xml:space="preserve">Goh, B.K.P. et al. </w:t>
            </w:r>
            <w:r w:rsidRPr="00BF62A1">
              <w:rPr>
                <w:sz w:val="16"/>
                <w:szCs w:val="16"/>
              </w:rPr>
              <w:t>(2018) ‘Critical appraisal of the impact of individual surgeon experience on the outcomes of laparoscopic liver resection in the modern era: collective experience of multiple surgeons at a single institution with 324 consecutive cases’, Surg Endosc, 32(4), pp. 1802–1811.</w:t>
            </w:r>
          </w:p>
        </w:tc>
      </w:tr>
      <w:tr w:rsidR="00CC4A06" w:rsidRPr="00BF62A1" w14:paraId="72EF3A42" w14:textId="77777777" w:rsidTr="00864538">
        <w:trPr>
          <w:trHeight w:val="283"/>
        </w:trPr>
        <w:tc>
          <w:tcPr>
            <w:tcW w:w="9356" w:type="dxa"/>
          </w:tcPr>
          <w:p w14:paraId="0E126667" w14:textId="77777777" w:rsidR="00CC4A06" w:rsidRPr="00BF62A1" w:rsidRDefault="00CC4A06" w:rsidP="000B7BD7">
            <w:pPr>
              <w:spacing w:line="240" w:lineRule="auto"/>
              <w:rPr>
                <w:sz w:val="16"/>
                <w:szCs w:val="16"/>
              </w:rPr>
            </w:pPr>
            <w:r w:rsidRPr="00BF62A1">
              <w:rPr>
                <w:sz w:val="16"/>
                <w:szCs w:val="16"/>
              </w:rPr>
              <w:t>Goh, B.K. et al. (2021) ‘Evolution and trends in the adoption of laparoscopic liver resection in Singapore: Analysis of 300 cases’, Ann Acad Med Singap, 50(10), pp. 742–750.</w:t>
            </w:r>
          </w:p>
        </w:tc>
      </w:tr>
      <w:tr w:rsidR="00CC4A06" w:rsidRPr="00BF62A1" w14:paraId="76F7B614" w14:textId="77777777" w:rsidTr="00864538">
        <w:trPr>
          <w:trHeight w:val="283"/>
        </w:trPr>
        <w:tc>
          <w:tcPr>
            <w:tcW w:w="9356" w:type="dxa"/>
          </w:tcPr>
          <w:p w14:paraId="5E9AE2B2" w14:textId="77777777" w:rsidR="00CC4A06" w:rsidRPr="00BF62A1" w:rsidRDefault="00CC4A06" w:rsidP="000B7BD7">
            <w:pPr>
              <w:spacing w:line="240" w:lineRule="auto"/>
              <w:rPr>
                <w:sz w:val="16"/>
                <w:szCs w:val="16"/>
              </w:rPr>
            </w:pPr>
            <w:r w:rsidRPr="00BF62A1">
              <w:rPr>
                <w:sz w:val="16"/>
                <w:szCs w:val="16"/>
              </w:rPr>
              <w:t>Ehnstrom, S.R., Siu, A.M. and Maldini, G. (2022) ‘Hepatopancreaticobiliary Surgical Outcomes at a Community Hospital’, Hawaii J Health Soc Welf, 81(11), pp. 309–315.</w:t>
            </w:r>
          </w:p>
        </w:tc>
      </w:tr>
    </w:tbl>
    <w:p w14:paraId="26C5D07B" w14:textId="77777777" w:rsidR="000B7BD7" w:rsidRPr="00BF62A1" w:rsidRDefault="000B7BD7" w:rsidP="000B7BD7">
      <w:pPr>
        <w:ind w:left="-567"/>
        <w:rPr>
          <w:sz w:val="20"/>
          <w:szCs w:val="20"/>
        </w:rPr>
      </w:pPr>
    </w:p>
    <w:p w14:paraId="6436EFD1" w14:textId="4AB1EC5F" w:rsidR="00CC4A06" w:rsidRPr="00BF62A1" w:rsidRDefault="00CC4A06" w:rsidP="002473B8">
      <w:pPr>
        <w:rPr>
          <w:sz w:val="20"/>
          <w:szCs w:val="20"/>
        </w:rPr>
      </w:pPr>
      <w:r w:rsidRPr="00BF62A1">
        <w:rPr>
          <w:sz w:val="20"/>
          <w:szCs w:val="20"/>
        </w:rPr>
        <w:t>Publication type: (6)</w:t>
      </w:r>
    </w:p>
    <w:tbl>
      <w:tblPr>
        <w:tblStyle w:val="TableGrid"/>
        <w:tblW w:w="9356" w:type="dxa"/>
        <w:tblInd w:w="-714" w:type="dxa"/>
        <w:tblLook w:val="04A0" w:firstRow="1" w:lastRow="0" w:firstColumn="1" w:lastColumn="0" w:noHBand="0" w:noVBand="1"/>
      </w:tblPr>
      <w:tblGrid>
        <w:gridCol w:w="9356"/>
      </w:tblGrid>
      <w:tr w:rsidR="00CC4A06" w:rsidRPr="00BF62A1" w14:paraId="1C315D12" w14:textId="77777777" w:rsidTr="00864538">
        <w:tc>
          <w:tcPr>
            <w:tcW w:w="9356" w:type="dxa"/>
          </w:tcPr>
          <w:p w14:paraId="2A9B2042" w14:textId="77777777" w:rsidR="00CC4A06" w:rsidRPr="00BF62A1" w:rsidRDefault="00CC4A06" w:rsidP="000B7BD7">
            <w:pPr>
              <w:spacing w:line="240" w:lineRule="auto"/>
              <w:rPr>
                <w:sz w:val="16"/>
                <w:szCs w:val="16"/>
              </w:rPr>
            </w:pPr>
            <w:r w:rsidRPr="00BF62A1">
              <w:rPr>
                <w:sz w:val="16"/>
                <w:szCs w:val="16"/>
              </w:rPr>
              <w:t>Amato, L. et al. (2017) ‘Volume and health outcomes: evidence from systematic reviews and from evaluation of Italian hospital data’, Epidemiol Prev, 41(5), pp. 1–128.</w:t>
            </w:r>
          </w:p>
        </w:tc>
      </w:tr>
      <w:tr w:rsidR="00CC4A06" w:rsidRPr="00BF62A1" w14:paraId="30096011" w14:textId="77777777" w:rsidTr="00864538">
        <w:tc>
          <w:tcPr>
            <w:tcW w:w="9356" w:type="dxa"/>
          </w:tcPr>
          <w:p w14:paraId="2CCC2DE4" w14:textId="77777777" w:rsidR="00CC4A06" w:rsidRPr="00BF62A1" w:rsidRDefault="00CC4A06" w:rsidP="000B7BD7">
            <w:pPr>
              <w:spacing w:line="240" w:lineRule="auto"/>
              <w:rPr>
                <w:sz w:val="16"/>
                <w:szCs w:val="16"/>
              </w:rPr>
            </w:pPr>
            <w:r w:rsidRPr="00864538">
              <w:rPr>
                <w:sz w:val="16"/>
                <w:szCs w:val="16"/>
                <w:lang w:val="fr-FR"/>
              </w:rPr>
              <w:t xml:space="preserve">Richardson, A.J. et al. </w:t>
            </w:r>
            <w:r w:rsidRPr="00BF62A1">
              <w:rPr>
                <w:sz w:val="16"/>
                <w:szCs w:val="16"/>
              </w:rPr>
              <w:t>(2013) ‘The volume effect in liver surgery–a systematic review and meta-analysis’, J Gastrointest Surg, 17(11), pp. 1984–96.</w:t>
            </w:r>
          </w:p>
        </w:tc>
      </w:tr>
      <w:tr w:rsidR="00CC4A06" w:rsidRPr="00BF62A1" w14:paraId="79B893A2" w14:textId="77777777" w:rsidTr="00864538">
        <w:tc>
          <w:tcPr>
            <w:tcW w:w="9356" w:type="dxa"/>
          </w:tcPr>
          <w:p w14:paraId="72B736A7" w14:textId="77777777" w:rsidR="00CC4A06" w:rsidRPr="00BF62A1" w:rsidRDefault="00CC4A06" w:rsidP="000B7BD7">
            <w:pPr>
              <w:spacing w:line="240" w:lineRule="auto"/>
              <w:rPr>
                <w:sz w:val="16"/>
                <w:szCs w:val="16"/>
              </w:rPr>
            </w:pPr>
            <w:r w:rsidRPr="00864538">
              <w:rPr>
                <w:sz w:val="16"/>
                <w:szCs w:val="16"/>
              </w:rPr>
              <w:t xml:space="preserve">Franken, L.C. et al. </w:t>
            </w:r>
            <w:r w:rsidRPr="00BF62A1">
              <w:rPr>
                <w:sz w:val="16"/>
                <w:szCs w:val="16"/>
              </w:rPr>
              <w:t>(2019) ‘Morbidity and mortality after major liver resection in patients with perihilar cholangiocarcinoma: A systematic review and meta-analysis’, Surgery, 165(5), pp. 918–928.</w:t>
            </w:r>
          </w:p>
        </w:tc>
      </w:tr>
      <w:tr w:rsidR="00CC4A06" w:rsidRPr="00BF62A1" w14:paraId="03A76010" w14:textId="77777777" w:rsidTr="00864538">
        <w:tc>
          <w:tcPr>
            <w:tcW w:w="9356" w:type="dxa"/>
          </w:tcPr>
          <w:p w14:paraId="3904AE81" w14:textId="77777777" w:rsidR="00CC4A06" w:rsidRPr="00BF62A1" w:rsidRDefault="00CC4A06" w:rsidP="000B7BD7">
            <w:pPr>
              <w:spacing w:line="240" w:lineRule="auto"/>
              <w:rPr>
                <w:sz w:val="16"/>
                <w:szCs w:val="16"/>
              </w:rPr>
            </w:pPr>
            <w:r w:rsidRPr="00BF62A1">
              <w:rPr>
                <w:sz w:val="16"/>
                <w:szCs w:val="16"/>
              </w:rPr>
              <w:t>Saulle, R. et al. (2019) ‘The combined effect of surgeon and hospital volume on health outcomes: a systematic review’, Clin Ter, 170(2), pp. e148–e161.</w:t>
            </w:r>
          </w:p>
        </w:tc>
      </w:tr>
      <w:tr w:rsidR="00CC4A06" w:rsidRPr="00BF62A1" w14:paraId="3AD9DCFB" w14:textId="77777777" w:rsidTr="00864538">
        <w:tc>
          <w:tcPr>
            <w:tcW w:w="9356" w:type="dxa"/>
          </w:tcPr>
          <w:p w14:paraId="471CE715" w14:textId="77777777" w:rsidR="00CC4A06" w:rsidRPr="00BF62A1" w:rsidRDefault="00CC4A06" w:rsidP="000B7BD7">
            <w:pPr>
              <w:spacing w:line="240" w:lineRule="auto"/>
              <w:rPr>
                <w:sz w:val="16"/>
                <w:szCs w:val="16"/>
              </w:rPr>
            </w:pPr>
            <w:r w:rsidRPr="00BF62A1">
              <w:rPr>
                <w:sz w:val="16"/>
                <w:szCs w:val="16"/>
              </w:rPr>
              <w:t>Franchi, E., Donadon, M. and Torzilli, G. (2020) ‘Effects of volume on outcome in hepatobiliary surgery: a review with guidelines proposal’, Glob Health Med, 2(5), pp. 292–297.</w:t>
            </w:r>
          </w:p>
        </w:tc>
      </w:tr>
      <w:tr w:rsidR="00CC4A06" w:rsidRPr="00BF62A1" w14:paraId="2B0DC8C6" w14:textId="77777777" w:rsidTr="00864538">
        <w:tc>
          <w:tcPr>
            <w:tcW w:w="9356" w:type="dxa"/>
          </w:tcPr>
          <w:p w14:paraId="52FF668B" w14:textId="77777777" w:rsidR="00CC4A06" w:rsidRPr="00BF62A1" w:rsidRDefault="00CC4A06" w:rsidP="000B7BD7">
            <w:pPr>
              <w:spacing w:line="240" w:lineRule="auto"/>
              <w:rPr>
                <w:sz w:val="16"/>
                <w:szCs w:val="16"/>
              </w:rPr>
            </w:pPr>
            <w:r w:rsidRPr="00BF62A1">
              <w:rPr>
                <w:sz w:val="16"/>
                <w:szCs w:val="16"/>
              </w:rPr>
              <w:t>Köpp, F., Ardelt, M. and Settmacher, U. (2021) ‘[Comparison of the outcome of laparoscopic liver resection from high-volume centres with low-volume centres]’, Chirurg, 92(9), p. 848.</w:t>
            </w:r>
          </w:p>
        </w:tc>
      </w:tr>
    </w:tbl>
    <w:p w14:paraId="7EB01042" w14:textId="77777777" w:rsidR="000B7BD7" w:rsidRPr="00BF62A1" w:rsidRDefault="000B7BD7" w:rsidP="000B7BD7">
      <w:pPr>
        <w:rPr>
          <w:sz w:val="20"/>
          <w:szCs w:val="20"/>
        </w:rPr>
      </w:pPr>
    </w:p>
    <w:p w14:paraId="7B7B943E" w14:textId="0C178E05" w:rsidR="00CC4A06" w:rsidRPr="00BF62A1" w:rsidRDefault="00CC4A06" w:rsidP="002473B8">
      <w:pPr>
        <w:rPr>
          <w:sz w:val="20"/>
          <w:szCs w:val="20"/>
        </w:rPr>
      </w:pPr>
      <w:r w:rsidRPr="00BF62A1">
        <w:rPr>
          <w:sz w:val="20"/>
          <w:szCs w:val="20"/>
        </w:rPr>
        <w:t>Missing data/not extractable: (6)</w:t>
      </w:r>
    </w:p>
    <w:tbl>
      <w:tblPr>
        <w:tblStyle w:val="TableGrid"/>
        <w:tblW w:w="9356" w:type="dxa"/>
        <w:tblInd w:w="-714" w:type="dxa"/>
        <w:tblLook w:val="04A0" w:firstRow="1" w:lastRow="0" w:firstColumn="1" w:lastColumn="0" w:noHBand="0" w:noVBand="1"/>
      </w:tblPr>
      <w:tblGrid>
        <w:gridCol w:w="9356"/>
      </w:tblGrid>
      <w:tr w:rsidR="00CC4A06" w:rsidRPr="00BF62A1" w14:paraId="5F5D524F" w14:textId="77777777" w:rsidTr="00864538">
        <w:tc>
          <w:tcPr>
            <w:tcW w:w="9356" w:type="dxa"/>
          </w:tcPr>
          <w:p w14:paraId="4EF31AF0" w14:textId="77777777" w:rsidR="00CC4A06" w:rsidRPr="00BF62A1" w:rsidRDefault="00CC4A06" w:rsidP="000B7BD7">
            <w:pPr>
              <w:spacing w:line="240" w:lineRule="auto"/>
              <w:rPr>
                <w:sz w:val="16"/>
                <w:szCs w:val="16"/>
              </w:rPr>
            </w:pPr>
            <w:r w:rsidRPr="00864538">
              <w:rPr>
                <w:sz w:val="16"/>
                <w:szCs w:val="16"/>
                <w:lang w:val="fr-FR"/>
              </w:rPr>
              <w:t xml:space="preserve">Colavita, P.D. et al. </w:t>
            </w:r>
            <w:r w:rsidRPr="00BF62A1">
              <w:rPr>
                <w:sz w:val="16"/>
                <w:szCs w:val="16"/>
              </w:rPr>
              <w:t>(2014) ‘Regionalization and outcomes of hepato-pancreato-biliary cancer surgery in USA’, J Gastrointest Surg, 18(3), pp. 532–41.</w:t>
            </w:r>
          </w:p>
        </w:tc>
      </w:tr>
      <w:tr w:rsidR="00CC4A06" w:rsidRPr="00BF62A1" w14:paraId="15DFBA11" w14:textId="77777777" w:rsidTr="00864538">
        <w:tc>
          <w:tcPr>
            <w:tcW w:w="9356" w:type="dxa"/>
          </w:tcPr>
          <w:p w14:paraId="1A2B9AD6" w14:textId="77777777" w:rsidR="00CC4A06" w:rsidRPr="00BF62A1" w:rsidRDefault="00CC4A06" w:rsidP="000B7BD7">
            <w:pPr>
              <w:spacing w:line="240" w:lineRule="auto"/>
              <w:rPr>
                <w:sz w:val="16"/>
                <w:szCs w:val="16"/>
              </w:rPr>
            </w:pPr>
            <w:r w:rsidRPr="00BF62A1">
              <w:rPr>
                <w:sz w:val="16"/>
                <w:szCs w:val="16"/>
              </w:rPr>
              <w:t>Ravaioli, M. et al. (2014) ‘A partnership model between high- and low-volume hospitals to improve results in hepatobiliary pancreatic surgery’, Ann Surg, 260(5), pp. 871–5; discussion 875-7.</w:t>
            </w:r>
          </w:p>
        </w:tc>
      </w:tr>
      <w:tr w:rsidR="00CC4A06" w:rsidRPr="00BF62A1" w14:paraId="55FB77B0" w14:textId="77777777" w:rsidTr="00864538">
        <w:tc>
          <w:tcPr>
            <w:tcW w:w="9356" w:type="dxa"/>
          </w:tcPr>
          <w:p w14:paraId="42F1EC1A" w14:textId="77777777" w:rsidR="00CC4A06" w:rsidRPr="00BF62A1" w:rsidRDefault="00CC4A06" w:rsidP="000B7BD7">
            <w:pPr>
              <w:spacing w:line="240" w:lineRule="auto"/>
              <w:rPr>
                <w:sz w:val="16"/>
                <w:szCs w:val="16"/>
              </w:rPr>
            </w:pPr>
            <w:r w:rsidRPr="00864538">
              <w:rPr>
                <w:sz w:val="16"/>
                <w:szCs w:val="16"/>
                <w:lang w:val="fr-FR"/>
              </w:rPr>
              <w:t xml:space="preserve">Idrees, J.J. et al. </w:t>
            </w:r>
            <w:r w:rsidRPr="00BF62A1">
              <w:rPr>
                <w:sz w:val="16"/>
                <w:szCs w:val="16"/>
              </w:rPr>
              <w:t>(2017) ‘Cost of Major Complications After Liver Resection in the United States: Are High-volume Centers Cost-effective?’, Ann Surg, 269(3), pp. 503–510.</w:t>
            </w:r>
          </w:p>
        </w:tc>
      </w:tr>
      <w:tr w:rsidR="00CC4A06" w:rsidRPr="00BF62A1" w14:paraId="3D906370" w14:textId="77777777" w:rsidTr="00864538">
        <w:tc>
          <w:tcPr>
            <w:tcW w:w="9356" w:type="dxa"/>
          </w:tcPr>
          <w:p w14:paraId="2B2B7767" w14:textId="77777777" w:rsidR="00CC4A06" w:rsidRPr="00BF62A1" w:rsidRDefault="00CC4A06" w:rsidP="000B7BD7">
            <w:pPr>
              <w:spacing w:line="240" w:lineRule="auto"/>
              <w:rPr>
                <w:sz w:val="16"/>
                <w:szCs w:val="16"/>
              </w:rPr>
            </w:pPr>
            <w:r w:rsidRPr="00BF62A1">
              <w:rPr>
                <w:sz w:val="16"/>
                <w:szCs w:val="16"/>
              </w:rPr>
              <w:t>Otsubo, T. et al. (2017) ‘Safety-related outcomes of the Japanese Society of Hepato-Biliary-Pancreatic Surgery board certification system for expert surgeons’, J Hepatobiliary Pancreat Sci, 24(5), pp. 252–261.</w:t>
            </w:r>
          </w:p>
        </w:tc>
      </w:tr>
      <w:tr w:rsidR="00CC4A06" w:rsidRPr="00BF62A1" w14:paraId="28B5F296" w14:textId="77777777" w:rsidTr="00864538">
        <w:tc>
          <w:tcPr>
            <w:tcW w:w="9356" w:type="dxa"/>
          </w:tcPr>
          <w:p w14:paraId="6743A24B" w14:textId="77777777" w:rsidR="00CC4A06" w:rsidRPr="00BF62A1" w:rsidRDefault="00CC4A06" w:rsidP="000B7BD7">
            <w:pPr>
              <w:spacing w:line="240" w:lineRule="auto"/>
              <w:rPr>
                <w:sz w:val="16"/>
                <w:szCs w:val="16"/>
              </w:rPr>
            </w:pPr>
            <w:r w:rsidRPr="00BF62A1">
              <w:rPr>
                <w:sz w:val="16"/>
                <w:szCs w:val="16"/>
              </w:rPr>
              <w:lastRenderedPageBreak/>
              <w:t>Tebé, C. et al. (2017) ‘Towards the centralization of digestive oncologic surgery: changes in activity, techniques and outcome’, Rev Esp Enferm Dig, 109(9), pp. 634–642.</w:t>
            </w:r>
          </w:p>
        </w:tc>
      </w:tr>
      <w:tr w:rsidR="00CC4A06" w:rsidRPr="00BF62A1" w14:paraId="0A965AF7" w14:textId="77777777" w:rsidTr="00864538">
        <w:tc>
          <w:tcPr>
            <w:tcW w:w="9356" w:type="dxa"/>
          </w:tcPr>
          <w:p w14:paraId="67282813" w14:textId="77777777" w:rsidR="00CC4A06" w:rsidRPr="00BF62A1" w:rsidRDefault="00CC4A06" w:rsidP="000B7BD7">
            <w:pPr>
              <w:spacing w:line="240" w:lineRule="auto"/>
              <w:rPr>
                <w:sz w:val="16"/>
                <w:szCs w:val="16"/>
              </w:rPr>
            </w:pPr>
            <w:r w:rsidRPr="00BF62A1">
              <w:rPr>
                <w:sz w:val="16"/>
                <w:szCs w:val="16"/>
              </w:rPr>
              <w:t>Uhlig, J. et al. (2019) ‘Hepatocellular carcinoma: Impact of academic setting and hospital volume on patient survival’, Surg Oncol, 31, pp. 111–118.</w:t>
            </w:r>
          </w:p>
        </w:tc>
      </w:tr>
    </w:tbl>
    <w:p w14:paraId="5F86767B" w14:textId="77777777" w:rsidR="00CC4A06" w:rsidRPr="00BF62A1" w:rsidRDefault="00CC4A06" w:rsidP="00CC4A06"/>
    <w:p w14:paraId="447C40AC" w14:textId="77777777" w:rsidR="00CC4A06" w:rsidRPr="00BF62A1" w:rsidRDefault="00CC4A06" w:rsidP="002473B8">
      <w:pPr>
        <w:rPr>
          <w:sz w:val="20"/>
          <w:szCs w:val="20"/>
        </w:rPr>
      </w:pPr>
      <w:r w:rsidRPr="00BF62A1">
        <w:rPr>
          <w:sz w:val="20"/>
          <w:szCs w:val="20"/>
        </w:rPr>
        <w:t>Published before 2010: (35)</w:t>
      </w:r>
    </w:p>
    <w:tbl>
      <w:tblPr>
        <w:tblStyle w:val="TableGrid"/>
        <w:tblW w:w="9356" w:type="dxa"/>
        <w:tblInd w:w="-714" w:type="dxa"/>
        <w:tblLook w:val="04A0" w:firstRow="1" w:lastRow="0" w:firstColumn="1" w:lastColumn="0" w:noHBand="0" w:noVBand="1"/>
      </w:tblPr>
      <w:tblGrid>
        <w:gridCol w:w="9356"/>
      </w:tblGrid>
      <w:tr w:rsidR="00CC4A06" w:rsidRPr="00BF62A1" w14:paraId="75B815EC" w14:textId="77777777" w:rsidTr="00864538">
        <w:tc>
          <w:tcPr>
            <w:tcW w:w="9356" w:type="dxa"/>
          </w:tcPr>
          <w:p w14:paraId="6DC9E737" w14:textId="77777777" w:rsidR="00CC4A06" w:rsidRPr="00BF62A1" w:rsidRDefault="00CC4A06" w:rsidP="000B7BD7">
            <w:pPr>
              <w:spacing w:line="240" w:lineRule="auto"/>
              <w:rPr>
                <w:sz w:val="16"/>
                <w:szCs w:val="16"/>
              </w:rPr>
            </w:pPr>
            <w:r w:rsidRPr="00864538">
              <w:rPr>
                <w:sz w:val="16"/>
                <w:szCs w:val="16"/>
                <w:lang w:val="fr-FR"/>
              </w:rPr>
              <w:t xml:space="preserve">Bilimoria, K.Y. et al. </w:t>
            </w:r>
            <w:r w:rsidRPr="00BF62A1">
              <w:rPr>
                <w:sz w:val="16"/>
                <w:szCs w:val="16"/>
              </w:rPr>
              <w:t>(2008) ‘Directing surgical quality improvement initiatives: comparison of perioperative mortality and long-term survival for cancer surgery’, J Clin Oncol, 26(28), pp. 4626–33.</w:t>
            </w:r>
          </w:p>
        </w:tc>
      </w:tr>
      <w:tr w:rsidR="00CC4A06" w:rsidRPr="00BF62A1" w14:paraId="2A3B07B2" w14:textId="77777777" w:rsidTr="00864538">
        <w:tc>
          <w:tcPr>
            <w:tcW w:w="9356" w:type="dxa"/>
          </w:tcPr>
          <w:p w14:paraId="322E0322" w14:textId="77777777" w:rsidR="00CC4A06" w:rsidRPr="00BF62A1" w:rsidRDefault="00CC4A06" w:rsidP="000B7BD7">
            <w:pPr>
              <w:spacing w:line="240" w:lineRule="auto"/>
              <w:rPr>
                <w:sz w:val="16"/>
                <w:szCs w:val="16"/>
              </w:rPr>
            </w:pPr>
            <w:r w:rsidRPr="00864538">
              <w:rPr>
                <w:sz w:val="16"/>
                <w:szCs w:val="16"/>
                <w:lang w:val="fr-FR"/>
              </w:rPr>
              <w:t xml:space="preserve">Birkmeyer, J.D. et al. </w:t>
            </w:r>
            <w:r w:rsidRPr="00BF62A1">
              <w:rPr>
                <w:sz w:val="16"/>
                <w:szCs w:val="16"/>
              </w:rPr>
              <w:t>(2006) ‘Volume and process of care in high-risk cancer surgery’, Cancer, 106(11), pp. 2476–81.</w:t>
            </w:r>
          </w:p>
        </w:tc>
      </w:tr>
      <w:tr w:rsidR="00CC4A06" w:rsidRPr="00BF62A1" w14:paraId="4706AB88" w14:textId="77777777" w:rsidTr="00864538">
        <w:tc>
          <w:tcPr>
            <w:tcW w:w="9356" w:type="dxa"/>
          </w:tcPr>
          <w:p w14:paraId="35A2F10F" w14:textId="77777777" w:rsidR="00CC4A06" w:rsidRPr="00BF62A1" w:rsidRDefault="00CC4A06" w:rsidP="000B7BD7">
            <w:pPr>
              <w:spacing w:line="240" w:lineRule="auto"/>
              <w:rPr>
                <w:sz w:val="16"/>
                <w:szCs w:val="16"/>
              </w:rPr>
            </w:pPr>
            <w:r w:rsidRPr="00864538">
              <w:rPr>
                <w:sz w:val="16"/>
                <w:szCs w:val="16"/>
                <w:lang w:val="fr-FR"/>
              </w:rPr>
              <w:t xml:space="preserve">Carroll, Jr., J.E. et al. </w:t>
            </w:r>
            <w:r w:rsidRPr="00BF62A1">
              <w:rPr>
                <w:sz w:val="16"/>
                <w:szCs w:val="16"/>
              </w:rPr>
              <w:t>(2009) ‘In-hospital mortality after resection of biliary tract cancer in the United States’, HPB (Oxford), 12(1), pp. 62–7.</w:t>
            </w:r>
          </w:p>
        </w:tc>
      </w:tr>
      <w:tr w:rsidR="00CC4A06" w:rsidRPr="00BF62A1" w14:paraId="2D48B353" w14:textId="77777777" w:rsidTr="00864538">
        <w:tc>
          <w:tcPr>
            <w:tcW w:w="9356" w:type="dxa"/>
          </w:tcPr>
          <w:p w14:paraId="65EF6D80" w14:textId="77777777" w:rsidR="00CC4A06" w:rsidRPr="00BF62A1" w:rsidRDefault="00CC4A06" w:rsidP="000B7BD7">
            <w:pPr>
              <w:spacing w:line="240" w:lineRule="auto"/>
              <w:rPr>
                <w:sz w:val="16"/>
                <w:szCs w:val="16"/>
              </w:rPr>
            </w:pPr>
            <w:r w:rsidRPr="0008609C">
              <w:rPr>
                <w:sz w:val="16"/>
                <w:szCs w:val="16"/>
                <w:lang w:val="fr-FR"/>
              </w:rPr>
              <w:t xml:space="preserve">Chen, T.M. et al. </w:t>
            </w:r>
            <w:r w:rsidRPr="00BF62A1">
              <w:rPr>
                <w:sz w:val="16"/>
                <w:szCs w:val="16"/>
              </w:rPr>
              <w:t>(2008) ‘Management and patient survival in hepatocellular carcinoma: does the physician’s level of experience matter?’, J Gastroenterol Hepatol, 23(7), pp. e179-88.</w:t>
            </w:r>
          </w:p>
        </w:tc>
      </w:tr>
      <w:tr w:rsidR="00CC4A06" w:rsidRPr="00BF62A1" w14:paraId="77E4BAF0" w14:textId="77777777" w:rsidTr="00864538">
        <w:tc>
          <w:tcPr>
            <w:tcW w:w="9356" w:type="dxa"/>
          </w:tcPr>
          <w:p w14:paraId="5914393D" w14:textId="77777777" w:rsidR="00CC4A06" w:rsidRPr="00BF62A1" w:rsidRDefault="00CC4A06" w:rsidP="000B7BD7">
            <w:pPr>
              <w:spacing w:line="240" w:lineRule="auto"/>
              <w:rPr>
                <w:sz w:val="16"/>
                <w:szCs w:val="16"/>
              </w:rPr>
            </w:pPr>
            <w:r w:rsidRPr="00864538">
              <w:rPr>
                <w:sz w:val="16"/>
                <w:szCs w:val="16"/>
                <w:lang w:val="fr-FR"/>
              </w:rPr>
              <w:t xml:space="preserve">Csikesz, N.G. et al. </w:t>
            </w:r>
            <w:r w:rsidRPr="00BF62A1">
              <w:rPr>
                <w:sz w:val="16"/>
                <w:szCs w:val="16"/>
              </w:rPr>
              <w:t>(2008) ‘Surgical specialization and operative mortality in hepato-pancreatico-biliary (HPB) surgery’, J Gastrointest Surg, 12(9), pp. 1534–9.</w:t>
            </w:r>
          </w:p>
        </w:tc>
      </w:tr>
      <w:tr w:rsidR="00CC4A06" w:rsidRPr="00BF62A1" w14:paraId="06B3F04A" w14:textId="77777777" w:rsidTr="00864538">
        <w:tc>
          <w:tcPr>
            <w:tcW w:w="9356" w:type="dxa"/>
          </w:tcPr>
          <w:p w14:paraId="1CE48AF7" w14:textId="77777777" w:rsidR="00CC4A06" w:rsidRPr="00BF62A1" w:rsidRDefault="00CC4A06" w:rsidP="000B7BD7">
            <w:pPr>
              <w:spacing w:line="240" w:lineRule="auto"/>
              <w:rPr>
                <w:sz w:val="16"/>
                <w:szCs w:val="16"/>
              </w:rPr>
            </w:pPr>
            <w:r w:rsidRPr="00864538">
              <w:rPr>
                <w:sz w:val="16"/>
                <w:szCs w:val="16"/>
                <w:lang w:val="fr-FR"/>
              </w:rPr>
              <w:t xml:space="preserve">Dimick, J.B., Cowan, Jr., J.A., et al. </w:t>
            </w:r>
            <w:r w:rsidRPr="00BF62A1">
              <w:rPr>
                <w:sz w:val="16"/>
                <w:szCs w:val="16"/>
              </w:rPr>
              <w:t>(2003) ‘Hepatic resection in the United States: indications, outcomes, and hospital procedural volumes from a nationally representative database’, Arch Surg, 138(2), pp. 185–91.</w:t>
            </w:r>
          </w:p>
        </w:tc>
      </w:tr>
      <w:tr w:rsidR="00CC4A06" w:rsidRPr="00BF62A1" w14:paraId="24A89ED0" w14:textId="77777777" w:rsidTr="00864538">
        <w:tc>
          <w:tcPr>
            <w:tcW w:w="9356" w:type="dxa"/>
          </w:tcPr>
          <w:p w14:paraId="4015F018" w14:textId="77777777" w:rsidR="00CC4A06" w:rsidRPr="00BF62A1" w:rsidRDefault="00CC4A06" w:rsidP="000B7BD7">
            <w:pPr>
              <w:spacing w:line="240" w:lineRule="auto"/>
              <w:rPr>
                <w:sz w:val="16"/>
                <w:szCs w:val="16"/>
              </w:rPr>
            </w:pPr>
            <w:r w:rsidRPr="00864538">
              <w:rPr>
                <w:sz w:val="16"/>
                <w:szCs w:val="16"/>
                <w:lang w:val="fr-FR"/>
              </w:rPr>
              <w:t xml:space="preserve">Dimick, J.B., Pronovost, P.J., et al. </w:t>
            </w:r>
            <w:r w:rsidRPr="00BF62A1">
              <w:rPr>
                <w:sz w:val="16"/>
                <w:szCs w:val="16"/>
              </w:rPr>
              <w:t>(2003) ‘Postoperative complication rates after hepatic resection in Maryland hospitals’, Arch Surg, 138(1), pp. 41–6.</w:t>
            </w:r>
          </w:p>
        </w:tc>
      </w:tr>
      <w:tr w:rsidR="00CC4A06" w:rsidRPr="00BF62A1" w14:paraId="2830139F" w14:textId="77777777" w:rsidTr="00864538">
        <w:tc>
          <w:tcPr>
            <w:tcW w:w="9356" w:type="dxa"/>
          </w:tcPr>
          <w:p w14:paraId="73E16016" w14:textId="77777777" w:rsidR="00CC4A06" w:rsidRPr="00BF62A1" w:rsidRDefault="00CC4A06" w:rsidP="000B7BD7">
            <w:pPr>
              <w:spacing w:line="240" w:lineRule="auto"/>
              <w:rPr>
                <w:sz w:val="16"/>
                <w:szCs w:val="16"/>
              </w:rPr>
            </w:pPr>
            <w:r w:rsidRPr="00864538">
              <w:rPr>
                <w:sz w:val="16"/>
                <w:szCs w:val="16"/>
                <w:lang w:val="fr-FR"/>
              </w:rPr>
              <w:t xml:space="preserve">Dimick, J.B., Cowan, Jr., J.A., et al. </w:t>
            </w:r>
            <w:r w:rsidRPr="00BF62A1">
              <w:rPr>
                <w:sz w:val="16"/>
                <w:szCs w:val="16"/>
              </w:rPr>
              <w:t>(2004) ‘Hospital teaching status and outcomes of complex surgical procedures in the United States’, Arch Surg, 139(2), pp. 137–41.</w:t>
            </w:r>
          </w:p>
        </w:tc>
      </w:tr>
      <w:tr w:rsidR="00CC4A06" w:rsidRPr="00BF62A1" w14:paraId="1D615DDE" w14:textId="77777777" w:rsidTr="00864538">
        <w:tc>
          <w:tcPr>
            <w:tcW w:w="9356" w:type="dxa"/>
          </w:tcPr>
          <w:p w14:paraId="576D7654" w14:textId="77777777" w:rsidR="00CC4A06" w:rsidRPr="00BF62A1" w:rsidRDefault="00CC4A06" w:rsidP="000B7BD7">
            <w:pPr>
              <w:spacing w:line="240" w:lineRule="auto"/>
              <w:rPr>
                <w:sz w:val="16"/>
                <w:szCs w:val="16"/>
              </w:rPr>
            </w:pPr>
            <w:r w:rsidRPr="00864538">
              <w:rPr>
                <w:sz w:val="16"/>
                <w:szCs w:val="16"/>
                <w:lang w:val="fr-FR"/>
              </w:rPr>
              <w:t xml:space="preserve">Dimick, J.B., Wainess, R.M., et al. </w:t>
            </w:r>
            <w:r w:rsidRPr="00BF62A1">
              <w:rPr>
                <w:sz w:val="16"/>
                <w:szCs w:val="16"/>
              </w:rPr>
              <w:t>(2004) ‘National trends in the use and outcomes of hepatic resection’, J Am Coll Surg, 199(1), pp. 31–8.</w:t>
            </w:r>
          </w:p>
        </w:tc>
      </w:tr>
      <w:tr w:rsidR="00CC4A06" w:rsidRPr="00BF62A1" w14:paraId="25E8E0B1" w14:textId="77777777" w:rsidTr="00864538">
        <w:tc>
          <w:tcPr>
            <w:tcW w:w="9356" w:type="dxa"/>
          </w:tcPr>
          <w:p w14:paraId="3B5ACFF6" w14:textId="77777777" w:rsidR="00CC4A06" w:rsidRPr="00BF62A1" w:rsidRDefault="00CC4A06" w:rsidP="000B7BD7">
            <w:pPr>
              <w:spacing w:line="240" w:lineRule="auto"/>
              <w:rPr>
                <w:sz w:val="16"/>
                <w:szCs w:val="16"/>
              </w:rPr>
            </w:pPr>
            <w:r w:rsidRPr="00BF62A1">
              <w:rPr>
                <w:sz w:val="16"/>
                <w:szCs w:val="16"/>
              </w:rPr>
              <w:t>Dimick, J.B., Pronovost, P.J. and Lipsett, P.A. (2002) ‘The effect of ICU physician staffing and hospital volume on outcomes after hepatic resection’, Journal of Intensive Care Medicine, 17(1), pp. 41–47.</w:t>
            </w:r>
          </w:p>
        </w:tc>
      </w:tr>
      <w:tr w:rsidR="00CC4A06" w:rsidRPr="00BF62A1" w14:paraId="203A0960" w14:textId="77777777" w:rsidTr="00864538">
        <w:tc>
          <w:tcPr>
            <w:tcW w:w="9356" w:type="dxa"/>
          </w:tcPr>
          <w:p w14:paraId="7200B559" w14:textId="271A6D53" w:rsidR="00CC4A06" w:rsidRPr="00BF62A1" w:rsidRDefault="00CC4A06" w:rsidP="000B7BD7">
            <w:pPr>
              <w:spacing w:line="240" w:lineRule="auto"/>
              <w:rPr>
                <w:sz w:val="16"/>
                <w:szCs w:val="16"/>
              </w:rPr>
            </w:pPr>
            <w:r w:rsidRPr="00BF62A1">
              <w:rPr>
                <w:sz w:val="16"/>
                <w:szCs w:val="16"/>
              </w:rPr>
              <w:t xml:space="preserve">Dixon, E. et al. (2007) ‘Mortality following liver resection in US </w:t>
            </w:r>
            <w:r w:rsidR="000D5B46">
              <w:rPr>
                <w:sz w:val="16"/>
                <w:szCs w:val="16"/>
              </w:rPr>
              <w:t>M</w:t>
            </w:r>
            <w:r w:rsidRPr="00BF62A1">
              <w:rPr>
                <w:sz w:val="16"/>
                <w:szCs w:val="16"/>
              </w:rPr>
              <w:t>edicare patients: does the presence of a liver transplant program affect outcome?’, J Surg Oncol, 95(3), pp. 194–200.</w:t>
            </w:r>
          </w:p>
        </w:tc>
      </w:tr>
      <w:tr w:rsidR="00CC4A06" w:rsidRPr="00BF62A1" w14:paraId="5911BED8" w14:textId="77777777" w:rsidTr="00864538">
        <w:tc>
          <w:tcPr>
            <w:tcW w:w="9356" w:type="dxa"/>
          </w:tcPr>
          <w:p w14:paraId="6D866D08" w14:textId="77777777" w:rsidR="00CC4A06" w:rsidRPr="00BF62A1" w:rsidRDefault="00CC4A06" w:rsidP="000B7BD7">
            <w:pPr>
              <w:spacing w:line="240" w:lineRule="auto"/>
              <w:rPr>
                <w:sz w:val="16"/>
                <w:szCs w:val="16"/>
              </w:rPr>
            </w:pPr>
            <w:r w:rsidRPr="00BF62A1">
              <w:rPr>
                <w:sz w:val="16"/>
                <w:szCs w:val="16"/>
              </w:rPr>
              <w:t>Dixon, E. et al. (2009) ‘Population-based review of the outcomes following hepatic resection in a Canadian health region’, Can J Surg, 52(1), pp. 12–7.</w:t>
            </w:r>
          </w:p>
        </w:tc>
      </w:tr>
      <w:tr w:rsidR="00CC4A06" w:rsidRPr="00BF62A1" w14:paraId="7EB903F3" w14:textId="77777777" w:rsidTr="00864538">
        <w:tc>
          <w:tcPr>
            <w:tcW w:w="9356" w:type="dxa"/>
          </w:tcPr>
          <w:p w14:paraId="18D356E3" w14:textId="77777777" w:rsidR="00CC4A06" w:rsidRPr="00BF62A1" w:rsidRDefault="00CC4A06" w:rsidP="000B7BD7">
            <w:pPr>
              <w:spacing w:line="240" w:lineRule="auto"/>
              <w:rPr>
                <w:sz w:val="16"/>
                <w:szCs w:val="16"/>
              </w:rPr>
            </w:pPr>
            <w:r w:rsidRPr="00864538">
              <w:rPr>
                <w:sz w:val="16"/>
                <w:szCs w:val="16"/>
              </w:rPr>
              <w:t xml:space="preserve">Eppsteiner, R.W. et al. </w:t>
            </w:r>
            <w:r w:rsidRPr="00BF62A1">
              <w:rPr>
                <w:sz w:val="16"/>
                <w:szCs w:val="16"/>
              </w:rPr>
              <w:t>(2008) ‘High volume and outcome after liver resection: surgeon or center?’, J Gastrointest Surg, 12(10), pp. 1709–16; discussion 1716.</w:t>
            </w:r>
          </w:p>
        </w:tc>
      </w:tr>
      <w:tr w:rsidR="00CC4A06" w:rsidRPr="00BF62A1" w14:paraId="23DEEDBA" w14:textId="77777777" w:rsidTr="00864538">
        <w:tc>
          <w:tcPr>
            <w:tcW w:w="9356" w:type="dxa"/>
          </w:tcPr>
          <w:p w14:paraId="1AD9780B" w14:textId="77777777" w:rsidR="00CC4A06" w:rsidRPr="00BF62A1" w:rsidRDefault="00CC4A06" w:rsidP="000B7BD7">
            <w:pPr>
              <w:spacing w:line="240" w:lineRule="auto"/>
              <w:rPr>
                <w:sz w:val="16"/>
                <w:szCs w:val="16"/>
              </w:rPr>
            </w:pPr>
            <w:r w:rsidRPr="00BF62A1">
              <w:rPr>
                <w:sz w:val="16"/>
                <w:szCs w:val="16"/>
              </w:rPr>
              <w:t>Fong, Y. et al. (2005) ‘Long-term survival is superior after resection for cancer in high-volume centers’, Ann Surg, 242(4), pp. 540–4; discussion 544-7.</w:t>
            </w:r>
          </w:p>
        </w:tc>
      </w:tr>
      <w:tr w:rsidR="00CC4A06" w:rsidRPr="00BF62A1" w14:paraId="14ACCB59" w14:textId="77777777" w:rsidTr="00864538">
        <w:tc>
          <w:tcPr>
            <w:tcW w:w="9356" w:type="dxa"/>
          </w:tcPr>
          <w:p w14:paraId="3A52C719" w14:textId="77777777" w:rsidR="00CC4A06" w:rsidRPr="00BF62A1" w:rsidRDefault="00CC4A06" w:rsidP="000B7BD7">
            <w:pPr>
              <w:spacing w:line="240" w:lineRule="auto"/>
              <w:rPr>
                <w:sz w:val="16"/>
                <w:szCs w:val="16"/>
              </w:rPr>
            </w:pPr>
            <w:r w:rsidRPr="00BF62A1">
              <w:rPr>
                <w:sz w:val="16"/>
                <w:szCs w:val="16"/>
              </w:rPr>
              <w:t>Garcea, G. et al. (2009) ‘A systematic review of the impact of volume of hepatic surgery on patient outcome’, Surgery, 145(5), pp. 467–75.</w:t>
            </w:r>
          </w:p>
        </w:tc>
      </w:tr>
      <w:tr w:rsidR="00CC4A06" w:rsidRPr="00BF62A1" w14:paraId="14B51109" w14:textId="77777777" w:rsidTr="00864538">
        <w:tc>
          <w:tcPr>
            <w:tcW w:w="9356" w:type="dxa"/>
          </w:tcPr>
          <w:p w14:paraId="4401D0D3" w14:textId="77777777" w:rsidR="00CC4A06" w:rsidRPr="00BF62A1" w:rsidRDefault="00CC4A06" w:rsidP="000B7BD7">
            <w:pPr>
              <w:spacing w:line="240" w:lineRule="auto"/>
              <w:rPr>
                <w:sz w:val="16"/>
                <w:szCs w:val="16"/>
              </w:rPr>
            </w:pPr>
            <w:r w:rsidRPr="0008609C">
              <w:rPr>
                <w:sz w:val="16"/>
                <w:szCs w:val="16"/>
                <w:lang w:val="fr-FR"/>
              </w:rPr>
              <w:t xml:space="preserve">Gasper, W.J. et al. </w:t>
            </w:r>
            <w:r w:rsidRPr="00BF62A1">
              <w:rPr>
                <w:sz w:val="16"/>
                <w:szCs w:val="16"/>
              </w:rPr>
              <w:t>(2009) ‘Has recognition of the relationship between mortality rates and hospital volume for major cancer surgery in California made a difference?: A follow-up analysis of another decade’, Ann Surg, 250(3), pp. 472–83.</w:t>
            </w:r>
          </w:p>
        </w:tc>
      </w:tr>
      <w:tr w:rsidR="00CC4A06" w:rsidRPr="00BF62A1" w14:paraId="269A6557" w14:textId="77777777" w:rsidTr="00864538">
        <w:tc>
          <w:tcPr>
            <w:tcW w:w="9356" w:type="dxa"/>
          </w:tcPr>
          <w:p w14:paraId="015B4CB5" w14:textId="77777777" w:rsidR="00CC4A06" w:rsidRPr="00BF62A1" w:rsidRDefault="00CC4A06" w:rsidP="000B7BD7">
            <w:pPr>
              <w:spacing w:line="240" w:lineRule="auto"/>
              <w:rPr>
                <w:sz w:val="16"/>
                <w:szCs w:val="16"/>
              </w:rPr>
            </w:pPr>
            <w:r w:rsidRPr="00BF62A1">
              <w:rPr>
                <w:sz w:val="16"/>
                <w:szCs w:val="16"/>
              </w:rPr>
              <w:t>Gumbs, A.A. and Gayet, B. (2008) ‘Totally laparoscopic central hepatectomy’, J Gastrointest Surg, 12(7), p. 1153.</w:t>
            </w:r>
          </w:p>
        </w:tc>
      </w:tr>
      <w:tr w:rsidR="00CC4A06" w:rsidRPr="00BF62A1" w14:paraId="70EAE321" w14:textId="77777777" w:rsidTr="00864538">
        <w:tc>
          <w:tcPr>
            <w:tcW w:w="9356" w:type="dxa"/>
          </w:tcPr>
          <w:p w14:paraId="0C2E8D2E" w14:textId="77777777" w:rsidR="00CC4A06" w:rsidRPr="00BF62A1" w:rsidRDefault="00CC4A06" w:rsidP="000B7BD7">
            <w:pPr>
              <w:spacing w:line="240" w:lineRule="auto"/>
              <w:rPr>
                <w:sz w:val="16"/>
                <w:szCs w:val="16"/>
              </w:rPr>
            </w:pPr>
            <w:r w:rsidRPr="00BF62A1">
              <w:rPr>
                <w:sz w:val="16"/>
                <w:szCs w:val="16"/>
              </w:rPr>
              <w:t>Hollenbeck, B.K. et al. (2007) ‘Volume-Based Referral for Cancer Surgery: Informing the Debate’, Journal of Clinical Oncology, 25(1), pp. 91–96.</w:t>
            </w:r>
          </w:p>
        </w:tc>
      </w:tr>
      <w:tr w:rsidR="00CC4A06" w:rsidRPr="00BF62A1" w14:paraId="08534C6B" w14:textId="77777777" w:rsidTr="00864538">
        <w:tc>
          <w:tcPr>
            <w:tcW w:w="9356" w:type="dxa"/>
          </w:tcPr>
          <w:p w14:paraId="7E186122" w14:textId="77777777" w:rsidR="00CC4A06" w:rsidRPr="00BF62A1" w:rsidRDefault="00CC4A06" w:rsidP="000B7BD7">
            <w:pPr>
              <w:spacing w:line="240" w:lineRule="auto"/>
              <w:rPr>
                <w:sz w:val="16"/>
                <w:szCs w:val="16"/>
              </w:rPr>
            </w:pPr>
            <w:r w:rsidRPr="00BF62A1">
              <w:rPr>
                <w:sz w:val="16"/>
                <w:szCs w:val="16"/>
              </w:rPr>
              <w:t>Li, C.H. et al. (2003) ‘Risk factors associated with intra-operative major blood loss in patients with hepatocellular carcinoma who underwent hepatic resection’, J Chin Med Assoc, 66(11), pp. 669–75.</w:t>
            </w:r>
          </w:p>
        </w:tc>
      </w:tr>
      <w:tr w:rsidR="00CC4A06" w:rsidRPr="00BF62A1" w14:paraId="72D2F893" w14:textId="77777777" w:rsidTr="00864538">
        <w:tc>
          <w:tcPr>
            <w:tcW w:w="9356" w:type="dxa"/>
          </w:tcPr>
          <w:p w14:paraId="7EA74A1B" w14:textId="77777777" w:rsidR="00CC4A06" w:rsidRPr="00BF62A1" w:rsidRDefault="00CC4A06" w:rsidP="000B7BD7">
            <w:pPr>
              <w:spacing w:line="240" w:lineRule="auto"/>
              <w:rPr>
                <w:sz w:val="16"/>
                <w:szCs w:val="16"/>
              </w:rPr>
            </w:pPr>
            <w:r w:rsidRPr="00BF62A1">
              <w:rPr>
                <w:sz w:val="16"/>
                <w:szCs w:val="16"/>
              </w:rPr>
              <w:t>Lin, H.C. et al. (2006) ‘Hospital volume and inpatient mortality after cancer-related gastrointestinal resections: the experience of an Asian country’, Ann Surg Oncol, 13(9), pp. 1182–8.</w:t>
            </w:r>
          </w:p>
        </w:tc>
      </w:tr>
      <w:tr w:rsidR="00CC4A06" w:rsidRPr="00BF62A1" w14:paraId="172EF6E4" w14:textId="77777777" w:rsidTr="00864538">
        <w:tc>
          <w:tcPr>
            <w:tcW w:w="9356" w:type="dxa"/>
          </w:tcPr>
          <w:p w14:paraId="22970887" w14:textId="77777777" w:rsidR="00CC4A06" w:rsidRPr="00BF62A1" w:rsidRDefault="00CC4A06" w:rsidP="000B7BD7">
            <w:pPr>
              <w:spacing w:line="240" w:lineRule="auto"/>
              <w:rPr>
                <w:sz w:val="16"/>
                <w:szCs w:val="16"/>
              </w:rPr>
            </w:pPr>
            <w:r w:rsidRPr="00BF62A1">
              <w:rPr>
                <w:sz w:val="16"/>
                <w:szCs w:val="16"/>
              </w:rPr>
              <w:t>Lin, H.C. and Lin, C.C. (2009) ‘Surgeon volume is predictive of 5-year survival in patients with hepatocellular carcinoma after resection: a population-based study’, J Gastrointest Surg, 13(12), pp. 2284–91.</w:t>
            </w:r>
          </w:p>
        </w:tc>
      </w:tr>
      <w:tr w:rsidR="00CC4A06" w:rsidRPr="00BF62A1" w14:paraId="5B08DD11" w14:textId="77777777" w:rsidTr="00864538">
        <w:tc>
          <w:tcPr>
            <w:tcW w:w="9356" w:type="dxa"/>
          </w:tcPr>
          <w:p w14:paraId="7FC2461E" w14:textId="77777777" w:rsidR="00CC4A06" w:rsidRPr="00BF62A1" w:rsidRDefault="00CC4A06" w:rsidP="000B7BD7">
            <w:pPr>
              <w:spacing w:line="240" w:lineRule="auto"/>
              <w:rPr>
                <w:sz w:val="16"/>
                <w:szCs w:val="16"/>
              </w:rPr>
            </w:pPr>
            <w:r w:rsidRPr="00864538">
              <w:rPr>
                <w:sz w:val="16"/>
                <w:szCs w:val="16"/>
                <w:lang w:val="fr-FR"/>
              </w:rPr>
              <w:t xml:space="preserve">Lordan, J.T. et al. </w:t>
            </w:r>
            <w:r w:rsidRPr="00BF62A1">
              <w:rPr>
                <w:sz w:val="16"/>
                <w:szCs w:val="16"/>
              </w:rPr>
              <w:t>(2009) ‘Operative mortality, blood loss and the use of Pringle manoeuvres in 526 consecutive liver resections’, Ann R Coll Surg Engl, 91(7), pp. 578–82.</w:t>
            </w:r>
          </w:p>
        </w:tc>
      </w:tr>
      <w:tr w:rsidR="00CC4A06" w:rsidRPr="00BF62A1" w14:paraId="206F438F" w14:textId="77777777" w:rsidTr="00864538">
        <w:tc>
          <w:tcPr>
            <w:tcW w:w="9356" w:type="dxa"/>
          </w:tcPr>
          <w:p w14:paraId="7E15ABDD" w14:textId="77777777" w:rsidR="00CC4A06" w:rsidRPr="00BF62A1" w:rsidRDefault="00CC4A06" w:rsidP="000B7BD7">
            <w:pPr>
              <w:spacing w:line="240" w:lineRule="auto"/>
              <w:rPr>
                <w:sz w:val="16"/>
                <w:szCs w:val="16"/>
              </w:rPr>
            </w:pPr>
            <w:r w:rsidRPr="00864538">
              <w:rPr>
                <w:sz w:val="16"/>
                <w:szCs w:val="16"/>
                <w:lang w:val="fr-FR"/>
              </w:rPr>
              <w:t xml:space="preserve">Lorenzo, C.S. et al. </w:t>
            </w:r>
            <w:r w:rsidRPr="00BF62A1">
              <w:rPr>
                <w:sz w:val="16"/>
                <w:szCs w:val="16"/>
              </w:rPr>
              <w:t>(2005) ‘Factors affecting outcome in liver resection’, HPB (Oxford), 7(3), pp. 226–30.</w:t>
            </w:r>
          </w:p>
        </w:tc>
      </w:tr>
      <w:tr w:rsidR="00CC4A06" w:rsidRPr="00BF62A1" w14:paraId="231B9E2A" w14:textId="77777777" w:rsidTr="00864538">
        <w:tc>
          <w:tcPr>
            <w:tcW w:w="9356" w:type="dxa"/>
          </w:tcPr>
          <w:p w14:paraId="677F8B9B" w14:textId="77777777" w:rsidR="00CC4A06" w:rsidRPr="00BF62A1" w:rsidRDefault="00CC4A06" w:rsidP="000B7BD7">
            <w:pPr>
              <w:spacing w:line="240" w:lineRule="auto"/>
              <w:rPr>
                <w:sz w:val="16"/>
                <w:szCs w:val="16"/>
              </w:rPr>
            </w:pPr>
            <w:r w:rsidRPr="00864538">
              <w:rPr>
                <w:sz w:val="16"/>
                <w:szCs w:val="16"/>
                <w:lang w:val="fr-FR"/>
              </w:rPr>
              <w:t xml:space="preserve">McColl, R.J. et al. </w:t>
            </w:r>
            <w:r w:rsidRPr="00BF62A1">
              <w:rPr>
                <w:sz w:val="16"/>
                <w:szCs w:val="16"/>
              </w:rPr>
              <w:t>(2008) ‘Recent trends of hepatic resection in Canada: 1995-2004’, J Gastrointest Surg, 12(11), pp. 1839–46; discussion 1846.</w:t>
            </w:r>
          </w:p>
        </w:tc>
      </w:tr>
      <w:tr w:rsidR="00CC4A06" w:rsidRPr="00BF62A1" w14:paraId="1BE6F1A4" w14:textId="77777777" w:rsidTr="00864538">
        <w:tc>
          <w:tcPr>
            <w:tcW w:w="9356" w:type="dxa"/>
          </w:tcPr>
          <w:p w14:paraId="758F7776" w14:textId="77777777" w:rsidR="00CC4A06" w:rsidRPr="00BF62A1" w:rsidRDefault="00CC4A06" w:rsidP="000B7BD7">
            <w:pPr>
              <w:spacing w:line="240" w:lineRule="auto"/>
              <w:rPr>
                <w:sz w:val="16"/>
                <w:szCs w:val="16"/>
              </w:rPr>
            </w:pPr>
            <w:r w:rsidRPr="00BF62A1">
              <w:rPr>
                <w:sz w:val="16"/>
                <w:szCs w:val="16"/>
              </w:rPr>
              <w:t>McKay, A. et al. (2008) ‘Impact of surgeon training on outcomes after resective hepatic surgery’, Ann Surg Oncol, 15(5), pp. 1348–55.</w:t>
            </w:r>
          </w:p>
        </w:tc>
      </w:tr>
      <w:tr w:rsidR="00CC4A06" w:rsidRPr="00BF62A1" w14:paraId="382765F7" w14:textId="77777777" w:rsidTr="00864538">
        <w:tc>
          <w:tcPr>
            <w:tcW w:w="9356" w:type="dxa"/>
          </w:tcPr>
          <w:p w14:paraId="05D0D927" w14:textId="77777777" w:rsidR="00CC4A06" w:rsidRPr="00BF62A1" w:rsidRDefault="00CC4A06" w:rsidP="000B7BD7">
            <w:pPr>
              <w:spacing w:line="240" w:lineRule="auto"/>
              <w:rPr>
                <w:sz w:val="16"/>
                <w:szCs w:val="16"/>
              </w:rPr>
            </w:pPr>
            <w:r w:rsidRPr="00864538">
              <w:rPr>
                <w:sz w:val="16"/>
                <w:szCs w:val="16"/>
                <w:lang w:val="fr-FR"/>
              </w:rPr>
              <w:t xml:space="preserve">Metreveli, R.E. et al. </w:t>
            </w:r>
            <w:r w:rsidRPr="00BF62A1">
              <w:rPr>
                <w:sz w:val="16"/>
                <w:szCs w:val="16"/>
              </w:rPr>
              <w:t>(2005) ‘Hepatic resection at a major community-based teaching hospital can result in good outcome’, Ann Surg Oncol, 12(2), pp. 133–7.</w:t>
            </w:r>
          </w:p>
        </w:tc>
      </w:tr>
      <w:tr w:rsidR="00CC4A06" w:rsidRPr="00BF62A1" w14:paraId="68BB9DA9" w14:textId="77777777" w:rsidTr="00864538">
        <w:tc>
          <w:tcPr>
            <w:tcW w:w="9356" w:type="dxa"/>
          </w:tcPr>
          <w:p w14:paraId="5A7F826E" w14:textId="77777777" w:rsidR="00CC4A06" w:rsidRPr="00BF62A1" w:rsidRDefault="00CC4A06" w:rsidP="000B7BD7">
            <w:pPr>
              <w:spacing w:line="240" w:lineRule="auto"/>
              <w:rPr>
                <w:sz w:val="16"/>
                <w:szCs w:val="16"/>
              </w:rPr>
            </w:pPr>
            <w:r w:rsidRPr="00BF62A1">
              <w:rPr>
                <w:sz w:val="16"/>
                <w:szCs w:val="16"/>
              </w:rPr>
              <w:t>Nathan, H. et al. (2009) ‘The volume-outcomes effect in hepato-pancreato-biliary surgery: hospital versus surgeon contributions and specificity of the relationship’, J Am Coll Surg, 208(4), pp. 528–38.</w:t>
            </w:r>
          </w:p>
        </w:tc>
      </w:tr>
      <w:tr w:rsidR="00CC4A06" w:rsidRPr="00BF62A1" w14:paraId="0618539B" w14:textId="77777777" w:rsidTr="00864538">
        <w:tc>
          <w:tcPr>
            <w:tcW w:w="9356" w:type="dxa"/>
          </w:tcPr>
          <w:p w14:paraId="009C4539" w14:textId="77777777" w:rsidR="00CC4A06" w:rsidRPr="00BF62A1" w:rsidRDefault="00CC4A06" w:rsidP="000B7BD7">
            <w:pPr>
              <w:spacing w:line="240" w:lineRule="auto"/>
              <w:rPr>
                <w:sz w:val="16"/>
                <w:szCs w:val="16"/>
              </w:rPr>
            </w:pPr>
            <w:r w:rsidRPr="00864538">
              <w:rPr>
                <w:sz w:val="16"/>
                <w:szCs w:val="16"/>
                <w:lang w:val="fr-FR"/>
              </w:rPr>
              <w:t xml:space="preserve">Nguyen, G.C. et al. </w:t>
            </w:r>
            <w:r w:rsidRPr="00BF62A1">
              <w:rPr>
                <w:sz w:val="16"/>
                <w:szCs w:val="16"/>
              </w:rPr>
              <w:t>(2009) ‘Volumes of liver transplant and partial hepatectomy procedures are independently associated with lower postoperative mortality following resection for hepatocellular carcinoma’, Liver Transpl, 15(7), pp. 776–81.</w:t>
            </w:r>
          </w:p>
        </w:tc>
      </w:tr>
      <w:tr w:rsidR="00CC4A06" w:rsidRPr="00BF62A1" w14:paraId="7AABDED2" w14:textId="77777777" w:rsidTr="00864538">
        <w:tc>
          <w:tcPr>
            <w:tcW w:w="9356" w:type="dxa"/>
          </w:tcPr>
          <w:p w14:paraId="6E4C281D" w14:textId="77777777" w:rsidR="00CC4A06" w:rsidRPr="00BF62A1" w:rsidRDefault="00CC4A06" w:rsidP="000B7BD7">
            <w:pPr>
              <w:spacing w:line="240" w:lineRule="auto"/>
              <w:rPr>
                <w:sz w:val="16"/>
                <w:szCs w:val="16"/>
              </w:rPr>
            </w:pPr>
            <w:r w:rsidRPr="00BF62A1">
              <w:rPr>
                <w:sz w:val="16"/>
                <w:szCs w:val="16"/>
              </w:rPr>
              <w:t>Pal, N. et al. (2008) ‘Volume and outcome for major upper GI surgery in England’, J Gastrointest Surg, 12(2), pp. 353–7.</w:t>
            </w:r>
          </w:p>
        </w:tc>
      </w:tr>
      <w:tr w:rsidR="00CC4A06" w:rsidRPr="00BF62A1" w14:paraId="66CF7D79" w14:textId="77777777" w:rsidTr="00864538">
        <w:tc>
          <w:tcPr>
            <w:tcW w:w="9356" w:type="dxa"/>
          </w:tcPr>
          <w:p w14:paraId="2E9009AA" w14:textId="77777777" w:rsidR="00CC4A06" w:rsidRPr="00BF62A1" w:rsidRDefault="00CC4A06" w:rsidP="000B7BD7">
            <w:pPr>
              <w:spacing w:line="240" w:lineRule="auto"/>
              <w:rPr>
                <w:sz w:val="16"/>
                <w:szCs w:val="16"/>
              </w:rPr>
            </w:pPr>
            <w:r w:rsidRPr="00BF62A1">
              <w:rPr>
                <w:sz w:val="16"/>
                <w:szCs w:val="16"/>
              </w:rPr>
              <w:t>Scarborough, J.E. et al. (2008) ‘Regionalization of hepatic resections is associated with increasing disparities among some patient populations in use of high-volume providers’, J Am Coll Surg, 207(6), pp. 831–8.</w:t>
            </w:r>
          </w:p>
        </w:tc>
      </w:tr>
      <w:tr w:rsidR="00CC4A06" w:rsidRPr="00BF62A1" w14:paraId="3A119595" w14:textId="77777777" w:rsidTr="00864538">
        <w:tc>
          <w:tcPr>
            <w:tcW w:w="9356" w:type="dxa"/>
          </w:tcPr>
          <w:p w14:paraId="410D6612" w14:textId="77777777" w:rsidR="00CC4A06" w:rsidRPr="00BF62A1" w:rsidRDefault="00CC4A06" w:rsidP="000B7BD7">
            <w:pPr>
              <w:spacing w:line="240" w:lineRule="auto"/>
              <w:rPr>
                <w:sz w:val="16"/>
                <w:szCs w:val="16"/>
              </w:rPr>
            </w:pPr>
            <w:r w:rsidRPr="00864538">
              <w:rPr>
                <w:sz w:val="16"/>
                <w:szCs w:val="16"/>
                <w:lang w:val="fr-FR"/>
              </w:rPr>
              <w:t xml:space="preserve">Shah, S.A. et al. </w:t>
            </w:r>
            <w:r w:rsidRPr="00BF62A1">
              <w:rPr>
                <w:sz w:val="16"/>
                <w:szCs w:val="16"/>
              </w:rPr>
              <w:t>(2007) ‘Survival after liver resection for metastatic colorectal carcinoma in a large population’, J Am Coll Surg, 205(5), pp. 676–83.</w:t>
            </w:r>
          </w:p>
        </w:tc>
      </w:tr>
      <w:tr w:rsidR="00CC4A06" w:rsidRPr="00BF62A1" w14:paraId="6E64E707" w14:textId="77777777" w:rsidTr="00864538">
        <w:tc>
          <w:tcPr>
            <w:tcW w:w="9356" w:type="dxa"/>
          </w:tcPr>
          <w:p w14:paraId="4FA45530" w14:textId="77777777" w:rsidR="00CC4A06" w:rsidRPr="00BF62A1" w:rsidRDefault="00CC4A06" w:rsidP="000B7BD7">
            <w:pPr>
              <w:spacing w:line="240" w:lineRule="auto"/>
              <w:rPr>
                <w:sz w:val="16"/>
                <w:szCs w:val="16"/>
              </w:rPr>
            </w:pPr>
            <w:r w:rsidRPr="00BF62A1">
              <w:rPr>
                <w:sz w:val="16"/>
                <w:szCs w:val="16"/>
              </w:rPr>
              <w:t>Simunovic, M. et al. (2006) ‘Influence of hospital characteristics on operative death and survival of patients after major cancer surgery in Ontario’, Can J Surg, 49(4), pp. 251–8.</w:t>
            </w:r>
          </w:p>
        </w:tc>
      </w:tr>
      <w:tr w:rsidR="00CC4A06" w:rsidRPr="00BF62A1" w14:paraId="0A3A8747" w14:textId="77777777" w:rsidTr="00864538">
        <w:tc>
          <w:tcPr>
            <w:tcW w:w="9356" w:type="dxa"/>
          </w:tcPr>
          <w:p w14:paraId="2FFFFA85" w14:textId="77777777" w:rsidR="00CC4A06" w:rsidRPr="00BF62A1" w:rsidRDefault="00CC4A06" w:rsidP="000B7BD7">
            <w:pPr>
              <w:spacing w:line="240" w:lineRule="auto"/>
              <w:rPr>
                <w:sz w:val="16"/>
                <w:szCs w:val="16"/>
              </w:rPr>
            </w:pPr>
            <w:r w:rsidRPr="00BF62A1">
              <w:rPr>
                <w:sz w:val="16"/>
                <w:szCs w:val="16"/>
              </w:rPr>
              <w:t>Skipworth, R.J. et al. (2009) ‘The relationship between hospital volume and post-operative mortality rates for upper gastrointestinal cancer resections: Scotland 1982-2003’, Eur J Surg Oncol, 36(2), pp. 141–7.</w:t>
            </w:r>
          </w:p>
        </w:tc>
      </w:tr>
      <w:tr w:rsidR="00CC4A06" w:rsidRPr="00BF62A1" w14:paraId="602EE1D5" w14:textId="77777777" w:rsidTr="00864538">
        <w:tc>
          <w:tcPr>
            <w:tcW w:w="9356" w:type="dxa"/>
          </w:tcPr>
          <w:p w14:paraId="026462CC" w14:textId="77777777" w:rsidR="00CC4A06" w:rsidRPr="00BF62A1" w:rsidRDefault="00CC4A06" w:rsidP="000B7BD7">
            <w:pPr>
              <w:spacing w:line="240" w:lineRule="auto"/>
              <w:rPr>
                <w:sz w:val="16"/>
                <w:szCs w:val="16"/>
              </w:rPr>
            </w:pPr>
            <w:r w:rsidRPr="00BF62A1">
              <w:rPr>
                <w:sz w:val="16"/>
                <w:szCs w:val="16"/>
              </w:rPr>
              <w:t>Wang, X. et al. (2007) ‘Predictors of survival after hepatic resection among patients with colorectal liver metastasis’, Br J Cancer, 97(12), pp. 1606–12.</w:t>
            </w:r>
          </w:p>
        </w:tc>
      </w:tr>
      <w:tr w:rsidR="00CC4A06" w:rsidRPr="00BF62A1" w14:paraId="20DE575F" w14:textId="77777777" w:rsidTr="00864538">
        <w:tc>
          <w:tcPr>
            <w:tcW w:w="9356" w:type="dxa"/>
          </w:tcPr>
          <w:p w14:paraId="019A8B4A" w14:textId="77777777" w:rsidR="00CC4A06" w:rsidRPr="00BF62A1" w:rsidRDefault="00CC4A06" w:rsidP="000B7BD7">
            <w:pPr>
              <w:spacing w:line="240" w:lineRule="auto"/>
              <w:rPr>
                <w:sz w:val="16"/>
                <w:szCs w:val="16"/>
              </w:rPr>
            </w:pPr>
            <w:r w:rsidRPr="00BF62A1">
              <w:rPr>
                <w:sz w:val="16"/>
                <w:szCs w:val="16"/>
              </w:rPr>
              <w:t>Yeung, Y.P., Hui, J. and Yip, W.C. (2008) ‘Hepatectomy for hepatocellular carcinoma in a community hospital: the importance of surgeon procedural volume in operative outcomes’, Hepatogastroenterology, 55(82), pp. 647–52.</w:t>
            </w:r>
          </w:p>
        </w:tc>
      </w:tr>
    </w:tbl>
    <w:p w14:paraId="253A1C9D" w14:textId="383264B5" w:rsidR="00CC4A06" w:rsidRPr="00BF62A1" w:rsidRDefault="00CC4A06" w:rsidP="0064556C">
      <w:pPr>
        <w:spacing w:line="240" w:lineRule="auto"/>
        <w:jc w:val="left"/>
      </w:pPr>
    </w:p>
    <w:p w14:paraId="004E565D" w14:textId="77777777" w:rsidR="00CC4A06" w:rsidRPr="00BF62A1" w:rsidRDefault="00CC4A06">
      <w:pPr>
        <w:spacing w:line="240" w:lineRule="auto"/>
        <w:jc w:val="left"/>
      </w:pPr>
      <w:r w:rsidRPr="00BF62A1">
        <w:br w:type="page"/>
      </w:r>
    </w:p>
    <w:p w14:paraId="5FF43F6F" w14:textId="77777777" w:rsidR="0064556C" w:rsidRPr="00BF62A1" w:rsidRDefault="0064556C" w:rsidP="0064556C">
      <w:pPr>
        <w:spacing w:line="240" w:lineRule="auto"/>
        <w:jc w:val="left"/>
        <w:sectPr w:rsidR="0064556C" w:rsidRPr="00BF62A1" w:rsidSect="00317756">
          <w:headerReference w:type="even" r:id="rId8"/>
          <w:headerReference w:type="default" r:id="rId9"/>
          <w:footerReference w:type="even" r:id="rId10"/>
          <w:footerReference w:type="default" r:id="rId11"/>
          <w:headerReference w:type="first" r:id="rId12"/>
          <w:footerReference w:type="first" r:id="rId13"/>
          <w:type w:val="continuous"/>
          <w:pgSz w:w="11906" w:h="16838"/>
          <w:pgMar w:top="1418" w:right="1418" w:bottom="1134" w:left="1985" w:header="709" w:footer="709" w:gutter="0"/>
          <w:cols w:space="708"/>
          <w:docGrid w:linePitch="360"/>
        </w:sectPr>
      </w:pPr>
    </w:p>
    <w:p w14:paraId="739FEB7C" w14:textId="77777777" w:rsidR="000F0341" w:rsidRPr="00BF62A1" w:rsidRDefault="000F0341" w:rsidP="000F0341">
      <w:pPr>
        <w:pStyle w:val="Heading1"/>
        <w:numPr>
          <w:ilvl w:val="0"/>
          <w:numId w:val="0"/>
        </w:numPr>
        <w:ind w:left="-283"/>
      </w:pPr>
      <w:r w:rsidRPr="00BF62A1">
        <w:lastRenderedPageBreak/>
        <w:t>Appendix 3: Details of surgery types, inclusion criteria and risk adjustment</w:t>
      </w:r>
    </w:p>
    <w:p w14:paraId="5919E7E3" w14:textId="77777777" w:rsidR="000F0341" w:rsidRPr="00BF62A1" w:rsidRDefault="000F0341" w:rsidP="000F0341">
      <w:pPr>
        <w:jc w:val="left"/>
      </w:pPr>
    </w:p>
    <w:tbl>
      <w:tblPr>
        <w:tblW w:w="1457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22"/>
        <w:gridCol w:w="2973"/>
        <w:gridCol w:w="1843"/>
        <w:gridCol w:w="1984"/>
        <w:gridCol w:w="3119"/>
        <w:gridCol w:w="3234"/>
      </w:tblGrid>
      <w:tr w:rsidR="000F0341" w:rsidRPr="00BF62A1" w14:paraId="208002A8" w14:textId="77777777" w:rsidTr="00E40B0D">
        <w:trPr>
          <w:trHeight w:val="444"/>
          <w:tblHeader/>
        </w:trPr>
        <w:tc>
          <w:tcPr>
            <w:tcW w:w="1422" w:type="dxa"/>
            <w:vAlign w:val="center"/>
            <w:hideMark/>
          </w:tcPr>
          <w:p w14:paraId="51E1C269" w14:textId="77777777" w:rsidR="000F0341" w:rsidRPr="00BF62A1" w:rsidRDefault="000F0341" w:rsidP="00E40B0D">
            <w:pPr>
              <w:spacing w:line="240" w:lineRule="auto"/>
              <w:jc w:val="center"/>
              <w:rPr>
                <w:b/>
                <w:bCs/>
                <w:color w:val="000000"/>
                <w:sz w:val="14"/>
                <w:szCs w:val="14"/>
              </w:rPr>
            </w:pPr>
            <w:r w:rsidRPr="00BF62A1">
              <w:rPr>
                <w:b/>
                <w:bCs/>
                <w:color w:val="000000" w:themeColor="text1"/>
                <w:sz w:val="14"/>
                <w:szCs w:val="14"/>
              </w:rPr>
              <w:t>First author and year of publication</w:t>
            </w:r>
          </w:p>
        </w:tc>
        <w:tc>
          <w:tcPr>
            <w:tcW w:w="2973" w:type="dxa"/>
            <w:vAlign w:val="center"/>
            <w:hideMark/>
          </w:tcPr>
          <w:p w14:paraId="5CEC12E8" w14:textId="77777777" w:rsidR="000F0341" w:rsidRPr="00BF62A1" w:rsidRDefault="000F0341" w:rsidP="00E40B0D">
            <w:pPr>
              <w:spacing w:line="240" w:lineRule="auto"/>
              <w:jc w:val="center"/>
              <w:rPr>
                <w:b/>
                <w:bCs/>
                <w:color w:val="000000"/>
                <w:sz w:val="14"/>
                <w:szCs w:val="14"/>
              </w:rPr>
            </w:pPr>
            <w:r w:rsidRPr="00BF62A1">
              <w:rPr>
                <w:b/>
                <w:bCs/>
                <w:color w:val="000000"/>
                <w:sz w:val="14"/>
                <w:szCs w:val="14"/>
              </w:rPr>
              <w:t>Surgery types</w:t>
            </w:r>
          </w:p>
        </w:tc>
        <w:tc>
          <w:tcPr>
            <w:tcW w:w="1843" w:type="dxa"/>
            <w:noWrap/>
            <w:vAlign w:val="center"/>
            <w:hideMark/>
          </w:tcPr>
          <w:p w14:paraId="679E232C" w14:textId="77777777" w:rsidR="000F0341" w:rsidRPr="00BF62A1" w:rsidRDefault="000F0341" w:rsidP="00E40B0D">
            <w:pPr>
              <w:spacing w:line="240" w:lineRule="auto"/>
              <w:jc w:val="center"/>
              <w:rPr>
                <w:b/>
                <w:bCs/>
                <w:color w:val="000000"/>
                <w:sz w:val="14"/>
                <w:szCs w:val="14"/>
              </w:rPr>
            </w:pPr>
            <w:r w:rsidRPr="00BF62A1">
              <w:rPr>
                <w:b/>
                <w:bCs/>
                <w:color w:val="000000"/>
                <w:sz w:val="14"/>
                <w:szCs w:val="14"/>
              </w:rPr>
              <w:t>Extent n (%)</w:t>
            </w:r>
          </w:p>
        </w:tc>
        <w:tc>
          <w:tcPr>
            <w:tcW w:w="1984" w:type="dxa"/>
            <w:vAlign w:val="center"/>
            <w:hideMark/>
          </w:tcPr>
          <w:p w14:paraId="38B84778" w14:textId="77777777" w:rsidR="000F0341" w:rsidRPr="00BF62A1" w:rsidRDefault="000F0341" w:rsidP="00E40B0D">
            <w:pPr>
              <w:spacing w:line="240" w:lineRule="auto"/>
              <w:jc w:val="center"/>
              <w:rPr>
                <w:b/>
                <w:bCs/>
                <w:color w:val="000000"/>
                <w:sz w:val="14"/>
                <w:szCs w:val="14"/>
              </w:rPr>
            </w:pPr>
            <w:r w:rsidRPr="00BF62A1">
              <w:rPr>
                <w:b/>
                <w:bCs/>
                <w:color w:val="000000"/>
                <w:sz w:val="14"/>
                <w:szCs w:val="14"/>
              </w:rPr>
              <w:t>Inclusion criteria</w:t>
            </w:r>
          </w:p>
        </w:tc>
        <w:tc>
          <w:tcPr>
            <w:tcW w:w="3119" w:type="dxa"/>
            <w:vAlign w:val="center"/>
            <w:hideMark/>
          </w:tcPr>
          <w:p w14:paraId="109AA36F" w14:textId="77777777" w:rsidR="000F0341" w:rsidRPr="00BF62A1" w:rsidRDefault="000F0341" w:rsidP="00E40B0D">
            <w:pPr>
              <w:spacing w:line="240" w:lineRule="auto"/>
              <w:jc w:val="center"/>
              <w:rPr>
                <w:b/>
                <w:bCs/>
                <w:color w:val="000000"/>
                <w:sz w:val="14"/>
                <w:szCs w:val="14"/>
              </w:rPr>
            </w:pPr>
            <w:r w:rsidRPr="00BF62A1">
              <w:rPr>
                <w:b/>
                <w:bCs/>
                <w:color w:val="000000"/>
                <w:sz w:val="14"/>
                <w:szCs w:val="14"/>
              </w:rPr>
              <w:t>Exclusion criteria</w:t>
            </w:r>
          </w:p>
        </w:tc>
        <w:tc>
          <w:tcPr>
            <w:tcW w:w="3234" w:type="dxa"/>
            <w:vAlign w:val="center"/>
            <w:hideMark/>
          </w:tcPr>
          <w:p w14:paraId="177C8ED3" w14:textId="77777777" w:rsidR="000F0341" w:rsidRPr="00BF62A1" w:rsidRDefault="000F0341" w:rsidP="00E40B0D">
            <w:pPr>
              <w:spacing w:line="240" w:lineRule="auto"/>
              <w:jc w:val="center"/>
              <w:rPr>
                <w:b/>
                <w:bCs/>
                <w:color w:val="000000"/>
                <w:sz w:val="14"/>
                <w:szCs w:val="14"/>
              </w:rPr>
            </w:pPr>
            <w:r w:rsidRPr="00BF62A1">
              <w:rPr>
                <w:b/>
                <w:bCs/>
                <w:color w:val="000000"/>
                <w:sz w:val="14"/>
                <w:szCs w:val="14"/>
              </w:rPr>
              <w:t>Risk adjustment</w:t>
            </w:r>
          </w:p>
        </w:tc>
      </w:tr>
      <w:tr w:rsidR="000F0341" w:rsidRPr="00BF62A1" w14:paraId="223D85E5" w14:textId="77777777" w:rsidTr="00E40B0D">
        <w:trPr>
          <w:trHeight w:val="57"/>
        </w:trPr>
        <w:tc>
          <w:tcPr>
            <w:tcW w:w="1422" w:type="dxa"/>
            <w:vMerge w:val="restart"/>
            <w:hideMark/>
          </w:tcPr>
          <w:p w14:paraId="69F29DE0"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Ardito 2020 </w:t>
            </w:r>
            <w:r w:rsidRPr="00BF62A1">
              <w:rPr>
                <w:color w:val="000000"/>
                <w:sz w:val="14"/>
                <w:szCs w:val="14"/>
              </w:rPr>
              <w:fldChar w:fldCharType="begin"/>
            </w:r>
            <w:r>
              <w:rPr>
                <w:color w:val="000000"/>
                <w:sz w:val="14"/>
                <w:szCs w:val="14"/>
              </w:rPr>
              <w:instrText xml:space="preserve"> ADDIN ZOTERO_ITEM CSL_CITATION {"citationID":"ArT0saQf","properties":{"formattedCitation":"[65]","plainCitation":"[65]","noteIndex":0},"citationItems":[{"id":14219,"uris":["http://zotero.org/groups/4983919/items/5P557HLN"],"itemData":{"id":14219,"type":"article-journal","abstract":"OBJECTIVE: The aim of this study was to evaluate correlation between centers' volume and incidence of failure to rescue (FTR) following liver resection for hepatocellular carcinoma (HCC). SUMMARY BACKGROUND DATA: FTR, defined as the probability of postoperative death among patients with major complication, has been proposed to assess quality of care during hospitalization. Perioperative management is challenging in cirrhotic patients and the ability to recognize and treat a complication may be fundamental to rescue patients from the risk of death. METHODS: Patients undergoing liver resection for HCC between 2008 and 2018 in 18 Centers enrolled in the He.Rc.O.Le.S. Italian register. Early results included major complications (Clavien ≥3), 90-day mortality, and FTR and were analyzed according to center's volume. RESULTS: Among 1935 included patients, major complication rate was 9.4% (8.6%, 12.3%, and 7.0% for low-, intermediate- and high-volume centers, respectively, P = 0.001). Ninety-day mortality rate was 2.6% (3.7%, 4.2% and 0.9% for low-, intermediate- and high-volume centers, respectively, P &lt; 0.001). FTR was significantly higher at low- and intermediate-volume centers (28.6% and 26.5%, respectively) than at high-volume centers (6.1%, P = 0.002). Independent predictors for major complications were American Society of Anesthesiologists (ASA) &gt;2, portal hypertension, intraoperative blood transfusions, and center's volume. Independent predictors for 90-day mortality were ASA &gt;2, Child-Pugh score B, BCLC stage B-C, and center's volume. Center's volume and BCLC stage were strongly associated with FTR. CONCLUSIONS: Risk of major complications and mortality was related with comorbidities, cirrhosis severity, and complexity of surgery. These factors were not correlated with FTR. Center's volume was the only independent predictor related with severe complications, mortality, and FTR.","container-title":"Ann Surg","DOI":"10.1097/sla.0000000000004327","ISSN":"0003-4932","issue":"5","language":"eng","note":"publisher-place: Hepatobiliary Surgery Unit, Fondazione \"Policlinico Universitario A. Gemelli, IRCCS\" Catholic University of the Sacred Heart, Rome, Italy. School of Medicine and Surgery, University of Milano-Bicocca, Department of Surgery, SanGerardo Hospital, Monza, Italy. Hepatobiliary Surgery Division, Ospedale San Raffaele, Milano, Italy. Division of Hepatobiliarypancreatic Surgery, IRCCS - Regina Elena National Cancer Institute, Rome, Italy. Department of Surgery, University of Parma, Parma, Italy. Unit of General Surgery 1, University of Pavia and Foundation IRCCS Policlinico San Matteo, Pavia, Italy. Department of Surgery, AUSL Bologna Bellaria-Maggiore Hospital, Bologna, Italy. Division of General and Hepatobiliary Surgery, Department of Surgical Sciences, Dentistry, Gynecology and Pediatrics, University of Verona, Verona, Italy. Department of Clinical and Experimental Sciences, University of Brescia, Brescia, Italy. General and Oncologic Surgery, Morgagni-Pierantoni Hospital, Forlì, Italy. HPB Surgical Unit, San Paolo Hospital, Savona, Italy. Department of Surgery, Bolzano Central Hospital, Bolzano, Italy. Department of Surgery, Oncology and Gastroenterology, Hepatobiliary Surgery and Liver Transplantation, Padua University, Italy. Department of General Surgery, Poliambulanza Foundation Hospital, Brescia, Italy. Department of Surgery, Monza Policlinic, Monza, Italy. Department of Surgery, L. Sacco Hospital, Milan, Italy. Department of Emergency and Organ Transplantation, Aldo Moro University, Bari, Italy.","page":"840-846","title":"The Impact of Hospital Volume on Failure to Rescue after Liver Resection for Hepatocellular Carcinoma: Analysis from the HE.RC.O.LE.S. Italian Registry","volume":"272","author":[{"family":"Ardito","given":"F."},{"family":"Famularo","given":"S."},{"family":"Aldrighetti","given":"L."},{"family":"Grazi","given":"G. L."},{"family":"DallaValle","given":"R."},{"family":"Maestri","given":"M."},{"family":"Jovine","given":"E."},{"family":"Ruzzenente","given":"A."},{"family":"Baiocchi","given":"G. L."},{"family":"Ercolani","given":"G."},{"family":"Griseri","given":"G."},{"family":"Frena","given":"A."},{"family":"Zanus","given":"G."},{"family":"Zimmitti","given":"G."},{"family":"Antonucci","given":"A."},{"family":"Crespi","given":"M."},{"family":"Memeo","given":"R."},{"family":"Romano","given":"F."},{"family":"Giuliante","given":"F."}],"issued":{"date-parts":[["2020",11]]}}}],"schema":"https://github.com/citation-style-language/schema/raw/master/csl-citation.json"} </w:instrText>
            </w:r>
            <w:r w:rsidRPr="00BF62A1">
              <w:rPr>
                <w:color w:val="000000"/>
                <w:sz w:val="14"/>
                <w:szCs w:val="14"/>
              </w:rPr>
              <w:fldChar w:fldCharType="separate"/>
            </w:r>
            <w:r w:rsidRPr="004125CE">
              <w:rPr>
                <w:sz w:val="14"/>
              </w:rPr>
              <w:t>[65]</w:t>
            </w:r>
            <w:r w:rsidRPr="00BF62A1">
              <w:rPr>
                <w:color w:val="000000"/>
                <w:sz w:val="14"/>
                <w:szCs w:val="14"/>
              </w:rPr>
              <w:fldChar w:fldCharType="end"/>
            </w:r>
          </w:p>
        </w:tc>
        <w:tc>
          <w:tcPr>
            <w:tcW w:w="2973" w:type="dxa"/>
            <w:hideMark/>
          </w:tcPr>
          <w:p w14:paraId="1B9F9915" w14:textId="77777777" w:rsidR="000F0341" w:rsidRPr="00BF62A1" w:rsidRDefault="000F0341" w:rsidP="00E40B0D">
            <w:pPr>
              <w:spacing w:line="240" w:lineRule="auto"/>
              <w:jc w:val="left"/>
              <w:rPr>
                <w:color w:val="000000"/>
                <w:sz w:val="14"/>
                <w:szCs w:val="14"/>
              </w:rPr>
            </w:pPr>
            <w:r w:rsidRPr="00BF62A1">
              <w:rPr>
                <w:color w:val="000000"/>
                <w:sz w:val="14"/>
                <w:szCs w:val="14"/>
              </w:rPr>
              <w:t>Major hepatectomy (≥3 segments)</w:t>
            </w:r>
            <w:r w:rsidRPr="00BF62A1">
              <w:rPr>
                <w:color w:val="000000"/>
                <w:sz w:val="14"/>
                <w:szCs w:val="14"/>
              </w:rPr>
              <w:br/>
            </w:r>
          </w:p>
        </w:tc>
        <w:tc>
          <w:tcPr>
            <w:tcW w:w="1843" w:type="dxa"/>
          </w:tcPr>
          <w:p w14:paraId="54C07406" w14:textId="77777777" w:rsidR="000F0341" w:rsidRPr="00BF62A1" w:rsidRDefault="000F0341" w:rsidP="00E40B0D">
            <w:pPr>
              <w:spacing w:line="240" w:lineRule="auto"/>
              <w:jc w:val="left"/>
              <w:rPr>
                <w:color w:val="000000"/>
                <w:sz w:val="14"/>
                <w:szCs w:val="14"/>
              </w:rPr>
            </w:pPr>
            <w:r w:rsidRPr="00BF62A1">
              <w:rPr>
                <w:color w:val="000000"/>
                <w:sz w:val="14"/>
                <w:szCs w:val="14"/>
              </w:rPr>
              <w:t>422</w:t>
            </w:r>
            <w:r w:rsidRPr="00BF62A1">
              <w:rPr>
                <w:color w:val="000000"/>
                <w:sz w:val="14"/>
                <w:szCs w:val="14"/>
                <w:vertAlign w:val="superscript"/>
              </w:rPr>
              <w:t>a</w:t>
            </w:r>
            <w:r w:rsidRPr="00BF62A1">
              <w:rPr>
                <w:color w:val="000000"/>
                <w:sz w:val="14"/>
                <w:szCs w:val="14"/>
              </w:rPr>
              <w:t xml:space="preserve"> (21.8)</w:t>
            </w:r>
          </w:p>
        </w:tc>
        <w:tc>
          <w:tcPr>
            <w:tcW w:w="1984" w:type="dxa"/>
            <w:vMerge w:val="restart"/>
            <w:noWrap/>
            <w:hideMark/>
          </w:tcPr>
          <w:p w14:paraId="762FE943" w14:textId="77777777" w:rsidR="000F0341" w:rsidRPr="00BF62A1" w:rsidRDefault="000F0341" w:rsidP="00E40B0D">
            <w:pPr>
              <w:spacing w:line="240" w:lineRule="auto"/>
              <w:jc w:val="left"/>
              <w:rPr>
                <w:color w:val="000000"/>
                <w:sz w:val="14"/>
                <w:szCs w:val="14"/>
              </w:rPr>
            </w:pPr>
            <w:r w:rsidRPr="00BF62A1">
              <w:rPr>
                <w:color w:val="000000"/>
                <w:sz w:val="14"/>
                <w:szCs w:val="14"/>
              </w:rPr>
              <w:t>-</w:t>
            </w:r>
          </w:p>
        </w:tc>
        <w:tc>
          <w:tcPr>
            <w:tcW w:w="3119" w:type="dxa"/>
            <w:vMerge w:val="restart"/>
            <w:hideMark/>
          </w:tcPr>
          <w:p w14:paraId="27149C70" w14:textId="77777777" w:rsidR="000F0341" w:rsidRPr="00BF62A1" w:rsidRDefault="000F0341" w:rsidP="00E40B0D">
            <w:pPr>
              <w:spacing w:line="240" w:lineRule="auto"/>
              <w:jc w:val="left"/>
              <w:rPr>
                <w:color w:val="000000"/>
                <w:sz w:val="14"/>
                <w:szCs w:val="14"/>
              </w:rPr>
            </w:pPr>
            <w:r w:rsidRPr="00BF62A1">
              <w:rPr>
                <w:color w:val="000000"/>
                <w:sz w:val="14"/>
                <w:szCs w:val="14"/>
              </w:rPr>
              <w:t>Liver transplantation, diagnosis of combined primary neoplasms</w:t>
            </w:r>
          </w:p>
        </w:tc>
        <w:tc>
          <w:tcPr>
            <w:tcW w:w="3234" w:type="dxa"/>
            <w:vMerge w:val="restart"/>
            <w:hideMark/>
          </w:tcPr>
          <w:p w14:paraId="5CC23A25" w14:textId="77777777" w:rsidR="000F0341" w:rsidRPr="00BF62A1" w:rsidRDefault="000F0341" w:rsidP="00E40B0D">
            <w:pPr>
              <w:spacing w:line="240" w:lineRule="auto"/>
              <w:jc w:val="left"/>
              <w:rPr>
                <w:color w:val="000000"/>
                <w:sz w:val="14"/>
                <w:szCs w:val="14"/>
              </w:rPr>
            </w:pPr>
            <w:r>
              <w:rPr>
                <w:color w:val="000000"/>
                <w:sz w:val="14"/>
                <w:szCs w:val="14"/>
              </w:rPr>
              <w:t>A</w:t>
            </w:r>
            <w:r w:rsidRPr="00BF62A1">
              <w:rPr>
                <w:color w:val="000000"/>
                <w:sz w:val="14"/>
                <w:szCs w:val="14"/>
              </w:rPr>
              <w:t>ge &gt;70, cirrhosis, extent of resection, surgery type</w:t>
            </w:r>
          </w:p>
        </w:tc>
      </w:tr>
      <w:tr w:rsidR="000F0341" w:rsidRPr="00BF62A1" w14:paraId="7D073684" w14:textId="77777777" w:rsidTr="00E40B0D">
        <w:trPr>
          <w:trHeight w:val="153"/>
        </w:trPr>
        <w:tc>
          <w:tcPr>
            <w:tcW w:w="1422" w:type="dxa"/>
            <w:vMerge/>
            <w:tcBorders>
              <w:bottom w:val="single" w:sz="8" w:space="0" w:color="auto"/>
            </w:tcBorders>
          </w:tcPr>
          <w:p w14:paraId="2D465D9C"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7F820515" w14:textId="77777777" w:rsidR="000F0341" w:rsidRPr="00BF62A1" w:rsidRDefault="000F0341" w:rsidP="00E40B0D">
            <w:pPr>
              <w:spacing w:line="240" w:lineRule="auto"/>
              <w:jc w:val="left"/>
              <w:rPr>
                <w:color w:val="000000"/>
                <w:sz w:val="14"/>
                <w:szCs w:val="14"/>
              </w:rPr>
            </w:pPr>
            <w:r w:rsidRPr="00BF62A1">
              <w:rPr>
                <w:color w:val="000000"/>
                <w:sz w:val="14"/>
                <w:szCs w:val="14"/>
              </w:rPr>
              <w:t>Minor hepatectomy (&lt;3 segments)</w:t>
            </w:r>
          </w:p>
        </w:tc>
        <w:tc>
          <w:tcPr>
            <w:tcW w:w="1843" w:type="dxa"/>
            <w:tcBorders>
              <w:bottom w:val="single" w:sz="8" w:space="0" w:color="auto"/>
            </w:tcBorders>
          </w:tcPr>
          <w:p w14:paraId="3A09E78C" w14:textId="77777777" w:rsidR="000F0341" w:rsidRPr="00BF62A1" w:rsidRDefault="000F0341" w:rsidP="00E40B0D">
            <w:pPr>
              <w:spacing w:line="240" w:lineRule="auto"/>
              <w:jc w:val="left"/>
              <w:rPr>
                <w:color w:val="000000"/>
                <w:sz w:val="14"/>
                <w:szCs w:val="14"/>
              </w:rPr>
            </w:pPr>
            <w:r w:rsidRPr="00BF62A1">
              <w:rPr>
                <w:color w:val="000000"/>
                <w:sz w:val="14"/>
                <w:szCs w:val="14"/>
              </w:rPr>
              <w:t>1513</w:t>
            </w:r>
            <w:r w:rsidRPr="00BF62A1">
              <w:rPr>
                <w:color w:val="000000"/>
                <w:sz w:val="14"/>
                <w:szCs w:val="14"/>
                <w:vertAlign w:val="superscript"/>
              </w:rPr>
              <w:t>a</w:t>
            </w:r>
            <w:r w:rsidRPr="00BF62A1">
              <w:rPr>
                <w:color w:val="000000"/>
                <w:sz w:val="14"/>
                <w:szCs w:val="14"/>
              </w:rPr>
              <w:t xml:space="preserve"> (78.2)</w:t>
            </w:r>
          </w:p>
        </w:tc>
        <w:tc>
          <w:tcPr>
            <w:tcW w:w="1984" w:type="dxa"/>
            <w:vMerge/>
            <w:tcBorders>
              <w:bottom w:val="single" w:sz="8" w:space="0" w:color="auto"/>
            </w:tcBorders>
            <w:noWrap/>
          </w:tcPr>
          <w:p w14:paraId="2904B583"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34B4194A"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7C3AF649" w14:textId="77777777" w:rsidR="000F0341" w:rsidRPr="00BF62A1" w:rsidRDefault="000F0341" w:rsidP="00E40B0D">
            <w:pPr>
              <w:spacing w:line="240" w:lineRule="auto"/>
              <w:jc w:val="left"/>
              <w:rPr>
                <w:color w:val="000000"/>
                <w:sz w:val="14"/>
                <w:szCs w:val="14"/>
              </w:rPr>
            </w:pPr>
          </w:p>
        </w:tc>
      </w:tr>
      <w:tr w:rsidR="000F0341" w:rsidRPr="00BF62A1" w14:paraId="6DF3CE53" w14:textId="77777777" w:rsidTr="00E40B0D">
        <w:trPr>
          <w:trHeight w:val="160"/>
        </w:trPr>
        <w:tc>
          <w:tcPr>
            <w:tcW w:w="1422" w:type="dxa"/>
            <w:vMerge w:val="restart"/>
            <w:tcBorders>
              <w:top w:val="single" w:sz="8" w:space="0" w:color="auto"/>
            </w:tcBorders>
            <w:hideMark/>
          </w:tcPr>
          <w:p w14:paraId="18C36AA7" w14:textId="5A9E6581" w:rsidR="000F0341" w:rsidRPr="00BF62A1" w:rsidRDefault="000F0341" w:rsidP="00E40B0D">
            <w:pPr>
              <w:spacing w:line="240" w:lineRule="auto"/>
              <w:jc w:val="left"/>
              <w:rPr>
                <w:color w:val="000000"/>
                <w:sz w:val="14"/>
                <w:szCs w:val="14"/>
              </w:rPr>
            </w:pPr>
            <w:r w:rsidRPr="00BF62A1">
              <w:rPr>
                <w:color w:val="000000"/>
                <w:sz w:val="14"/>
                <w:szCs w:val="14"/>
              </w:rPr>
              <w:t xml:space="preserve">Beal 2019 </w:t>
            </w:r>
            <w:r w:rsidRPr="00BF62A1">
              <w:rPr>
                <w:color w:val="000000"/>
                <w:sz w:val="14"/>
                <w:szCs w:val="14"/>
              </w:rPr>
              <w:fldChar w:fldCharType="begin"/>
            </w:r>
            <w:r>
              <w:rPr>
                <w:color w:val="000000"/>
                <w:sz w:val="14"/>
                <w:szCs w:val="14"/>
              </w:rPr>
              <w:instrText xml:space="preserve"> ADDIN ZOTERO_ITEM CSL_CITATION {"citationID":"6K4hunaJ","properties":{"formattedCitation":"[87]","plainCitation":"[87]","noteIndex":0},"citationItems":[{"id":14211,"uris":["http://zotero.org/groups/4983919/items/683U76IA"],"itemData":{"id":14211,"type":"article-journal","abstract":"BACKGROUND: Data on the impact of hospital volume and travel distance on patient outcomes after major abdominal surgery remain poorly defined. We sought to characterize the relationship of travel distance, hospital volume, and long-term outcomes of patients undergoing surgical resection of hepatocellular carcinoma (HCC). METHODS: The 2004-2015 National Cancer Database was used to identify patients who underwent resection of HCC. Patients were stratified according to travel distance and hospital volume quartiles, and multivariable regression models were utilized to examine the impact of travel distance, hospital volume, and travel distance/hospital volume on overall survival (OS). RESULTS: Among the 12,266 patients identified, procedures included wedge/segmental resections (N = 7354, 59.9%), hemi-hepatectomy (N = 4003, 32.6%), and extended hepatectomy (N = 909, 7.5%). Stratifying data into quartiles, travel distance to surgical care was ≤ 5.7 miles (mi), &gt; 5.7-14.2 mi, &gt; 14.2-44.4 mi, and ≥ 44.4 mi, while hospital volume quartiles determined on the hospital level were ≤ 1 case per year, 1.1-4, 4.1-12.5, and ≥ 12.5. On multivariable analysis, increased hospital volume was associated with decreased hazard of mortality (HR 0.69, 95% CI 0.45-0.82, p &lt; 0.001). Travel distance was not significantly associated with hazard of mortality. Furthermore, only hospital volume was associated with mortality (HR 0.67, 95% CI 0.56-0.80, p &lt; 0.001) after controlling for both travel distance and hospital volume. CONCLUSIONS: Only hospital volume was associated with increased hazard of mortality. The benefits of undergoing resection for HCC at a high-volume hospital appear to outweigh the inconvenience of longer travel distances.","container-title":"J Gastrointest Surg","DOI":"10.1007/s11605-019-04233-w","ISSN":"1091-255x","issue":"7","language":"eng","note":"publisher-place: Department of Surgery, Division of Surgical Oncology, The Ohio State University Wexner Medical Center, 395 W. 12th Ave., Suite 670, Columbus, OH, USA. Department of Surgery, Division of Surgical Oncology, The Ohio State University Wexner Medical Center, 395 W. 12th Ave., Suite 670, Columbus, OH, USA. tim.pawlik@osumc.edu.","page":"1425-1434","title":"Outcomes After Resection of Hepatocellular Carcinoma: Intersection of Travel Distance and Hospital Volume","volume":"23","author":[{"family":"Beal","given":"E. W."},{"family":"Mehta","given":"R."},{"family":"Merath","given":"K."},{"family":"Tsilimigras","given":"D. I."},{"family":"Hyer","given":"J. M."},{"family":"Paredes","given":"A."},{"family":"Dillhoff","given":"M. E."},{"family":"Cloyd","given":"J."},{"family":"Ejaz","given":"A."},{"family":"Pawlik","given":"T. M."}],"issued":{"date-parts":[["2019",7]]}}}],"schema":"https://github.com/citation-style-language/schema/raw/master/csl-citation.json"} </w:instrText>
            </w:r>
            <w:r w:rsidRPr="00BF62A1">
              <w:rPr>
                <w:color w:val="000000"/>
                <w:sz w:val="14"/>
                <w:szCs w:val="14"/>
              </w:rPr>
              <w:fldChar w:fldCharType="separate"/>
            </w:r>
            <w:r w:rsidRPr="004125CE">
              <w:rPr>
                <w:sz w:val="14"/>
              </w:rPr>
              <w:t>[</w:t>
            </w:r>
            <w:r w:rsidR="00D03F0D">
              <w:rPr>
                <w:sz w:val="14"/>
              </w:rPr>
              <w:t>78</w:t>
            </w:r>
            <w:r w:rsidRPr="004125CE">
              <w:rPr>
                <w:sz w:val="14"/>
              </w:rPr>
              <w:t>]</w:t>
            </w:r>
            <w:r w:rsidRPr="00BF62A1">
              <w:rPr>
                <w:color w:val="000000"/>
                <w:sz w:val="14"/>
                <w:szCs w:val="14"/>
              </w:rPr>
              <w:fldChar w:fldCharType="end"/>
            </w:r>
          </w:p>
        </w:tc>
        <w:tc>
          <w:tcPr>
            <w:tcW w:w="2973" w:type="dxa"/>
            <w:tcBorders>
              <w:top w:val="single" w:sz="8" w:space="0" w:color="auto"/>
            </w:tcBorders>
            <w:hideMark/>
          </w:tcPr>
          <w:p w14:paraId="1BDF5685"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Wedge/segmental resection </w:t>
            </w:r>
            <w:r w:rsidRPr="00BF62A1">
              <w:rPr>
                <w:color w:val="000000"/>
                <w:sz w:val="14"/>
                <w:szCs w:val="14"/>
              </w:rPr>
              <w:br/>
            </w:r>
          </w:p>
        </w:tc>
        <w:tc>
          <w:tcPr>
            <w:tcW w:w="1843" w:type="dxa"/>
            <w:tcBorders>
              <w:top w:val="single" w:sz="8" w:space="0" w:color="auto"/>
            </w:tcBorders>
            <w:hideMark/>
          </w:tcPr>
          <w:p w14:paraId="6206FB97"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7354 (59.9) </w:t>
            </w:r>
          </w:p>
        </w:tc>
        <w:tc>
          <w:tcPr>
            <w:tcW w:w="1984" w:type="dxa"/>
            <w:vMerge w:val="restart"/>
            <w:tcBorders>
              <w:top w:val="single" w:sz="8" w:space="0" w:color="auto"/>
            </w:tcBorders>
            <w:noWrap/>
            <w:hideMark/>
          </w:tcPr>
          <w:p w14:paraId="40EEB070" w14:textId="77777777" w:rsidR="000F0341" w:rsidRPr="00BF62A1" w:rsidRDefault="000F0341" w:rsidP="00E40B0D">
            <w:pPr>
              <w:spacing w:line="240" w:lineRule="auto"/>
              <w:jc w:val="left"/>
              <w:rPr>
                <w:color w:val="000000"/>
                <w:sz w:val="14"/>
                <w:szCs w:val="14"/>
              </w:rPr>
            </w:pPr>
            <w:r w:rsidRPr="00BF62A1">
              <w:rPr>
                <w:color w:val="000000"/>
                <w:sz w:val="14"/>
                <w:szCs w:val="14"/>
              </w:rPr>
              <w:t>STORE codes: 20-59, 65-66 / ICD-O-3 8170; C22.0</w:t>
            </w:r>
          </w:p>
        </w:tc>
        <w:tc>
          <w:tcPr>
            <w:tcW w:w="3119" w:type="dxa"/>
            <w:vMerge w:val="restart"/>
            <w:tcBorders>
              <w:top w:val="single" w:sz="8" w:space="0" w:color="auto"/>
            </w:tcBorders>
            <w:hideMark/>
          </w:tcPr>
          <w:p w14:paraId="1FF397B3" w14:textId="77777777" w:rsidR="000F0341" w:rsidRPr="00BF62A1" w:rsidRDefault="000F0341" w:rsidP="00E40B0D">
            <w:pPr>
              <w:spacing w:line="240" w:lineRule="auto"/>
              <w:jc w:val="left"/>
              <w:rPr>
                <w:color w:val="000000"/>
                <w:sz w:val="14"/>
                <w:szCs w:val="14"/>
              </w:rPr>
            </w:pPr>
            <w:r w:rsidRPr="00BF62A1">
              <w:rPr>
                <w:color w:val="000000"/>
                <w:sz w:val="14"/>
                <w:szCs w:val="14"/>
              </w:rPr>
              <w:t>Fibrolamellar HCC and/or metastatic disease</w:t>
            </w:r>
          </w:p>
        </w:tc>
        <w:tc>
          <w:tcPr>
            <w:tcW w:w="3234" w:type="dxa"/>
            <w:vMerge w:val="restart"/>
            <w:tcBorders>
              <w:top w:val="single" w:sz="8" w:space="0" w:color="auto"/>
            </w:tcBorders>
            <w:hideMark/>
          </w:tcPr>
          <w:p w14:paraId="5F0F6DCA" w14:textId="77777777" w:rsidR="000F0341" w:rsidRPr="00BF62A1" w:rsidRDefault="000F0341" w:rsidP="00E40B0D">
            <w:pPr>
              <w:spacing w:line="240" w:lineRule="auto"/>
              <w:jc w:val="left"/>
              <w:rPr>
                <w:color w:val="000000"/>
                <w:sz w:val="14"/>
                <w:szCs w:val="14"/>
              </w:rPr>
            </w:pPr>
            <w:r>
              <w:rPr>
                <w:color w:val="000000"/>
                <w:sz w:val="14"/>
                <w:szCs w:val="14"/>
              </w:rPr>
              <w:t>A</w:t>
            </w:r>
            <w:r w:rsidRPr="00BF62A1">
              <w:rPr>
                <w:color w:val="000000"/>
                <w:sz w:val="14"/>
                <w:szCs w:val="14"/>
              </w:rPr>
              <w:t>ge, CCI, cN stage, ct, education, income, insurance, race, residence area, gender</w:t>
            </w:r>
          </w:p>
        </w:tc>
      </w:tr>
      <w:tr w:rsidR="000F0341" w:rsidRPr="00BF62A1" w14:paraId="19BE73C5" w14:textId="77777777" w:rsidTr="00E40B0D">
        <w:trPr>
          <w:trHeight w:val="160"/>
        </w:trPr>
        <w:tc>
          <w:tcPr>
            <w:tcW w:w="1422" w:type="dxa"/>
            <w:vMerge/>
          </w:tcPr>
          <w:p w14:paraId="3D3F2E3A" w14:textId="77777777" w:rsidR="000F0341" w:rsidRPr="00BF62A1" w:rsidRDefault="000F0341" w:rsidP="00E40B0D">
            <w:pPr>
              <w:spacing w:line="240" w:lineRule="auto"/>
              <w:jc w:val="left"/>
              <w:rPr>
                <w:color w:val="000000"/>
                <w:sz w:val="14"/>
                <w:szCs w:val="14"/>
              </w:rPr>
            </w:pPr>
          </w:p>
        </w:tc>
        <w:tc>
          <w:tcPr>
            <w:tcW w:w="2973" w:type="dxa"/>
          </w:tcPr>
          <w:p w14:paraId="3BDD4C73" w14:textId="77777777" w:rsidR="000F0341" w:rsidRPr="00BF62A1" w:rsidRDefault="000F0341" w:rsidP="00E40B0D">
            <w:pPr>
              <w:spacing w:line="240" w:lineRule="auto"/>
              <w:jc w:val="left"/>
              <w:rPr>
                <w:color w:val="000000"/>
                <w:sz w:val="14"/>
                <w:szCs w:val="14"/>
              </w:rPr>
            </w:pPr>
            <w:r w:rsidRPr="00BF62A1">
              <w:rPr>
                <w:color w:val="000000"/>
                <w:sz w:val="14"/>
                <w:szCs w:val="14"/>
              </w:rPr>
              <w:t>Hemihepatectomy</w:t>
            </w:r>
          </w:p>
        </w:tc>
        <w:tc>
          <w:tcPr>
            <w:tcW w:w="1843" w:type="dxa"/>
          </w:tcPr>
          <w:p w14:paraId="33CAA867" w14:textId="77777777" w:rsidR="000F0341" w:rsidRPr="00BF62A1" w:rsidRDefault="000F0341" w:rsidP="00E40B0D">
            <w:pPr>
              <w:spacing w:line="240" w:lineRule="auto"/>
              <w:jc w:val="left"/>
              <w:rPr>
                <w:color w:val="000000"/>
                <w:sz w:val="14"/>
                <w:szCs w:val="14"/>
              </w:rPr>
            </w:pPr>
            <w:r w:rsidRPr="00BF62A1">
              <w:rPr>
                <w:color w:val="000000"/>
                <w:sz w:val="14"/>
                <w:szCs w:val="14"/>
              </w:rPr>
              <w:t>4003 (32.6)</w:t>
            </w:r>
          </w:p>
        </w:tc>
        <w:tc>
          <w:tcPr>
            <w:tcW w:w="1984" w:type="dxa"/>
            <w:vMerge/>
            <w:noWrap/>
          </w:tcPr>
          <w:p w14:paraId="00AB3BFB" w14:textId="77777777" w:rsidR="000F0341" w:rsidRPr="00BF62A1" w:rsidRDefault="000F0341" w:rsidP="00E40B0D">
            <w:pPr>
              <w:spacing w:line="240" w:lineRule="auto"/>
              <w:jc w:val="left"/>
              <w:rPr>
                <w:color w:val="000000"/>
                <w:sz w:val="14"/>
                <w:szCs w:val="14"/>
              </w:rPr>
            </w:pPr>
          </w:p>
        </w:tc>
        <w:tc>
          <w:tcPr>
            <w:tcW w:w="3119" w:type="dxa"/>
            <w:vMerge/>
          </w:tcPr>
          <w:p w14:paraId="4428C761" w14:textId="77777777" w:rsidR="000F0341" w:rsidRPr="00BF62A1" w:rsidRDefault="000F0341" w:rsidP="00E40B0D">
            <w:pPr>
              <w:spacing w:line="240" w:lineRule="auto"/>
              <w:jc w:val="left"/>
              <w:rPr>
                <w:color w:val="000000"/>
                <w:sz w:val="14"/>
                <w:szCs w:val="14"/>
              </w:rPr>
            </w:pPr>
          </w:p>
        </w:tc>
        <w:tc>
          <w:tcPr>
            <w:tcW w:w="3234" w:type="dxa"/>
            <w:vMerge/>
          </w:tcPr>
          <w:p w14:paraId="6B759ABF" w14:textId="77777777" w:rsidR="000F0341" w:rsidRPr="00BF62A1" w:rsidRDefault="000F0341" w:rsidP="00E40B0D">
            <w:pPr>
              <w:spacing w:line="240" w:lineRule="auto"/>
              <w:jc w:val="left"/>
              <w:rPr>
                <w:color w:val="000000"/>
                <w:sz w:val="14"/>
                <w:szCs w:val="14"/>
              </w:rPr>
            </w:pPr>
          </w:p>
        </w:tc>
      </w:tr>
      <w:tr w:rsidR="000F0341" w:rsidRPr="00BF62A1" w14:paraId="08B5A08E" w14:textId="77777777" w:rsidTr="00E40B0D">
        <w:trPr>
          <w:trHeight w:val="160"/>
        </w:trPr>
        <w:tc>
          <w:tcPr>
            <w:tcW w:w="1422" w:type="dxa"/>
            <w:vMerge/>
            <w:tcBorders>
              <w:bottom w:val="single" w:sz="8" w:space="0" w:color="auto"/>
            </w:tcBorders>
          </w:tcPr>
          <w:p w14:paraId="3A6C1313"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5F2496D1" w14:textId="77777777" w:rsidR="000F0341" w:rsidRPr="00BF62A1" w:rsidRDefault="000F0341" w:rsidP="00E40B0D">
            <w:pPr>
              <w:spacing w:line="240" w:lineRule="auto"/>
              <w:jc w:val="left"/>
              <w:rPr>
                <w:color w:val="000000"/>
                <w:sz w:val="14"/>
                <w:szCs w:val="14"/>
              </w:rPr>
            </w:pPr>
            <w:r w:rsidRPr="00BF62A1">
              <w:rPr>
                <w:color w:val="000000"/>
                <w:sz w:val="14"/>
                <w:szCs w:val="14"/>
              </w:rPr>
              <w:t>Extended hepatectomy</w:t>
            </w:r>
          </w:p>
        </w:tc>
        <w:tc>
          <w:tcPr>
            <w:tcW w:w="1843" w:type="dxa"/>
            <w:tcBorders>
              <w:bottom w:val="single" w:sz="8" w:space="0" w:color="auto"/>
            </w:tcBorders>
          </w:tcPr>
          <w:p w14:paraId="19BAC4BE" w14:textId="77777777" w:rsidR="000F0341" w:rsidRPr="00BF62A1" w:rsidRDefault="000F0341" w:rsidP="00E40B0D">
            <w:pPr>
              <w:spacing w:line="240" w:lineRule="auto"/>
              <w:jc w:val="left"/>
              <w:rPr>
                <w:color w:val="000000"/>
                <w:sz w:val="14"/>
                <w:szCs w:val="14"/>
              </w:rPr>
            </w:pPr>
            <w:r w:rsidRPr="00BF62A1">
              <w:rPr>
                <w:color w:val="000000"/>
                <w:sz w:val="14"/>
                <w:szCs w:val="14"/>
              </w:rPr>
              <w:t>909 (7.5)</w:t>
            </w:r>
          </w:p>
        </w:tc>
        <w:tc>
          <w:tcPr>
            <w:tcW w:w="1984" w:type="dxa"/>
            <w:vMerge/>
            <w:tcBorders>
              <w:bottom w:val="single" w:sz="8" w:space="0" w:color="auto"/>
            </w:tcBorders>
            <w:noWrap/>
          </w:tcPr>
          <w:p w14:paraId="2D1A6752"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68FA7467"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6B50756C" w14:textId="77777777" w:rsidR="000F0341" w:rsidRPr="00BF62A1" w:rsidRDefault="000F0341" w:rsidP="00E40B0D">
            <w:pPr>
              <w:spacing w:line="240" w:lineRule="auto"/>
              <w:jc w:val="left"/>
              <w:rPr>
                <w:color w:val="000000"/>
                <w:sz w:val="14"/>
                <w:szCs w:val="14"/>
              </w:rPr>
            </w:pPr>
          </w:p>
        </w:tc>
      </w:tr>
      <w:tr w:rsidR="000F0341" w:rsidRPr="00BF62A1" w14:paraId="1C63C30D" w14:textId="77777777" w:rsidTr="00E40B0D">
        <w:trPr>
          <w:trHeight w:val="93"/>
        </w:trPr>
        <w:tc>
          <w:tcPr>
            <w:tcW w:w="1422" w:type="dxa"/>
            <w:vMerge w:val="restart"/>
            <w:tcBorders>
              <w:top w:val="single" w:sz="8" w:space="0" w:color="auto"/>
            </w:tcBorders>
            <w:hideMark/>
          </w:tcPr>
          <w:p w14:paraId="3ADD25DA" w14:textId="2207E2FE" w:rsidR="000F0341" w:rsidRPr="00BF62A1" w:rsidRDefault="000F0341" w:rsidP="00E40B0D">
            <w:pPr>
              <w:spacing w:line="240" w:lineRule="auto"/>
              <w:jc w:val="left"/>
              <w:rPr>
                <w:color w:val="000000"/>
                <w:sz w:val="14"/>
                <w:szCs w:val="14"/>
              </w:rPr>
            </w:pPr>
            <w:r w:rsidRPr="00BF62A1">
              <w:rPr>
                <w:color w:val="000000"/>
                <w:sz w:val="14"/>
                <w:szCs w:val="14"/>
              </w:rPr>
              <w:t xml:space="preserve">Buettner 2016 </w:t>
            </w:r>
            <w:r w:rsidRPr="00BF62A1">
              <w:rPr>
                <w:color w:val="000000"/>
                <w:sz w:val="14"/>
                <w:szCs w:val="14"/>
              </w:rPr>
              <w:fldChar w:fldCharType="begin"/>
            </w:r>
            <w:r>
              <w:rPr>
                <w:color w:val="000000"/>
                <w:sz w:val="14"/>
                <w:szCs w:val="14"/>
              </w:rPr>
              <w:instrText xml:space="preserve"> ADDIN ZOTERO_ITEM CSL_CITATION {"citationID":"iz2s4bO7","properties":{"formattedCitation":"[89]","plainCitation":"[89]","noteIndex":0},"citationItems":[{"id":14336,"uris":["http://zotero.org/groups/4983919/items/X7K5DKAZ"],"itemData":{"id":14336,"type":"article-journal","abstract":"BACKGROUND: Although previous reports have focused on factors at the hospital level to explain variations in postoperative outcomes, less is known regarding the effect of provider-specific factors on postoperative outcomes such as failure-to-rescue (FTR) and postoperative mortality. The current study aimed to quantify the relative contributions of surgeon and hospital volume on the volume-outcomes relationship among a cohort of patients undergoing liver resection. METHODS: Patients undergoing liver surgery for cancer were identified using the Nationwide Inpatient Sample from 2001 and 2009. Multivariable logistic regression analysis was performed to identify factors associated with mortality and FTR. Point estimates were used to calculate the relative effects of hospital and surgeon volume on mortality and FTR. RESULTS: A total of 5,075 patients underwent liver surgery and met inclusion criteria. Median patient age was 62 years (interquartile range, 52-70) and 55.2% of patients were male. Mortality was lowest among patients treated at high-volume hospitals and among patients treated by high-volume surgeons (both P &lt; .001). Similar patterns in FTR were noted relative to hospital and surgeon volume (hospital volume: low vs intermediate vs high; 10.3 vs 9.0 vs 5.2%; surgeon volume: low vs intermediate vs high, 11.1 vs 9.1 vs 4.1%; both P &lt; .05). On multivariable analysis, compared with high-volume surgeons, lower volume surgeons demonstrated greater odds for mortality (intermediate: odds ratio [OR], 2.27 [95% CI, 1.27-4.06; P = .006]; low, OR, 2.83 [95% CI, 1.52-5.27; P = .001]), and FTR (intermediate: OR, 2.86 [95% CI, 1.53-5.34, P = .001]; low, OR, 3.40 [95% CI, 1.75-6.63; P &lt; .001]). While hospital volume accounted for 0.5% of the surgeon volume effect on increased FTR for low-volume surgeons, surgeon volume accounted for nearly all of the hospital volume effect on increased FTR in low-volume hospitals. CONCLUSION: The risk of complications, mortality, and FTR were less among both high-volume hospitals and high-volume surgeons, but the beneficial effect of volume on outcomes was attributable largely to surgeon volume.","container-title":"Surgery","DOI":"10.1016/j.surg.2015.10.025","ISSN":"0039-6060","issue":"4","language":"eng","page":"1004-12","title":"The relative effect of hospital and surgeon volume on failure to rescue among patients undergoing liver resection for cancer","volume":"159","author":[{"family":"Buettner","given":"S."},{"family":"Gani","given":"F."},{"family":"Amini","given":"N."},{"family":"Spolverato","given":"G."},{"family":"Kim","given":"Y."},{"family":"Kilic","given":"A."},{"family":"Wagner","given":"D."},{"family":"Pawlik","given":"T. M."}],"issued":{"date-parts":[["2016",4]]}}}],"schema":"https://github.com/citation-style-language/schema/raw/master/csl-citation.json"} </w:instrText>
            </w:r>
            <w:r w:rsidRPr="00BF62A1">
              <w:rPr>
                <w:color w:val="000000"/>
                <w:sz w:val="14"/>
                <w:szCs w:val="14"/>
              </w:rPr>
              <w:fldChar w:fldCharType="separate"/>
            </w:r>
            <w:r w:rsidRPr="004125CE">
              <w:rPr>
                <w:sz w:val="14"/>
              </w:rPr>
              <w:t>[</w:t>
            </w:r>
            <w:r w:rsidR="00D03F0D">
              <w:rPr>
                <w:sz w:val="14"/>
              </w:rPr>
              <w:t>80</w:t>
            </w:r>
            <w:r w:rsidRPr="004125CE">
              <w:rPr>
                <w:sz w:val="14"/>
              </w:rPr>
              <w:t>]</w:t>
            </w:r>
            <w:r w:rsidRPr="00BF62A1">
              <w:rPr>
                <w:color w:val="000000"/>
                <w:sz w:val="14"/>
                <w:szCs w:val="14"/>
              </w:rPr>
              <w:fldChar w:fldCharType="end"/>
            </w:r>
          </w:p>
        </w:tc>
        <w:tc>
          <w:tcPr>
            <w:tcW w:w="2973" w:type="dxa"/>
            <w:tcBorders>
              <w:top w:val="single" w:sz="8" w:space="0" w:color="auto"/>
            </w:tcBorders>
            <w:hideMark/>
          </w:tcPr>
          <w:p w14:paraId="5101F3DC"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Lobectomy </w:t>
            </w:r>
          </w:p>
        </w:tc>
        <w:tc>
          <w:tcPr>
            <w:tcW w:w="1843" w:type="dxa"/>
            <w:tcBorders>
              <w:top w:val="single" w:sz="8" w:space="0" w:color="auto"/>
            </w:tcBorders>
            <w:hideMark/>
          </w:tcPr>
          <w:p w14:paraId="52F52CB1" w14:textId="77777777" w:rsidR="000F0341" w:rsidRPr="00BF62A1" w:rsidRDefault="000F0341" w:rsidP="00E40B0D">
            <w:pPr>
              <w:spacing w:line="240" w:lineRule="auto"/>
              <w:jc w:val="left"/>
              <w:rPr>
                <w:color w:val="000000"/>
                <w:sz w:val="14"/>
                <w:szCs w:val="14"/>
              </w:rPr>
            </w:pPr>
            <w:r w:rsidRPr="00BF62A1">
              <w:rPr>
                <w:color w:val="000000"/>
                <w:sz w:val="14"/>
                <w:szCs w:val="14"/>
              </w:rPr>
              <w:t>1978 (39.0)</w:t>
            </w:r>
            <w:r w:rsidRPr="00BF62A1">
              <w:rPr>
                <w:color w:val="000000"/>
                <w:sz w:val="14"/>
                <w:szCs w:val="14"/>
              </w:rPr>
              <w:br/>
            </w:r>
          </w:p>
        </w:tc>
        <w:tc>
          <w:tcPr>
            <w:tcW w:w="1984" w:type="dxa"/>
            <w:vMerge w:val="restart"/>
            <w:tcBorders>
              <w:top w:val="single" w:sz="8" w:space="0" w:color="auto"/>
            </w:tcBorders>
            <w:hideMark/>
          </w:tcPr>
          <w:p w14:paraId="22C0601D" w14:textId="77777777" w:rsidR="000F0341" w:rsidRPr="00BF62A1" w:rsidRDefault="000F0341" w:rsidP="00E40B0D">
            <w:pPr>
              <w:spacing w:line="240" w:lineRule="auto"/>
              <w:jc w:val="left"/>
              <w:rPr>
                <w:color w:val="000000"/>
                <w:sz w:val="14"/>
                <w:szCs w:val="14"/>
              </w:rPr>
            </w:pPr>
            <w:r w:rsidRPr="00BF62A1">
              <w:rPr>
                <w:color w:val="000000"/>
                <w:sz w:val="14"/>
                <w:szCs w:val="14"/>
              </w:rPr>
              <w:t>ICD-9-CM: 50.3, 50.22./ 155.0; 199.7</w:t>
            </w:r>
          </w:p>
        </w:tc>
        <w:tc>
          <w:tcPr>
            <w:tcW w:w="3119" w:type="dxa"/>
            <w:vMerge w:val="restart"/>
            <w:tcBorders>
              <w:top w:val="single" w:sz="8" w:space="0" w:color="auto"/>
            </w:tcBorders>
            <w:hideMark/>
          </w:tcPr>
          <w:p w14:paraId="4933FBE5" w14:textId="77777777" w:rsidR="000F0341" w:rsidRPr="00BF62A1" w:rsidRDefault="000F0341" w:rsidP="00E40B0D">
            <w:pPr>
              <w:spacing w:line="240" w:lineRule="auto"/>
              <w:jc w:val="left"/>
              <w:rPr>
                <w:color w:val="000000"/>
                <w:sz w:val="14"/>
                <w:szCs w:val="14"/>
              </w:rPr>
            </w:pPr>
            <w:r>
              <w:rPr>
                <w:color w:val="000000"/>
                <w:sz w:val="14"/>
                <w:szCs w:val="14"/>
              </w:rPr>
              <w:t>P</w:t>
            </w:r>
            <w:r w:rsidRPr="00BF62A1">
              <w:rPr>
                <w:color w:val="000000"/>
                <w:sz w:val="14"/>
                <w:szCs w:val="14"/>
              </w:rPr>
              <w:t>atient records with missing information on hospital and surgeon identifier</w:t>
            </w:r>
          </w:p>
        </w:tc>
        <w:tc>
          <w:tcPr>
            <w:tcW w:w="3234" w:type="dxa"/>
            <w:vMerge w:val="restart"/>
            <w:tcBorders>
              <w:top w:val="single" w:sz="8" w:space="0" w:color="auto"/>
            </w:tcBorders>
            <w:hideMark/>
          </w:tcPr>
          <w:p w14:paraId="6A536558" w14:textId="77777777" w:rsidR="000F0341" w:rsidRPr="00BF62A1" w:rsidRDefault="000F0341" w:rsidP="00E40B0D">
            <w:pPr>
              <w:spacing w:line="240" w:lineRule="auto"/>
              <w:jc w:val="left"/>
              <w:rPr>
                <w:color w:val="000000"/>
                <w:sz w:val="14"/>
                <w:szCs w:val="14"/>
              </w:rPr>
            </w:pPr>
            <w:r>
              <w:rPr>
                <w:color w:val="000000"/>
                <w:sz w:val="14"/>
                <w:szCs w:val="14"/>
              </w:rPr>
              <w:t>A</w:t>
            </w:r>
            <w:r w:rsidRPr="00BF62A1">
              <w:rPr>
                <w:color w:val="000000"/>
                <w:sz w:val="14"/>
                <w:szCs w:val="14"/>
              </w:rPr>
              <w:t>ge, emergency admission, facility type, hospital/surgeon volume, insurance, gender, surgery type, year of treatment</w:t>
            </w:r>
          </w:p>
        </w:tc>
      </w:tr>
      <w:tr w:rsidR="000F0341" w:rsidRPr="00BF62A1" w14:paraId="4400AEEE" w14:textId="77777777" w:rsidTr="00E40B0D">
        <w:trPr>
          <w:trHeight w:val="151"/>
        </w:trPr>
        <w:tc>
          <w:tcPr>
            <w:tcW w:w="1422" w:type="dxa"/>
            <w:vMerge/>
            <w:tcBorders>
              <w:bottom w:val="single" w:sz="8" w:space="0" w:color="auto"/>
            </w:tcBorders>
          </w:tcPr>
          <w:p w14:paraId="3A3E9AA5"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0EBF8C61" w14:textId="77777777" w:rsidR="000F0341" w:rsidRPr="00BF62A1" w:rsidRDefault="000F0341" w:rsidP="00E40B0D">
            <w:pPr>
              <w:spacing w:line="240" w:lineRule="auto"/>
              <w:jc w:val="left"/>
              <w:rPr>
                <w:color w:val="000000"/>
                <w:sz w:val="14"/>
                <w:szCs w:val="14"/>
              </w:rPr>
            </w:pPr>
            <w:r w:rsidRPr="00BF62A1">
              <w:rPr>
                <w:color w:val="000000"/>
                <w:sz w:val="14"/>
                <w:szCs w:val="14"/>
              </w:rPr>
              <w:t>Partial hepatectomy</w:t>
            </w:r>
          </w:p>
        </w:tc>
        <w:tc>
          <w:tcPr>
            <w:tcW w:w="1843" w:type="dxa"/>
            <w:tcBorders>
              <w:bottom w:val="single" w:sz="8" w:space="0" w:color="auto"/>
            </w:tcBorders>
          </w:tcPr>
          <w:p w14:paraId="65790FF2" w14:textId="77777777" w:rsidR="000F0341" w:rsidRPr="00BF62A1" w:rsidRDefault="000F0341" w:rsidP="00E40B0D">
            <w:pPr>
              <w:spacing w:line="240" w:lineRule="auto"/>
              <w:jc w:val="left"/>
              <w:rPr>
                <w:color w:val="000000"/>
                <w:sz w:val="14"/>
                <w:szCs w:val="14"/>
              </w:rPr>
            </w:pPr>
            <w:r w:rsidRPr="00BF62A1">
              <w:rPr>
                <w:color w:val="000000"/>
                <w:sz w:val="14"/>
                <w:szCs w:val="14"/>
              </w:rPr>
              <w:t>3097 (61.0)</w:t>
            </w:r>
          </w:p>
        </w:tc>
        <w:tc>
          <w:tcPr>
            <w:tcW w:w="1984" w:type="dxa"/>
            <w:vMerge/>
            <w:tcBorders>
              <w:bottom w:val="single" w:sz="8" w:space="0" w:color="auto"/>
            </w:tcBorders>
          </w:tcPr>
          <w:p w14:paraId="7065A548"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0682AA5B"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5DCE0773" w14:textId="77777777" w:rsidR="000F0341" w:rsidRPr="00BF62A1" w:rsidRDefault="000F0341" w:rsidP="00E40B0D">
            <w:pPr>
              <w:spacing w:line="240" w:lineRule="auto"/>
              <w:jc w:val="left"/>
              <w:rPr>
                <w:color w:val="000000"/>
                <w:sz w:val="14"/>
                <w:szCs w:val="14"/>
              </w:rPr>
            </w:pPr>
          </w:p>
        </w:tc>
      </w:tr>
      <w:tr w:rsidR="000F0341" w:rsidRPr="00BF62A1" w14:paraId="3D4020AE" w14:textId="77777777" w:rsidTr="00E40B0D">
        <w:trPr>
          <w:trHeight w:val="253"/>
        </w:trPr>
        <w:tc>
          <w:tcPr>
            <w:tcW w:w="1422" w:type="dxa"/>
            <w:vMerge w:val="restart"/>
            <w:tcBorders>
              <w:top w:val="single" w:sz="8" w:space="0" w:color="auto"/>
            </w:tcBorders>
            <w:hideMark/>
          </w:tcPr>
          <w:p w14:paraId="6943A65E"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Chang 2014 </w:t>
            </w:r>
            <w:r w:rsidRPr="00BF62A1">
              <w:rPr>
                <w:color w:val="000000"/>
                <w:sz w:val="14"/>
                <w:szCs w:val="14"/>
              </w:rPr>
              <w:fldChar w:fldCharType="begin"/>
            </w:r>
            <w:r>
              <w:rPr>
                <w:color w:val="000000"/>
                <w:sz w:val="14"/>
                <w:szCs w:val="14"/>
              </w:rPr>
              <w:instrText xml:space="preserve"> ADDIN ZOTERO_ITEM CSL_CITATION {"citationID":"EB19J2cA","properties":{"formattedCitation":"[63]","plainCitation":"[63]","noteIndex":0},"citationItems":[{"id":14205,"uris":["http://zotero.org/groups/4983919/items/TRPKDPX6"],"itemData":{"id":14205,"type":"article-journal","abstract":"BACKGROUND: The influence of different hospital and surgeon volumes on short-term survival after hepatic resection is not clearly clarified. By taking the known prognostic factors into account, the purpose of this study is to assess the combined effects of hospital and surgeon volume on short-term survival after hepatic resection. METHODS: 13,159 patients who underwent hepatic resection between 2002 and 2006 were identified in the Taiwan National Health Insurance Research Database. Data were extracted from it and short-term survivals were confirmed through 2006. The Cox proportional hazards model was used to assess the relationship between survival and different hospital, surgeon volume and caseload combinations. RESULTS: High-volume surgeons in high-volume hospitals had the highest short-term survivals, following by high-volume surgeons in low-volume hospitals, low-volume surgeons in high-volume hospitals and low-volume surgeons in low-volume hospitals. Based on Cox proportional hazard models, although high-volume hospitals and surgeons both showed significant lower risks of short-term mortality at hospital and surgeon level analysis, after combining hospital and surgeon volume into account, high-volume surgeons in high-volume hospitals had significantly better outcomes; the hazard ratio of other three caseload combinations ranging from 1.66 to 2.08 (p&lt;0.001) in 3-month mortality, and 1.28 to 1.58 (p&lt;0.01) in 1-year mortality. CONCLUSIONS: The combined effects of hospital and surgeon volume influenced the short-term survival after hepatic resection largely. After adjusting for the prognostic factors in the case mix, high-volume surgeons in high-volume hospitals had better short-term survivals. Centralization of hepatic resection to few surgeons and hospitals might improve patients' prognosis.","container-title":"PLoS One","DOI":"10.1371/journal.pone.0086444","ISSN":"1932-6203","issue":"1","language":"eng","note":"publisher-place: Department of Surgery, Buddhist Dalin Tzu Chi General Hospital, Chiayi, Taiwan ; School of Medicine, Tzu Chi University, Hualian, Taiwan. Department of Otolaryngology, Buddhist Dalin Tzu Chi General Hospital, Chiayi, Taiwan ; Center for Clinical Epidemiology and Biostatistics, Buddhist Dalin Tzu Chi General Hospital, Chiayi, Taiwan ; School of Medicine, Tzu Chi University, Hualian, Taiwan.","page":"e86444","title":"The combined effects of hospital and surgeon volume on short-term survival after hepatic resection in a population-based study","volume":"9","author":[{"family":"Chang","given":"C. M."},{"family":"Yin","given":"W. Y."},{"family":"Wei","given":"C. K."},{"family":"Lee","given":"C. H."},{"family":"Lee","given":"C. C."}],"issued":{"date-parts":[["2014"]]}}}],"schema":"https://github.com/citation-style-language/schema/raw/master/csl-citation.json"} </w:instrText>
            </w:r>
            <w:r w:rsidRPr="00BF62A1">
              <w:rPr>
                <w:color w:val="000000"/>
                <w:sz w:val="14"/>
                <w:szCs w:val="14"/>
              </w:rPr>
              <w:fldChar w:fldCharType="separate"/>
            </w:r>
            <w:r w:rsidRPr="004125CE">
              <w:rPr>
                <w:sz w:val="14"/>
              </w:rPr>
              <w:t>[63]</w:t>
            </w:r>
            <w:r w:rsidRPr="00BF62A1">
              <w:rPr>
                <w:color w:val="000000"/>
                <w:sz w:val="14"/>
                <w:szCs w:val="14"/>
              </w:rPr>
              <w:fldChar w:fldCharType="end"/>
            </w:r>
          </w:p>
        </w:tc>
        <w:tc>
          <w:tcPr>
            <w:tcW w:w="2973" w:type="dxa"/>
            <w:tcBorders>
              <w:top w:val="single" w:sz="8" w:space="0" w:color="auto"/>
            </w:tcBorders>
            <w:hideMark/>
          </w:tcPr>
          <w:p w14:paraId="6352500B" w14:textId="77777777" w:rsidR="000F0341" w:rsidRPr="00BF62A1" w:rsidRDefault="000F0341" w:rsidP="00E40B0D">
            <w:pPr>
              <w:spacing w:line="240" w:lineRule="auto"/>
              <w:jc w:val="left"/>
              <w:rPr>
                <w:color w:val="000000"/>
                <w:sz w:val="14"/>
                <w:szCs w:val="14"/>
              </w:rPr>
            </w:pPr>
            <w:r w:rsidRPr="00BF62A1">
              <w:rPr>
                <w:color w:val="000000"/>
                <w:sz w:val="14"/>
                <w:szCs w:val="14"/>
              </w:rPr>
              <w:t>Major: lobectomy or more</w:t>
            </w:r>
            <w:r w:rsidRPr="00BF62A1">
              <w:rPr>
                <w:color w:val="000000"/>
                <w:sz w:val="14"/>
                <w:szCs w:val="14"/>
              </w:rPr>
              <w:br/>
            </w:r>
          </w:p>
        </w:tc>
        <w:tc>
          <w:tcPr>
            <w:tcW w:w="1843" w:type="dxa"/>
            <w:tcBorders>
              <w:top w:val="single" w:sz="8" w:space="0" w:color="auto"/>
            </w:tcBorders>
            <w:hideMark/>
          </w:tcPr>
          <w:p w14:paraId="67D5A56A" w14:textId="77777777" w:rsidR="000F0341" w:rsidRPr="00BF62A1" w:rsidRDefault="000F0341" w:rsidP="00E40B0D">
            <w:pPr>
              <w:spacing w:line="240" w:lineRule="auto"/>
              <w:jc w:val="left"/>
              <w:rPr>
                <w:color w:val="000000"/>
                <w:sz w:val="14"/>
                <w:szCs w:val="14"/>
              </w:rPr>
            </w:pPr>
            <w:r w:rsidRPr="00BF62A1">
              <w:rPr>
                <w:color w:val="000000"/>
                <w:sz w:val="14"/>
                <w:szCs w:val="14"/>
              </w:rPr>
              <w:t>3370 (25.6)</w:t>
            </w:r>
            <w:r w:rsidRPr="00BF62A1">
              <w:rPr>
                <w:color w:val="000000"/>
                <w:sz w:val="14"/>
                <w:szCs w:val="14"/>
              </w:rPr>
              <w:br/>
            </w:r>
          </w:p>
        </w:tc>
        <w:tc>
          <w:tcPr>
            <w:tcW w:w="1984" w:type="dxa"/>
            <w:vMerge w:val="restart"/>
            <w:tcBorders>
              <w:top w:val="single" w:sz="8" w:space="0" w:color="auto"/>
            </w:tcBorders>
            <w:noWrap/>
            <w:hideMark/>
          </w:tcPr>
          <w:p w14:paraId="0A37B12C" w14:textId="77777777" w:rsidR="000F0341" w:rsidRPr="00BF62A1" w:rsidRDefault="000F0341" w:rsidP="00E40B0D">
            <w:pPr>
              <w:spacing w:line="240" w:lineRule="auto"/>
              <w:jc w:val="left"/>
              <w:rPr>
                <w:color w:val="000000"/>
                <w:sz w:val="14"/>
                <w:szCs w:val="14"/>
              </w:rPr>
            </w:pPr>
            <w:r w:rsidRPr="00BF62A1">
              <w:rPr>
                <w:color w:val="000000"/>
                <w:sz w:val="14"/>
                <w:szCs w:val="14"/>
              </w:rPr>
              <w:t>-</w:t>
            </w:r>
          </w:p>
        </w:tc>
        <w:tc>
          <w:tcPr>
            <w:tcW w:w="3119" w:type="dxa"/>
            <w:vMerge w:val="restart"/>
            <w:tcBorders>
              <w:top w:val="single" w:sz="8" w:space="0" w:color="auto"/>
            </w:tcBorders>
            <w:hideMark/>
          </w:tcPr>
          <w:p w14:paraId="15949A69" w14:textId="77777777" w:rsidR="000F0341" w:rsidRPr="00BF62A1" w:rsidRDefault="000F0341" w:rsidP="00E40B0D">
            <w:pPr>
              <w:spacing w:line="240" w:lineRule="auto"/>
              <w:jc w:val="left"/>
              <w:rPr>
                <w:color w:val="000000"/>
                <w:sz w:val="14"/>
                <w:szCs w:val="14"/>
              </w:rPr>
            </w:pPr>
            <w:r w:rsidRPr="00BF62A1">
              <w:rPr>
                <w:color w:val="000000"/>
                <w:sz w:val="14"/>
                <w:szCs w:val="14"/>
              </w:rPr>
              <w:t>-</w:t>
            </w:r>
          </w:p>
        </w:tc>
        <w:tc>
          <w:tcPr>
            <w:tcW w:w="3234" w:type="dxa"/>
            <w:vMerge w:val="restart"/>
            <w:tcBorders>
              <w:top w:val="single" w:sz="8" w:space="0" w:color="auto"/>
            </w:tcBorders>
            <w:hideMark/>
          </w:tcPr>
          <w:p w14:paraId="00F4752E" w14:textId="77777777" w:rsidR="000F0341" w:rsidRPr="00BF62A1" w:rsidRDefault="000F0341" w:rsidP="00E40B0D">
            <w:pPr>
              <w:spacing w:line="240" w:lineRule="auto"/>
              <w:jc w:val="left"/>
              <w:rPr>
                <w:color w:val="000000"/>
                <w:sz w:val="14"/>
                <w:szCs w:val="14"/>
              </w:rPr>
            </w:pPr>
            <w:r>
              <w:rPr>
                <w:color w:val="000000"/>
                <w:sz w:val="14"/>
                <w:szCs w:val="14"/>
              </w:rPr>
              <w:t>A</w:t>
            </w:r>
            <w:r w:rsidRPr="00BF62A1">
              <w:rPr>
                <w:color w:val="000000"/>
                <w:sz w:val="14"/>
                <w:szCs w:val="14"/>
              </w:rPr>
              <w:t>ge, cirrhosis, comorbidity, indication, pre-and post-operative cirrhosis-related complication, residence area, gender, socioeconomic status, surgery type, urbanization level of residence</w:t>
            </w:r>
          </w:p>
        </w:tc>
      </w:tr>
      <w:tr w:rsidR="000F0341" w:rsidRPr="00BF62A1" w14:paraId="07359758" w14:textId="77777777" w:rsidTr="00E40B0D">
        <w:trPr>
          <w:trHeight w:val="228"/>
        </w:trPr>
        <w:tc>
          <w:tcPr>
            <w:tcW w:w="1422" w:type="dxa"/>
            <w:vMerge/>
            <w:tcBorders>
              <w:bottom w:val="single" w:sz="8" w:space="0" w:color="auto"/>
            </w:tcBorders>
          </w:tcPr>
          <w:p w14:paraId="60328B2D"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0E122C18" w14:textId="77777777" w:rsidR="000F0341" w:rsidRPr="00BF62A1" w:rsidRDefault="000F0341" w:rsidP="00E40B0D">
            <w:pPr>
              <w:spacing w:line="240" w:lineRule="auto"/>
              <w:jc w:val="left"/>
              <w:rPr>
                <w:color w:val="000000"/>
                <w:sz w:val="14"/>
                <w:szCs w:val="14"/>
              </w:rPr>
            </w:pPr>
            <w:r w:rsidRPr="00BF62A1">
              <w:rPr>
                <w:color w:val="000000"/>
                <w:sz w:val="14"/>
                <w:szCs w:val="14"/>
              </w:rPr>
              <w:t>Minor: &lt; lobectomy</w:t>
            </w:r>
          </w:p>
        </w:tc>
        <w:tc>
          <w:tcPr>
            <w:tcW w:w="1843" w:type="dxa"/>
            <w:tcBorders>
              <w:bottom w:val="single" w:sz="8" w:space="0" w:color="auto"/>
            </w:tcBorders>
          </w:tcPr>
          <w:p w14:paraId="6A325A06" w14:textId="77777777" w:rsidR="000F0341" w:rsidRPr="00BF62A1" w:rsidRDefault="000F0341" w:rsidP="00E40B0D">
            <w:pPr>
              <w:spacing w:line="240" w:lineRule="auto"/>
              <w:jc w:val="left"/>
              <w:rPr>
                <w:color w:val="000000"/>
                <w:sz w:val="14"/>
                <w:szCs w:val="14"/>
              </w:rPr>
            </w:pPr>
            <w:r w:rsidRPr="00BF62A1">
              <w:rPr>
                <w:color w:val="000000"/>
                <w:sz w:val="14"/>
                <w:szCs w:val="14"/>
              </w:rPr>
              <w:t>9789 (74.4)</w:t>
            </w:r>
          </w:p>
        </w:tc>
        <w:tc>
          <w:tcPr>
            <w:tcW w:w="1984" w:type="dxa"/>
            <w:vMerge/>
            <w:tcBorders>
              <w:bottom w:val="single" w:sz="8" w:space="0" w:color="auto"/>
            </w:tcBorders>
            <w:noWrap/>
          </w:tcPr>
          <w:p w14:paraId="28B4990F"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3360981C"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1BB844D6" w14:textId="77777777" w:rsidR="000F0341" w:rsidRPr="00BF62A1" w:rsidRDefault="000F0341" w:rsidP="00E40B0D">
            <w:pPr>
              <w:spacing w:line="240" w:lineRule="auto"/>
              <w:jc w:val="left"/>
              <w:rPr>
                <w:color w:val="000000"/>
                <w:sz w:val="14"/>
                <w:szCs w:val="14"/>
              </w:rPr>
            </w:pPr>
          </w:p>
        </w:tc>
      </w:tr>
      <w:tr w:rsidR="000F0341" w:rsidRPr="00BF62A1" w14:paraId="52A23BD9" w14:textId="77777777" w:rsidTr="00E40B0D">
        <w:trPr>
          <w:trHeight w:val="166"/>
        </w:trPr>
        <w:tc>
          <w:tcPr>
            <w:tcW w:w="1422" w:type="dxa"/>
            <w:vMerge w:val="restart"/>
            <w:tcBorders>
              <w:top w:val="single" w:sz="8" w:space="0" w:color="auto"/>
            </w:tcBorders>
            <w:hideMark/>
          </w:tcPr>
          <w:p w14:paraId="2DFBB707" w14:textId="25BD5B09" w:rsidR="000F0341" w:rsidRPr="00BF62A1" w:rsidRDefault="000F0341" w:rsidP="00E40B0D">
            <w:pPr>
              <w:spacing w:line="240" w:lineRule="auto"/>
              <w:jc w:val="left"/>
              <w:rPr>
                <w:color w:val="000000"/>
                <w:sz w:val="14"/>
                <w:szCs w:val="14"/>
              </w:rPr>
            </w:pPr>
            <w:r w:rsidRPr="00BF62A1">
              <w:rPr>
                <w:color w:val="000000"/>
                <w:sz w:val="14"/>
                <w:szCs w:val="14"/>
              </w:rPr>
              <w:t xml:space="preserve">Chapman 2017 </w:t>
            </w:r>
            <w:r w:rsidRPr="00BF62A1">
              <w:rPr>
                <w:color w:val="000000"/>
                <w:sz w:val="14"/>
                <w:szCs w:val="14"/>
              </w:rPr>
              <w:fldChar w:fldCharType="begin"/>
            </w:r>
            <w:r>
              <w:rPr>
                <w:color w:val="000000"/>
                <w:sz w:val="14"/>
                <w:szCs w:val="14"/>
              </w:rPr>
              <w:instrText xml:space="preserve"> ADDIN ZOTERO_ITEM CSL_CITATION {"citationID":"jPbqfTHG","properties":{"formattedCitation":"[86]","plainCitation":"[86]","noteIndex":0},"citationItems":[{"id":14341,"uris":["http://zotero.org/groups/4983919/items/NTZZKCIS"],"itemData":{"id":14341,"type":"article-journal","abstract":"BACKGROUND: Previous studies have demonstrated improved in-hospital mortality after hepatic resection for hepatocellular carcinoma (HCC) at teaching hospitals. The objective of this study was to evaluate if resection of HCC at academic cancer programs (ACP) is associated with improved 10-year survival. STUDY DESIGN: Using the National Cancer Data Base (NCDB) (1998 to 2011), we evaluated patients undergoing hepatic resection for HCC at ACPs, comprehensive community cancer programs (CCCPs), and community cancer programs (CCPs). High volume cancer programs (HVCPs) were defined as performing 10 or more hepatectomies per year. Multivariate Cox proportional hazard models by stepwise selection were applied to estimate hazard ratios (HR) of predictors of survival. The Kaplan-Meier method was used to generate survival curves at each facility type, and survival rates were compared using the log-rank test. RESULTS: We identified 12,757 patients undergoing hepatic resection for HCC at ACPs (n = 8,404), CCPs (n = 483), and CCCPs (n = 3,870). Sixty-two percent (n = 5,191) of patients treated at ACPs were at high volume institutions compared with 11.6% (n = 446) and 0% of CCCPs and CCPs, respectively (p &lt; 0.0001). On multivariable analysis, patients undergoing hepatic resection at transplant centers (p &lt; 0.0001) and HVCPs had significantly improved survival (p &lt; 0.0001). Adjusted 10-year survival rates were 28.7% at high volume ACPs, 28.2% at high volume CCCPs, 24.9% at low volume CCCPs, 25.1% at low volume ACPs, and 21.3% at CCPs (p ≤ 0.0001). CONCLUSIONS: Patients undergoing hepatic resection for HCC at HVCPs had a significantly improved 10-year survival. Regionalization of HCC treatment to HVCPs may improve long-term survival.","container-title":"J Am Coll Surg","DOI":"10.1016/j.jamcollsurg.2016.11.011","ISSN":"1072-7515","issue":"3","language":"eng","page":"362-372","title":"Impact of Facility Type and Surgical Volume on 10-Year Survival in Patients Undergoing Hepatic Resection for Hepatocellular Carcinoma","volume":"224","author":[{"family":"Chapman","given":"B. C."},{"family":"Paniccia","given":"A."},{"family":"Hosokawa","given":"P. W."},{"family":"Henderson","given":"W. G."},{"family":"Overbey","given":"D. M."},{"family":"Messersmith","given":"W."},{"family":"McCarter","given":"M. D."},{"family":"Gleisner","given":"A."},{"family":"Edil","given":"B. H."},{"family":"Schulick","given":"R. D."},{"family":"Gajdos","given":"C."}],"issued":{"date-parts":[["2017",3]]}}}],"schema":"https://github.com/citation-style-language/schema/raw/master/csl-citation.json"} </w:instrText>
            </w:r>
            <w:r w:rsidRPr="00BF62A1">
              <w:rPr>
                <w:color w:val="000000"/>
                <w:sz w:val="14"/>
                <w:szCs w:val="14"/>
              </w:rPr>
              <w:fldChar w:fldCharType="separate"/>
            </w:r>
            <w:r w:rsidRPr="004125CE">
              <w:rPr>
                <w:sz w:val="14"/>
              </w:rPr>
              <w:t>[</w:t>
            </w:r>
            <w:r w:rsidR="00D03F0D">
              <w:rPr>
                <w:sz w:val="14"/>
              </w:rPr>
              <w:t>82</w:t>
            </w:r>
            <w:r w:rsidRPr="004125CE">
              <w:rPr>
                <w:sz w:val="14"/>
              </w:rPr>
              <w:t>]</w:t>
            </w:r>
            <w:r w:rsidRPr="00BF62A1">
              <w:rPr>
                <w:color w:val="000000"/>
                <w:sz w:val="14"/>
                <w:szCs w:val="14"/>
              </w:rPr>
              <w:fldChar w:fldCharType="end"/>
            </w:r>
          </w:p>
        </w:tc>
        <w:tc>
          <w:tcPr>
            <w:tcW w:w="2973" w:type="dxa"/>
            <w:tcBorders>
              <w:top w:val="single" w:sz="8" w:space="0" w:color="auto"/>
            </w:tcBorders>
            <w:hideMark/>
          </w:tcPr>
          <w:p w14:paraId="2CA959E4" w14:textId="77777777" w:rsidR="000F0341" w:rsidRPr="00BF62A1" w:rsidRDefault="000F0341" w:rsidP="00E40B0D">
            <w:pPr>
              <w:spacing w:line="240" w:lineRule="auto"/>
              <w:jc w:val="left"/>
              <w:rPr>
                <w:color w:val="000000"/>
                <w:sz w:val="14"/>
                <w:szCs w:val="14"/>
              </w:rPr>
            </w:pPr>
            <w:r w:rsidRPr="00BF62A1">
              <w:rPr>
                <w:color w:val="000000"/>
                <w:sz w:val="14"/>
                <w:szCs w:val="14"/>
              </w:rPr>
              <w:t>CCCP:</w:t>
            </w:r>
            <w:r w:rsidRPr="00BF62A1">
              <w:rPr>
                <w:color w:val="000000"/>
                <w:sz w:val="14"/>
                <w:szCs w:val="14"/>
              </w:rPr>
              <w:br/>
            </w:r>
          </w:p>
        </w:tc>
        <w:tc>
          <w:tcPr>
            <w:tcW w:w="1843" w:type="dxa"/>
            <w:tcBorders>
              <w:top w:val="single" w:sz="8" w:space="0" w:color="auto"/>
            </w:tcBorders>
            <w:hideMark/>
          </w:tcPr>
          <w:p w14:paraId="77EA4B34" w14:textId="77777777" w:rsidR="000F0341" w:rsidRPr="00BF62A1" w:rsidRDefault="000F0341" w:rsidP="00E40B0D">
            <w:pPr>
              <w:spacing w:line="240" w:lineRule="auto"/>
              <w:jc w:val="left"/>
              <w:rPr>
                <w:color w:val="000000"/>
                <w:sz w:val="14"/>
                <w:szCs w:val="14"/>
              </w:rPr>
            </w:pPr>
          </w:p>
        </w:tc>
        <w:tc>
          <w:tcPr>
            <w:tcW w:w="1984" w:type="dxa"/>
            <w:vMerge w:val="restart"/>
            <w:tcBorders>
              <w:top w:val="single" w:sz="8" w:space="0" w:color="auto"/>
            </w:tcBorders>
            <w:hideMark/>
          </w:tcPr>
          <w:p w14:paraId="7253FFC0" w14:textId="77777777" w:rsidR="000F0341" w:rsidRPr="00BF62A1" w:rsidRDefault="000F0341" w:rsidP="00E40B0D">
            <w:pPr>
              <w:spacing w:line="240" w:lineRule="auto"/>
              <w:jc w:val="left"/>
              <w:rPr>
                <w:color w:val="000000"/>
                <w:sz w:val="14"/>
                <w:szCs w:val="14"/>
              </w:rPr>
            </w:pPr>
            <w:r w:rsidRPr="00BF62A1">
              <w:rPr>
                <w:color w:val="000000"/>
                <w:sz w:val="14"/>
                <w:szCs w:val="14"/>
              </w:rPr>
              <w:t>STORE codes: 21-22, 26, 50, 59-60 / ICD-O-3 8170-8174; 8180</w:t>
            </w:r>
          </w:p>
        </w:tc>
        <w:tc>
          <w:tcPr>
            <w:tcW w:w="3119" w:type="dxa"/>
            <w:vMerge w:val="restart"/>
            <w:tcBorders>
              <w:top w:val="single" w:sz="8" w:space="0" w:color="auto"/>
            </w:tcBorders>
            <w:hideMark/>
          </w:tcPr>
          <w:p w14:paraId="1B875E51" w14:textId="77777777" w:rsidR="000F0341" w:rsidRPr="00BF62A1" w:rsidRDefault="000F0341" w:rsidP="00E40B0D">
            <w:pPr>
              <w:spacing w:line="240" w:lineRule="auto"/>
              <w:jc w:val="left"/>
              <w:rPr>
                <w:color w:val="000000"/>
                <w:sz w:val="14"/>
                <w:szCs w:val="14"/>
              </w:rPr>
            </w:pPr>
            <w:r>
              <w:rPr>
                <w:color w:val="000000"/>
                <w:sz w:val="14"/>
                <w:szCs w:val="14"/>
              </w:rPr>
              <w:t>L</w:t>
            </w:r>
            <w:r w:rsidRPr="00BF62A1">
              <w:rPr>
                <w:color w:val="000000"/>
                <w:sz w:val="14"/>
                <w:szCs w:val="14"/>
              </w:rPr>
              <w:t>ocal tumor destruction using photodynamic therapy, fulguration, laser, percutaneous ethanol injection, radiofrequency ablation, cryoablation, liver transplantation, extrahepatic bile duct resection, unknown surgery type; patients with missing facility type, and vital status</w:t>
            </w:r>
          </w:p>
        </w:tc>
        <w:tc>
          <w:tcPr>
            <w:tcW w:w="3234" w:type="dxa"/>
            <w:vMerge w:val="restart"/>
            <w:tcBorders>
              <w:top w:val="single" w:sz="8" w:space="0" w:color="auto"/>
            </w:tcBorders>
            <w:hideMark/>
          </w:tcPr>
          <w:p w14:paraId="3339FCC1" w14:textId="77777777" w:rsidR="000F0341" w:rsidRPr="00BF62A1" w:rsidRDefault="000F0341" w:rsidP="00E40B0D">
            <w:pPr>
              <w:spacing w:line="240" w:lineRule="auto"/>
              <w:jc w:val="left"/>
              <w:rPr>
                <w:color w:val="000000"/>
                <w:sz w:val="14"/>
                <w:szCs w:val="14"/>
              </w:rPr>
            </w:pPr>
            <w:r w:rsidRPr="00BF62A1">
              <w:rPr>
                <w:color w:val="000000"/>
                <w:sz w:val="14"/>
                <w:szCs w:val="14"/>
              </w:rPr>
              <w:t>AFP, age, AJCC stage, CCI, chemotherapy, cirrhosis, education, facility type, grade, hospital volume, income, insurance, race, radiotherapy, residence area, gender, surgery type, tumor size, year of diagnosis</w:t>
            </w:r>
          </w:p>
        </w:tc>
      </w:tr>
      <w:tr w:rsidR="000F0341" w:rsidRPr="00BF62A1" w14:paraId="477AEE1B" w14:textId="77777777" w:rsidTr="00E40B0D">
        <w:trPr>
          <w:trHeight w:val="158"/>
        </w:trPr>
        <w:tc>
          <w:tcPr>
            <w:tcW w:w="1422" w:type="dxa"/>
            <w:vMerge/>
          </w:tcPr>
          <w:p w14:paraId="34DED577" w14:textId="77777777" w:rsidR="000F0341" w:rsidRPr="00BF62A1" w:rsidRDefault="000F0341" w:rsidP="00E40B0D">
            <w:pPr>
              <w:spacing w:line="240" w:lineRule="auto"/>
              <w:jc w:val="left"/>
              <w:rPr>
                <w:color w:val="000000"/>
                <w:sz w:val="14"/>
                <w:szCs w:val="14"/>
              </w:rPr>
            </w:pPr>
          </w:p>
        </w:tc>
        <w:tc>
          <w:tcPr>
            <w:tcW w:w="2973" w:type="dxa"/>
          </w:tcPr>
          <w:p w14:paraId="63B003B4" w14:textId="77777777" w:rsidR="000F0341" w:rsidRPr="00BF62A1" w:rsidRDefault="000F0341" w:rsidP="00E40B0D">
            <w:pPr>
              <w:spacing w:line="240" w:lineRule="auto"/>
              <w:jc w:val="left"/>
              <w:rPr>
                <w:color w:val="000000"/>
                <w:sz w:val="14"/>
                <w:szCs w:val="14"/>
              </w:rPr>
            </w:pPr>
            <w:r w:rsidRPr="00BF62A1">
              <w:rPr>
                <w:color w:val="000000"/>
                <w:sz w:val="14"/>
                <w:szCs w:val="14"/>
              </w:rPr>
              <w:t>Wedge/segmental</w:t>
            </w:r>
          </w:p>
        </w:tc>
        <w:tc>
          <w:tcPr>
            <w:tcW w:w="1843" w:type="dxa"/>
          </w:tcPr>
          <w:p w14:paraId="728B098C" w14:textId="77777777" w:rsidR="000F0341" w:rsidRPr="00BF62A1" w:rsidRDefault="000F0341" w:rsidP="00E40B0D">
            <w:pPr>
              <w:spacing w:line="240" w:lineRule="auto"/>
              <w:jc w:val="left"/>
              <w:rPr>
                <w:color w:val="000000"/>
                <w:sz w:val="14"/>
                <w:szCs w:val="14"/>
              </w:rPr>
            </w:pPr>
            <w:r w:rsidRPr="00BF62A1">
              <w:rPr>
                <w:color w:val="000000"/>
                <w:sz w:val="14"/>
                <w:szCs w:val="14"/>
              </w:rPr>
              <w:t>1941 (50.2)</w:t>
            </w:r>
          </w:p>
        </w:tc>
        <w:tc>
          <w:tcPr>
            <w:tcW w:w="1984" w:type="dxa"/>
            <w:vMerge/>
          </w:tcPr>
          <w:p w14:paraId="5AFA350C" w14:textId="77777777" w:rsidR="000F0341" w:rsidRPr="00BF62A1" w:rsidRDefault="000F0341" w:rsidP="00E40B0D">
            <w:pPr>
              <w:spacing w:line="240" w:lineRule="auto"/>
              <w:jc w:val="left"/>
              <w:rPr>
                <w:color w:val="000000"/>
                <w:sz w:val="14"/>
                <w:szCs w:val="14"/>
              </w:rPr>
            </w:pPr>
          </w:p>
        </w:tc>
        <w:tc>
          <w:tcPr>
            <w:tcW w:w="3119" w:type="dxa"/>
            <w:vMerge/>
          </w:tcPr>
          <w:p w14:paraId="4BD1EA7F" w14:textId="77777777" w:rsidR="000F0341" w:rsidRPr="00BF62A1" w:rsidRDefault="000F0341" w:rsidP="00E40B0D">
            <w:pPr>
              <w:spacing w:line="240" w:lineRule="auto"/>
              <w:jc w:val="left"/>
              <w:rPr>
                <w:color w:val="000000"/>
                <w:sz w:val="14"/>
                <w:szCs w:val="14"/>
              </w:rPr>
            </w:pPr>
          </w:p>
        </w:tc>
        <w:tc>
          <w:tcPr>
            <w:tcW w:w="3234" w:type="dxa"/>
            <w:vMerge/>
          </w:tcPr>
          <w:p w14:paraId="4F1DDB82" w14:textId="77777777" w:rsidR="000F0341" w:rsidRPr="00BF62A1" w:rsidRDefault="000F0341" w:rsidP="00E40B0D">
            <w:pPr>
              <w:spacing w:line="240" w:lineRule="auto"/>
              <w:jc w:val="left"/>
              <w:rPr>
                <w:color w:val="000000"/>
                <w:sz w:val="14"/>
                <w:szCs w:val="14"/>
              </w:rPr>
            </w:pPr>
          </w:p>
        </w:tc>
      </w:tr>
      <w:tr w:rsidR="000F0341" w:rsidRPr="00BF62A1" w14:paraId="2F1AA57F" w14:textId="77777777" w:rsidTr="00E40B0D">
        <w:trPr>
          <w:trHeight w:val="158"/>
        </w:trPr>
        <w:tc>
          <w:tcPr>
            <w:tcW w:w="1422" w:type="dxa"/>
            <w:vMerge/>
          </w:tcPr>
          <w:p w14:paraId="520D6084" w14:textId="77777777" w:rsidR="000F0341" w:rsidRPr="00BF62A1" w:rsidRDefault="000F0341" w:rsidP="00E40B0D">
            <w:pPr>
              <w:spacing w:line="240" w:lineRule="auto"/>
              <w:jc w:val="left"/>
              <w:rPr>
                <w:color w:val="000000"/>
                <w:sz w:val="14"/>
                <w:szCs w:val="14"/>
              </w:rPr>
            </w:pPr>
          </w:p>
        </w:tc>
        <w:tc>
          <w:tcPr>
            <w:tcW w:w="2973" w:type="dxa"/>
          </w:tcPr>
          <w:p w14:paraId="663C9891" w14:textId="77777777" w:rsidR="000F0341" w:rsidRPr="00BF62A1" w:rsidRDefault="000F0341" w:rsidP="00E40B0D">
            <w:pPr>
              <w:spacing w:line="240" w:lineRule="auto"/>
              <w:jc w:val="left"/>
              <w:rPr>
                <w:color w:val="000000"/>
                <w:sz w:val="14"/>
                <w:szCs w:val="14"/>
              </w:rPr>
            </w:pPr>
            <w:r w:rsidRPr="00BF62A1">
              <w:rPr>
                <w:color w:val="000000"/>
                <w:sz w:val="14"/>
                <w:szCs w:val="14"/>
              </w:rPr>
              <w:t>Lobectomy</w:t>
            </w:r>
          </w:p>
        </w:tc>
        <w:tc>
          <w:tcPr>
            <w:tcW w:w="1843" w:type="dxa"/>
          </w:tcPr>
          <w:p w14:paraId="3DB5F31A" w14:textId="77777777" w:rsidR="000F0341" w:rsidRPr="00BF62A1" w:rsidRDefault="000F0341" w:rsidP="00E40B0D">
            <w:pPr>
              <w:spacing w:line="240" w:lineRule="auto"/>
              <w:jc w:val="left"/>
              <w:rPr>
                <w:color w:val="000000"/>
                <w:sz w:val="14"/>
                <w:szCs w:val="14"/>
              </w:rPr>
            </w:pPr>
            <w:r w:rsidRPr="00BF62A1">
              <w:rPr>
                <w:color w:val="000000"/>
                <w:sz w:val="14"/>
                <w:szCs w:val="14"/>
              </w:rPr>
              <w:t>1461 (37.8)</w:t>
            </w:r>
          </w:p>
        </w:tc>
        <w:tc>
          <w:tcPr>
            <w:tcW w:w="1984" w:type="dxa"/>
            <w:vMerge/>
          </w:tcPr>
          <w:p w14:paraId="083C1307" w14:textId="77777777" w:rsidR="000F0341" w:rsidRPr="00BF62A1" w:rsidRDefault="000F0341" w:rsidP="00E40B0D">
            <w:pPr>
              <w:spacing w:line="240" w:lineRule="auto"/>
              <w:jc w:val="left"/>
              <w:rPr>
                <w:color w:val="000000"/>
                <w:sz w:val="14"/>
                <w:szCs w:val="14"/>
              </w:rPr>
            </w:pPr>
          </w:p>
        </w:tc>
        <w:tc>
          <w:tcPr>
            <w:tcW w:w="3119" w:type="dxa"/>
            <w:vMerge/>
          </w:tcPr>
          <w:p w14:paraId="03B29A36" w14:textId="77777777" w:rsidR="000F0341" w:rsidRPr="00BF62A1" w:rsidRDefault="000F0341" w:rsidP="00E40B0D">
            <w:pPr>
              <w:spacing w:line="240" w:lineRule="auto"/>
              <w:jc w:val="left"/>
              <w:rPr>
                <w:color w:val="000000"/>
                <w:sz w:val="14"/>
                <w:szCs w:val="14"/>
              </w:rPr>
            </w:pPr>
          </w:p>
        </w:tc>
        <w:tc>
          <w:tcPr>
            <w:tcW w:w="3234" w:type="dxa"/>
            <w:vMerge/>
          </w:tcPr>
          <w:p w14:paraId="75D2B29A" w14:textId="77777777" w:rsidR="000F0341" w:rsidRPr="00BF62A1" w:rsidRDefault="000F0341" w:rsidP="00E40B0D">
            <w:pPr>
              <w:spacing w:line="240" w:lineRule="auto"/>
              <w:jc w:val="left"/>
              <w:rPr>
                <w:color w:val="000000"/>
                <w:sz w:val="14"/>
                <w:szCs w:val="14"/>
              </w:rPr>
            </w:pPr>
          </w:p>
        </w:tc>
      </w:tr>
      <w:tr w:rsidR="000F0341" w:rsidRPr="00BF62A1" w14:paraId="23201557" w14:textId="77777777" w:rsidTr="00E40B0D">
        <w:trPr>
          <w:trHeight w:val="158"/>
        </w:trPr>
        <w:tc>
          <w:tcPr>
            <w:tcW w:w="1422" w:type="dxa"/>
            <w:vMerge/>
          </w:tcPr>
          <w:p w14:paraId="2C4BD42D" w14:textId="77777777" w:rsidR="000F0341" w:rsidRPr="00BF62A1" w:rsidRDefault="000F0341" w:rsidP="00E40B0D">
            <w:pPr>
              <w:spacing w:line="240" w:lineRule="auto"/>
              <w:jc w:val="left"/>
              <w:rPr>
                <w:color w:val="000000"/>
                <w:sz w:val="14"/>
                <w:szCs w:val="14"/>
              </w:rPr>
            </w:pPr>
          </w:p>
        </w:tc>
        <w:tc>
          <w:tcPr>
            <w:tcW w:w="2973" w:type="dxa"/>
          </w:tcPr>
          <w:p w14:paraId="7417906C" w14:textId="77777777" w:rsidR="000F0341" w:rsidRPr="00BF62A1" w:rsidRDefault="000F0341" w:rsidP="00E40B0D">
            <w:pPr>
              <w:spacing w:line="240" w:lineRule="auto"/>
              <w:jc w:val="left"/>
              <w:rPr>
                <w:color w:val="000000"/>
                <w:sz w:val="14"/>
                <w:szCs w:val="14"/>
              </w:rPr>
            </w:pPr>
            <w:r w:rsidRPr="00BF62A1">
              <w:rPr>
                <w:color w:val="000000"/>
                <w:sz w:val="14"/>
                <w:szCs w:val="14"/>
              </w:rPr>
              <w:t>Extended lobectomy</w:t>
            </w:r>
          </w:p>
        </w:tc>
        <w:tc>
          <w:tcPr>
            <w:tcW w:w="1843" w:type="dxa"/>
          </w:tcPr>
          <w:p w14:paraId="470C636A" w14:textId="77777777" w:rsidR="000F0341" w:rsidRPr="00BF62A1" w:rsidRDefault="000F0341" w:rsidP="00E40B0D">
            <w:pPr>
              <w:spacing w:line="240" w:lineRule="auto"/>
              <w:jc w:val="left"/>
              <w:rPr>
                <w:color w:val="000000"/>
                <w:sz w:val="14"/>
                <w:szCs w:val="14"/>
              </w:rPr>
            </w:pPr>
            <w:r w:rsidRPr="00BF62A1">
              <w:rPr>
                <w:color w:val="000000"/>
                <w:sz w:val="14"/>
                <w:szCs w:val="14"/>
              </w:rPr>
              <w:t>287 (7.4)</w:t>
            </w:r>
          </w:p>
        </w:tc>
        <w:tc>
          <w:tcPr>
            <w:tcW w:w="1984" w:type="dxa"/>
            <w:vMerge/>
          </w:tcPr>
          <w:p w14:paraId="414EADCD" w14:textId="77777777" w:rsidR="000F0341" w:rsidRPr="00BF62A1" w:rsidRDefault="000F0341" w:rsidP="00E40B0D">
            <w:pPr>
              <w:spacing w:line="240" w:lineRule="auto"/>
              <w:jc w:val="left"/>
              <w:rPr>
                <w:color w:val="000000"/>
                <w:sz w:val="14"/>
                <w:szCs w:val="14"/>
              </w:rPr>
            </w:pPr>
          </w:p>
        </w:tc>
        <w:tc>
          <w:tcPr>
            <w:tcW w:w="3119" w:type="dxa"/>
            <w:vMerge/>
          </w:tcPr>
          <w:p w14:paraId="026E7894" w14:textId="77777777" w:rsidR="000F0341" w:rsidRPr="00BF62A1" w:rsidRDefault="000F0341" w:rsidP="00E40B0D">
            <w:pPr>
              <w:spacing w:line="240" w:lineRule="auto"/>
              <w:jc w:val="left"/>
              <w:rPr>
                <w:color w:val="000000"/>
                <w:sz w:val="14"/>
                <w:szCs w:val="14"/>
              </w:rPr>
            </w:pPr>
          </w:p>
        </w:tc>
        <w:tc>
          <w:tcPr>
            <w:tcW w:w="3234" w:type="dxa"/>
            <w:vMerge/>
          </w:tcPr>
          <w:p w14:paraId="631476D8" w14:textId="77777777" w:rsidR="000F0341" w:rsidRPr="00BF62A1" w:rsidRDefault="000F0341" w:rsidP="00E40B0D">
            <w:pPr>
              <w:spacing w:line="240" w:lineRule="auto"/>
              <w:jc w:val="left"/>
              <w:rPr>
                <w:color w:val="000000"/>
                <w:sz w:val="14"/>
                <w:szCs w:val="14"/>
              </w:rPr>
            </w:pPr>
          </w:p>
        </w:tc>
      </w:tr>
      <w:tr w:rsidR="000F0341" w:rsidRPr="00BF62A1" w14:paraId="3B0B0A61" w14:textId="77777777" w:rsidTr="00E40B0D">
        <w:trPr>
          <w:trHeight w:val="158"/>
        </w:trPr>
        <w:tc>
          <w:tcPr>
            <w:tcW w:w="1422" w:type="dxa"/>
            <w:vMerge/>
          </w:tcPr>
          <w:p w14:paraId="20DF5F0F" w14:textId="77777777" w:rsidR="000F0341" w:rsidRPr="00BF62A1" w:rsidRDefault="000F0341" w:rsidP="00E40B0D">
            <w:pPr>
              <w:spacing w:line="240" w:lineRule="auto"/>
              <w:jc w:val="left"/>
              <w:rPr>
                <w:color w:val="000000"/>
                <w:sz w:val="14"/>
                <w:szCs w:val="14"/>
              </w:rPr>
            </w:pPr>
          </w:p>
        </w:tc>
        <w:tc>
          <w:tcPr>
            <w:tcW w:w="2973" w:type="dxa"/>
          </w:tcPr>
          <w:p w14:paraId="344E7B9F" w14:textId="77777777" w:rsidR="000F0341" w:rsidRPr="00BF62A1" w:rsidRDefault="000F0341" w:rsidP="00E40B0D">
            <w:pPr>
              <w:spacing w:line="240" w:lineRule="auto"/>
              <w:jc w:val="left"/>
              <w:rPr>
                <w:color w:val="000000"/>
                <w:sz w:val="14"/>
                <w:szCs w:val="14"/>
              </w:rPr>
            </w:pPr>
            <w:r w:rsidRPr="00BF62A1">
              <w:rPr>
                <w:color w:val="000000"/>
                <w:sz w:val="14"/>
                <w:szCs w:val="14"/>
              </w:rPr>
              <w:t>Hepatectomy</w:t>
            </w:r>
          </w:p>
        </w:tc>
        <w:tc>
          <w:tcPr>
            <w:tcW w:w="1843" w:type="dxa"/>
          </w:tcPr>
          <w:p w14:paraId="41E94CF1" w14:textId="77777777" w:rsidR="000F0341" w:rsidRPr="00BF62A1" w:rsidRDefault="000F0341" w:rsidP="00E40B0D">
            <w:pPr>
              <w:spacing w:line="240" w:lineRule="auto"/>
              <w:jc w:val="left"/>
              <w:rPr>
                <w:color w:val="000000"/>
                <w:sz w:val="14"/>
                <w:szCs w:val="14"/>
              </w:rPr>
            </w:pPr>
            <w:r w:rsidRPr="00BF62A1">
              <w:rPr>
                <w:color w:val="000000"/>
                <w:sz w:val="14"/>
                <w:szCs w:val="14"/>
              </w:rPr>
              <w:t>181 (4.7)</w:t>
            </w:r>
          </w:p>
        </w:tc>
        <w:tc>
          <w:tcPr>
            <w:tcW w:w="1984" w:type="dxa"/>
            <w:vMerge/>
          </w:tcPr>
          <w:p w14:paraId="2E398CA6" w14:textId="77777777" w:rsidR="000F0341" w:rsidRPr="00BF62A1" w:rsidRDefault="000F0341" w:rsidP="00E40B0D">
            <w:pPr>
              <w:spacing w:line="240" w:lineRule="auto"/>
              <w:jc w:val="left"/>
              <w:rPr>
                <w:color w:val="000000"/>
                <w:sz w:val="14"/>
                <w:szCs w:val="14"/>
              </w:rPr>
            </w:pPr>
          </w:p>
        </w:tc>
        <w:tc>
          <w:tcPr>
            <w:tcW w:w="3119" w:type="dxa"/>
            <w:vMerge/>
          </w:tcPr>
          <w:p w14:paraId="70D580A3" w14:textId="77777777" w:rsidR="000F0341" w:rsidRPr="00BF62A1" w:rsidRDefault="000F0341" w:rsidP="00E40B0D">
            <w:pPr>
              <w:spacing w:line="240" w:lineRule="auto"/>
              <w:jc w:val="left"/>
              <w:rPr>
                <w:color w:val="000000"/>
                <w:sz w:val="14"/>
                <w:szCs w:val="14"/>
              </w:rPr>
            </w:pPr>
          </w:p>
        </w:tc>
        <w:tc>
          <w:tcPr>
            <w:tcW w:w="3234" w:type="dxa"/>
            <w:vMerge/>
          </w:tcPr>
          <w:p w14:paraId="49B4E03B" w14:textId="77777777" w:rsidR="000F0341" w:rsidRPr="00BF62A1" w:rsidRDefault="000F0341" w:rsidP="00E40B0D">
            <w:pPr>
              <w:spacing w:line="240" w:lineRule="auto"/>
              <w:jc w:val="left"/>
              <w:rPr>
                <w:color w:val="000000"/>
                <w:sz w:val="14"/>
                <w:szCs w:val="14"/>
              </w:rPr>
            </w:pPr>
          </w:p>
        </w:tc>
      </w:tr>
      <w:tr w:rsidR="000F0341" w:rsidRPr="00BF62A1" w14:paraId="69D1771C" w14:textId="77777777" w:rsidTr="00E40B0D">
        <w:trPr>
          <w:trHeight w:val="158"/>
        </w:trPr>
        <w:tc>
          <w:tcPr>
            <w:tcW w:w="1422" w:type="dxa"/>
            <w:vMerge/>
          </w:tcPr>
          <w:p w14:paraId="319A0800" w14:textId="77777777" w:rsidR="000F0341" w:rsidRPr="00BF62A1" w:rsidRDefault="000F0341" w:rsidP="00E40B0D">
            <w:pPr>
              <w:spacing w:line="240" w:lineRule="auto"/>
              <w:jc w:val="left"/>
              <w:rPr>
                <w:color w:val="000000"/>
                <w:sz w:val="14"/>
                <w:szCs w:val="14"/>
              </w:rPr>
            </w:pPr>
          </w:p>
        </w:tc>
        <w:tc>
          <w:tcPr>
            <w:tcW w:w="2973" w:type="dxa"/>
          </w:tcPr>
          <w:p w14:paraId="7D31BCE4" w14:textId="77777777" w:rsidR="000F0341" w:rsidRPr="00BF62A1" w:rsidRDefault="000F0341" w:rsidP="00E40B0D">
            <w:pPr>
              <w:spacing w:line="240" w:lineRule="auto"/>
              <w:jc w:val="left"/>
              <w:rPr>
                <w:color w:val="000000"/>
                <w:sz w:val="14"/>
                <w:szCs w:val="14"/>
              </w:rPr>
            </w:pPr>
            <w:r w:rsidRPr="00BF62A1">
              <w:rPr>
                <w:color w:val="000000"/>
                <w:sz w:val="14"/>
                <w:szCs w:val="14"/>
              </w:rPr>
              <w:t>ACP:</w:t>
            </w:r>
          </w:p>
        </w:tc>
        <w:tc>
          <w:tcPr>
            <w:tcW w:w="1843" w:type="dxa"/>
          </w:tcPr>
          <w:p w14:paraId="78286F4F" w14:textId="77777777" w:rsidR="000F0341" w:rsidRPr="00BF62A1" w:rsidRDefault="000F0341" w:rsidP="00E40B0D">
            <w:pPr>
              <w:spacing w:line="240" w:lineRule="auto"/>
              <w:jc w:val="left"/>
              <w:rPr>
                <w:color w:val="000000"/>
                <w:sz w:val="14"/>
                <w:szCs w:val="14"/>
              </w:rPr>
            </w:pPr>
          </w:p>
        </w:tc>
        <w:tc>
          <w:tcPr>
            <w:tcW w:w="1984" w:type="dxa"/>
            <w:vMerge/>
          </w:tcPr>
          <w:p w14:paraId="42432CE6" w14:textId="77777777" w:rsidR="000F0341" w:rsidRPr="00BF62A1" w:rsidRDefault="000F0341" w:rsidP="00E40B0D">
            <w:pPr>
              <w:spacing w:line="240" w:lineRule="auto"/>
              <w:jc w:val="left"/>
              <w:rPr>
                <w:color w:val="000000"/>
                <w:sz w:val="14"/>
                <w:szCs w:val="14"/>
              </w:rPr>
            </w:pPr>
          </w:p>
        </w:tc>
        <w:tc>
          <w:tcPr>
            <w:tcW w:w="3119" w:type="dxa"/>
            <w:vMerge/>
          </w:tcPr>
          <w:p w14:paraId="261E4F7E" w14:textId="77777777" w:rsidR="000F0341" w:rsidRPr="00BF62A1" w:rsidRDefault="000F0341" w:rsidP="00E40B0D">
            <w:pPr>
              <w:spacing w:line="240" w:lineRule="auto"/>
              <w:jc w:val="left"/>
              <w:rPr>
                <w:color w:val="000000"/>
                <w:sz w:val="14"/>
                <w:szCs w:val="14"/>
              </w:rPr>
            </w:pPr>
          </w:p>
        </w:tc>
        <w:tc>
          <w:tcPr>
            <w:tcW w:w="3234" w:type="dxa"/>
            <w:vMerge/>
          </w:tcPr>
          <w:p w14:paraId="73DC69BD" w14:textId="77777777" w:rsidR="000F0341" w:rsidRPr="00BF62A1" w:rsidRDefault="000F0341" w:rsidP="00E40B0D">
            <w:pPr>
              <w:spacing w:line="240" w:lineRule="auto"/>
              <w:jc w:val="left"/>
              <w:rPr>
                <w:color w:val="000000"/>
                <w:sz w:val="14"/>
                <w:szCs w:val="14"/>
              </w:rPr>
            </w:pPr>
          </w:p>
        </w:tc>
      </w:tr>
      <w:tr w:rsidR="000F0341" w:rsidRPr="00BF62A1" w14:paraId="27DA3A7E" w14:textId="77777777" w:rsidTr="00E40B0D">
        <w:trPr>
          <w:trHeight w:val="158"/>
        </w:trPr>
        <w:tc>
          <w:tcPr>
            <w:tcW w:w="1422" w:type="dxa"/>
            <w:vMerge/>
          </w:tcPr>
          <w:p w14:paraId="23D36C54" w14:textId="77777777" w:rsidR="000F0341" w:rsidRPr="00BF62A1" w:rsidRDefault="000F0341" w:rsidP="00E40B0D">
            <w:pPr>
              <w:spacing w:line="240" w:lineRule="auto"/>
              <w:jc w:val="left"/>
              <w:rPr>
                <w:color w:val="000000"/>
                <w:sz w:val="14"/>
                <w:szCs w:val="14"/>
              </w:rPr>
            </w:pPr>
          </w:p>
        </w:tc>
        <w:tc>
          <w:tcPr>
            <w:tcW w:w="2973" w:type="dxa"/>
          </w:tcPr>
          <w:p w14:paraId="00EF8F5D" w14:textId="77777777" w:rsidR="000F0341" w:rsidRPr="00BF62A1" w:rsidRDefault="000F0341" w:rsidP="00E40B0D">
            <w:pPr>
              <w:spacing w:line="240" w:lineRule="auto"/>
              <w:jc w:val="left"/>
              <w:rPr>
                <w:color w:val="000000"/>
                <w:sz w:val="14"/>
                <w:szCs w:val="14"/>
              </w:rPr>
            </w:pPr>
            <w:r w:rsidRPr="00BF62A1">
              <w:rPr>
                <w:color w:val="000000"/>
                <w:sz w:val="14"/>
                <w:szCs w:val="14"/>
              </w:rPr>
              <w:t>Wedge/segmental</w:t>
            </w:r>
          </w:p>
        </w:tc>
        <w:tc>
          <w:tcPr>
            <w:tcW w:w="1843" w:type="dxa"/>
          </w:tcPr>
          <w:p w14:paraId="015B82C9" w14:textId="77777777" w:rsidR="000F0341" w:rsidRPr="00BF62A1" w:rsidRDefault="000F0341" w:rsidP="00E40B0D">
            <w:pPr>
              <w:spacing w:line="240" w:lineRule="auto"/>
              <w:jc w:val="left"/>
              <w:rPr>
                <w:color w:val="000000"/>
                <w:sz w:val="14"/>
                <w:szCs w:val="14"/>
              </w:rPr>
            </w:pPr>
            <w:r w:rsidRPr="00BF62A1">
              <w:rPr>
                <w:color w:val="000000"/>
                <w:sz w:val="14"/>
                <w:szCs w:val="14"/>
              </w:rPr>
              <w:t>4371 (52.0)</w:t>
            </w:r>
          </w:p>
        </w:tc>
        <w:tc>
          <w:tcPr>
            <w:tcW w:w="1984" w:type="dxa"/>
            <w:vMerge/>
          </w:tcPr>
          <w:p w14:paraId="2EB4FBA4" w14:textId="77777777" w:rsidR="000F0341" w:rsidRPr="00BF62A1" w:rsidRDefault="000F0341" w:rsidP="00E40B0D">
            <w:pPr>
              <w:spacing w:line="240" w:lineRule="auto"/>
              <w:jc w:val="left"/>
              <w:rPr>
                <w:color w:val="000000"/>
                <w:sz w:val="14"/>
                <w:szCs w:val="14"/>
              </w:rPr>
            </w:pPr>
          </w:p>
        </w:tc>
        <w:tc>
          <w:tcPr>
            <w:tcW w:w="3119" w:type="dxa"/>
            <w:vMerge/>
          </w:tcPr>
          <w:p w14:paraId="70267E67" w14:textId="77777777" w:rsidR="000F0341" w:rsidRPr="00BF62A1" w:rsidRDefault="000F0341" w:rsidP="00E40B0D">
            <w:pPr>
              <w:spacing w:line="240" w:lineRule="auto"/>
              <w:jc w:val="left"/>
              <w:rPr>
                <w:color w:val="000000"/>
                <w:sz w:val="14"/>
                <w:szCs w:val="14"/>
              </w:rPr>
            </w:pPr>
          </w:p>
        </w:tc>
        <w:tc>
          <w:tcPr>
            <w:tcW w:w="3234" w:type="dxa"/>
            <w:vMerge/>
          </w:tcPr>
          <w:p w14:paraId="0FCC3357" w14:textId="77777777" w:rsidR="000F0341" w:rsidRPr="00BF62A1" w:rsidRDefault="000F0341" w:rsidP="00E40B0D">
            <w:pPr>
              <w:spacing w:line="240" w:lineRule="auto"/>
              <w:jc w:val="left"/>
              <w:rPr>
                <w:color w:val="000000"/>
                <w:sz w:val="14"/>
                <w:szCs w:val="14"/>
              </w:rPr>
            </w:pPr>
          </w:p>
        </w:tc>
      </w:tr>
      <w:tr w:rsidR="000F0341" w:rsidRPr="00BF62A1" w14:paraId="60249F57" w14:textId="77777777" w:rsidTr="00E40B0D">
        <w:trPr>
          <w:trHeight w:val="158"/>
        </w:trPr>
        <w:tc>
          <w:tcPr>
            <w:tcW w:w="1422" w:type="dxa"/>
            <w:vMerge/>
          </w:tcPr>
          <w:p w14:paraId="7A02BBDA" w14:textId="77777777" w:rsidR="000F0341" w:rsidRPr="00BF62A1" w:rsidRDefault="000F0341" w:rsidP="00E40B0D">
            <w:pPr>
              <w:spacing w:line="240" w:lineRule="auto"/>
              <w:jc w:val="left"/>
              <w:rPr>
                <w:color w:val="000000"/>
                <w:sz w:val="14"/>
                <w:szCs w:val="14"/>
              </w:rPr>
            </w:pPr>
          </w:p>
        </w:tc>
        <w:tc>
          <w:tcPr>
            <w:tcW w:w="2973" w:type="dxa"/>
          </w:tcPr>
          <w:p w14:paraId="55ED905B" w14:textId="77777777" w:rsidR="000F0341" w:rsidRPr="00BF62A1" w:rsidRDefault="000F0341" w:rsidP="00E40B0D">
            <w:pPr>
              <w:spacing w:line="240" w:lineRule="auto"/>
              <w:jc w:val="left"/>
              <w:rPr>
                <w:color w:val="000000"/>
                <w:sz w:val="14"/>
                <w:szCs w:val="14"/>
              </w:rPr>
            </w:pPr>
            <w:r w:rsidRPr="00BF62A1">
              <w:rPr>
                <w:color w:val="000000"/>
                <w:sz w:val="14"/>
                <w:szCs w:val="14"/>
              </w:rPr>
              <w:t>Lobectomy</w:t>
            </w:r>
          </w:p>
        </w:tc>
        <w:tc>
          <w:tcPr>
            <w:tcW w:w="1843" w:type="dxa"/>
          </w:tcPr>
          <w:p w14:paraId="15C7DE22" w14:textId="77777777" w:rsidR="000F0341" w:rsidRPr="00BF62A1" w:rsidRDefault="000F0341" w:rsidP="00E40B0D">
            <w:pPr>
              <w:spacing w:line="240" w:lineRule="auto"/>
              <w:jc w:val="left"/>
              <w:rPr>
                <w:color w:val="000000"/>
                <w:sz w:val="14"/>
                <w:szCs w:val="14"/>
              </w:rPr>
            </w:pPr>
            <w:r w:rsidRPr="00BF62A1">
              <w:rPr>
                <w:color w:val="000000"/>
                <w:sz w:val="14"/>
                <w:szCs w:val="14"/>
              </w:rPr>
              <w:t>2848 (33.9)</w:t>
            </w:r>
          </w:p>
        </w:tc>
        <w:tc>
          <w:tcPr>
            <w:tcW w:w="1984" w:type="dxa"/>
            <w:vMerge/>
          </w:tcPr>
          <w:p w14:paraId="2FA1877C" w14:textId="77777777" w:rsidR="000F0341" w:rsidRPr="00BF62A1" w:rsidRDefault="000F0341" w:rsidP="00E40B0D">
            <w:pPr>
              <w:spacing w:line="240" w:lineRule="auto"/>
              <w:jc w:val="left"/>
              <w:rPr>
                <w:color w:val="000000"/>
                <w:sz w:val="14"/>
                <w:szCs w:val="14"/>
              </w:rPr>
            </w:pPr>
          </w:p>
        </w:tc>
        <w:tc>
          <w:tcPr>
            <w:tcW w:w="3119" w:type="dxa"/>
            <w:vMerge/>
          </w:tcPr>
          <w:p w14:paraId="62D75E4F" w14:textId="77777777" w:rsidR="000F0341" w:rsidRPr="00BF62A1" w:rsidRDefault="000F0341" w:rsidP="00E40B0D">
            <w:pPr>
              <w:spacing w:line="240" w:lineRule="auto"/>
              <w:jc w:val="left"/>
              <w:rPr>
                <w:color w:val="000000"/>
                <w:sz w:val="14"/>
                <w:szCs w:val="14"/>
              </w:rPr>
            </w:pPr>
          </w:p>
        </w:tc>
        <w:tc>
          <w:tcPr>
            <w:tcW w:w="3234" w:type="dxa"/>
            <w:vMerge/>
          </w:tcPr>
          <w:p w14:paraId="7B49FABA" w14:textId="77777777" w:rsidR="000F0341" w:rsidRPr="00BF62A1" w:rsidRDefault="000F0341" w:rsidP="00E40B0D">
            <w:pPr>
              <w:spacing w:line="240" w:lineRule="auto"/>
              <w:jc w:val="left"/>
              <w:rPr>
                <w:color w:val="000000"/>
                <w:sz w:val="14"/>
                <w:szCs w:val="14"/>
              </w:rPr>
            </w:pPr>
          </w:p>
        </w:tc>
      </w:tr>
      <w:tr w:rsidR="000F0341" w:rsidRPr="00BF62A1" w14:paraId="74662BCF" w14:textId="77777777" w:rsidTr="00E40B0D">
        <w:trPr>
          <w:trHeight w:val="158"/>
        </w:trPr>
        <w:tc>
          <w:tcPr>
            <w:tcW w:w="1422" w:type="dxa"/>
            <w:vMerge/>
          </w:tcPr>
          <w:p w14:paraId="7801AA7D" w14:textId="77777777" w:rsidR="000F0341" w:rsidRPr="00BF62A1" w:rsidRDefault="000F0341" w:rsidP="00E40B0D">
            <w:pPr>
              <w:spacing w:line="240" w:lineRule="auto"/>
              <w:jc w:val="left"/>
              <w:rPr>
                <w:color w:val="000000"/>
                <w:sz w:val="14"/>
                <w:szCs w:val="14"/>
              </w:rPr>
            </w:pPr>
          </w:p>
        </w:tc>
        <w:tc>
          <w:tcPr>
            <w:tcW w:w="2973" w:type="dxa"/>
          </w:tcPr>
          <w:p w14:paraId="72F66E19" w14:textId="77777777" w:rsidR="000F0341" w:rsidRPr="00BF62A1" w:rsidRDefault="000F0341" w:rsidP="00E40B0D">
            <w:pPr>
              <w:spacing w:line="240" w:lineRule="auto"/>
              <w:jc w:val="left"/>
              <w:rPr>
                <w:color w:val="000000"/>
                <w:sz w:val="14"/>
                <w:szCs w:val="14"/>
              </w:rPr>
            </w:pPr>
            <w:r w:rsidRPr="00BF62A1">
              <w:rPr>
                <w:color w:val="000000"/>
                <w:sz w:val="14"/>
                <w:szCs w:val="14"/>
              </w:rPr>
              <w:t>Extended lobectomy</w:t>
            </w:r>
          </w:p>
        </w:tc>
        <w:tc>
          <w:tcPr>
            <w:tcW w:w="1843" w:type="dxa"/>
          </w:tcPr>
          <w:p w14:paraId="72EABC7A" w14:textId="77777777" w:rsidR="000F0341" w:rsidRPr="00BF62A1" w:rsidRDefault="000F0341" w:rsidP="00E40B0D">
            <w:pPr>
              <w:spacing w:line="240" w:lineRule="auto"/>
              <w:jc w:val="left"/>
              <w:rPr>
                <w:color w:val="000000"/>
                <w:sz w:val="14"/>
                <w:szCs w:val="14"/>
              </w:rPr>
            </w:pPr>
            <w:r w:rsidRPr="00BF62A1">
              <w:rPr>
                <w:color w:val="000000"/>
                <w:sz w:val="14"/>
                <w:szCs w:val="14"/>
              </w:rPr>
              <w:t>640 (7.6)</w:t>
            </w:r>
          </w:p>
        </w:tc>
        <w:tc>
          <w:tcPr>
            <w:tcW w:w="1984" w:type="dxa"/>
            <w:vMerge/>
          </w:tcPr>
          <w:p w14:paraId="324D76DA" w14:textId="77777777" w:rsidR="000F0341" w:rsidRPr="00BF62A1" w:rsidRDefault="000F0341" w:rsidP="00E40B0D">
            <w:pPr>
              <w:spacing w:line="240" w:lineRule="auto"/>
              <w:jc w:val="left"/>
              <w:rPr>
                <w:color w:val="000000"/>
                <w:sz w:val="14"/>
                <w:szCs w:val="14"/>
              </w:rPr>
            </w:pPr>
          </w:p>
        </w:tc>
        <w:tc>
          <w:tcPr>
            <w:tcW w:w="3119" w:type="dxa"/>
            <w:vMerge/>
          </w:tcPr>
          <w:p w14:paraId="60D55DA3" w14:textId="77777777" w:rsidR="000F0341" w:rsidRPr="00BF62A1" w:rsidRDefault="000F0341" w:rsidP="00E40B0D">
            <w:pPr>
              <w:spacing w:line="240" w:lineRule="auto"/>
              <w:jc w:val="left"/>
              <w:rPr>
                <w:color w:val="000000"/>
                <w:sz w:val="14"/>
                <w:szCs w:val="14"/>
              </w:rPr>
            </w:pPr>
          </w:p>
        </w:tc>
        <w:tc>
          <w:tcPr>
            <w:tcW w:w="3234" w:type="dxa"/>
            <w:vMerge/>
          </w:tcPr>
          <w:p w14:paraId="74762B40" w14:textId="77777777" w:rsidR="000F0341" w:rsidRPr="00BF62A1" w:rsidRDefault="000F0341" w:rsidP="00E40B0D">
            <w:pPr>
              <w:spacing w:line="240" w:lineRule="auto"/>
              <w:jc w:val="left"/>
              <w:rPr>
                <w:color w:val="000000"/>
                <w:sz w:val="14"/>
                <w:szCs w:val="14"/>
              </w:rPr>
            </w:pPr>
          </w:p>
        </w:tc>
      </w:tr>
      <w:tr w:rsidR="000F0341" w:rsidRPr="00BF62A1" w14:paraId="5FEF48A4" w14:textId="77777777" w:rsidTr="00E40B0D">
        <w:trPr>
          <w:trHeight w:val="158"/>
        </w:trPr>
        <w:tc>
          <w:tcPr>
            <w:tcW w:w="1422" w:type="dxa"/>
            <w:vMerge/>
            <w:tcBorders>
              <w:bottom w:val="single" w:sz="8" w:space="0" w:color="auto"/>
            </w:tcBorders>
          </w:tcPr>
          <w:p w14:paraId="0EABA441"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69C9156C" w14:textId="77777777" w:rsidR="000F0341" w:rsidRPr="00BF62A1" w:rsidRDefault="000F0341" w:rsidP="00E40B0D">
            <w:pPr>
              <w:spacing w:line="240" w:lineRule="auto"/>
              <w:jc w:val="left"/>
              <w:rPr>
                <w:color w:val="000000"/>
                <w:sz w:val="14"/>
                <w:szCs w:val="14"/>
              </w:rPr>
            </w:pPr>
            <w:r w:rsidRPr="00BF62A1">
              <w:rPr>
                <w:color w:val="000000"/>
                <w:sz w:val="14"/>
                <w:szCs w:val="14"/>
              </w:rPr>
              <w:t>Hepatectomy</w:t>
            </w:r>
          </w:p>
        </w:tc>
        <w:tc>
          <w:tcPr>
            <w:tcW w:w="1843" w:type="dxa"/>
            <w:tcBorders>
              <w:bottom w:val="single" w:sz="8" w:space="0" w:color="auto"/>
            </w:tcBorders>
          </w:tcPr>
          <w:p w14:paraId="6247B8D5" w14:textId="77777777" w:rsidR="000F0341" w:rsidRPr="00BF62A1" w:rsidRDefault="000F0341" w:rsidP="00E40B0D">
            <w:pPr>
              <w:spacing w:line="240" w:lineRule="auto"/>
              <w:jc w:val="left"/>
              <w:rPr>
                <w:color w:val="000000"/>
                <w:sz w:val="14"/>
                <w:szCs w:val="14"/>
              </w:rPr>
            </w:pPr>
            <w:r w:rsidRPr="00BF62A1">
              <w:rPr>
                <w:color w:val="000000"/>
                <w:sz w:val="14"/>
                <w:szCs w:val="14"/>
              </w:rPr>
              <w:t>545 (6.5)</w:t>
            </w:r>
          </w:p>
        </w:tc>
        <w:tc>
          <w:tcPr>
            <w:tcW w:w="1984" w:type="dxa"/>
            <w:vMerge/>
            <w:tcBorders>
              <w:bottom w:val="single" w:sz="8" w:space="0" w:color="auto"/>
            </w:tcBorders>
          </w:tcPr>
          <w:p w14:paraId="748AB318"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08059942"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59D51E11" w14:textId="77777777" w:rsidR="000F0341" w:rsidRPr="00BF62A1" w:rsidRDefault="000F0341" w:rsidP="00E40B0D">
            <w:pPr>
              <w:spacing w:line="240" w:lineRule="auto"/>
              <w:jc w:val="left"/>
              <w:rPr>
                <w:color w:val="000000"/>
                <w:sz w:val="14"/>
                <w:szCs w:val="14"/>
              </w:rPr>
            </w:pPr>
          </w:p>
        </w:tc>
      </w:tr>
      <w:tr w:rsidR="000F0341" w:rsidRPr="00BF62A1" w14:paraId="61D4F3D8" w14:textId="77777777" w:rsidTr="00E40B0D">
        <w:trPr>
          <w:trHeight w:val="313"/>
        </w:trPr>
        <w:tc>
          <w:tcPr>
            <w:tcW w:w="1422" w:type="dxa"/>
            <w:vMerge w:val="restart"/>
            <w:tcBorders>
              <w:top w:val="single" w:sz="8" w:space="0" w:color="auto"/>
            </w:tcBorders>
            <w:hideMark/>
          </w:tcPr>
          <w:p w14:paraId="79C2ACF1" w14:textId="3A096D3B" w:rsidR="000F0341" w:rsidRPr="00BF62A1" w:rsidRDefault="000F0341" w:rsidP="00E40B0D">
            <w:pPr>
              <w:spacing w:line="240" w:lineRule="auto"/>
              <w:jc w:val="left"/>
              <w:rPr>
                <w:color w:val="000000"/>
                <w:sz w:val="14"/>
                <w:szCs w:val="14"/>
              </w:rPr>
            </w:pPr>
            <w:r w:rsidRPr="00BF62A1">
              <w:rPr>
                <w:color w:val="000000"/>
                <w:sz w:val="14"/>
                <w:szCs w:val="14"/>
              </w:rPr>
              <w:t xml:space="preserve">Chiu 2015 </w:t>
            </w:r>
            <w:r w:rsidRPr="00BF62A1">
              <w:rPr>
                <w:color w:val="000000"/>
                <w:sz w:val="14"/>
                <w:szCs w:val="14"/>
              </w:rPr>
              <w:fldChar w:fldCharType="begin"/>
            </w:r>
            <w:r>
              <w:rPr>
                <w:color w:val="000000"/>
                <w:sz w:val="14"/>
                <w:szCs w:val="14"/>
              </w:rPr>
              <w:instrText xml:space="preserve"> ADDIN ZOTERO_ITEM CSL_CITATION {"citationID":"hAhm25nz","properties":{"formattedCitation":"[88]","plainCitation":"[88]","noteIndex":0},"citationItems":[{"id":14354,"uris":["http://zotero.org/groups/4983919/items/85AI84VG"],"itemData":{"id":14354,"type":"article-journal","abstract":"BACKGROUND: Despite the huge and growing global burden of hepatocellular carcinoma (HCC), high-quality population-based studies of HCC prevalence and outcomes are scarce. PURPOSE: To analyze trends and predictors of hospital resource utilization and mortality rates in a population of patients who had received HCC surgery. PATIENTS AND MATERIALS: This population-based patient cohort study retrospectively analyzed 23,107 patients who had received surgical treatment for HCC from 1998 to 2009. RESULTS: The prevalence rate of surgical treatment in HCC patients significantly increased by 167.4% from 4.857 per 100,000 persons in 1998 to 12.989 per 100,000 persons in 2009 (P &lt; 0.001). Age, gender, Deyo-Charlson co-morbidity index score, hospital volume, surgeon volume, digestive system disease, hepatitis type and liver cirrhosis were significantly associated with HCC surgical outcomes (P &lt; 0.05). Over the 12-year period analyzed, the estimated mean hospital treatment cost increased 9.4% whereas mean length of stay (LOS) decreased 25.3%. The estimated mean overall survival time after HCC surgery was 40.9 months (SD 1.2 months), and the overall in-hospital 1-, 3-, and 5-year survival rates were 97.2%, 79.9%, 61.1%, and 54.6%, respectively. CONCLUSIONS: These population-based data reveal that the prevalence of HCC has increased, especially in older patients. Additionally, hospital treatment costs for HCC have increased despite decreases in LOS. These analytical results should be applicable to most countries with relatively small populations. Additionally, healthcare providers and patients should recognize that attributes of both the patient and the hospital may affect outcomes.","container-title":"Eur J Surg Oncol","DOI":"10.1016/j.ejso.2015.04.023","ISSN":"0748-7983","issue":"9","language":"eng","page":"1170-8","title":"Trends and predictors of outcomes after surgery for hepatocellular carcinoma: A nationwide population-based study in Taiwan","volume":"41","author":[{"family":"Chiu","given":"C. C."},{"family":"Wang","given":"J. J."},{"family":"Chen","given":"Y. S."},{"family":"Chen","given":"J. J."},{"family":"Tsai","given":"T. C."},{"family":"Lai","given":"C. C."},{"family":"Sun","given":"D. P."},{"family":"Shi","given":"H. Y."}],"issued":{"date-parts":[["2015",9]]}}}],"schema":"https://github.com/citation-style-language/schema/raw/master/csl-citation.json"} </w:instrText>
            </w:r>
            <w:r w:rsidRPr="00BF62A1">
              <w:rPr>
                <w:color w:val="000000"/>
                <w:sz w:val="14"/>
                <w:szCs w:val="14"/>
              </w:rPr>
              <w:fldChar w:fldCharType="separate"/>
            </w:r>
            <w:r w:rsidRPr="004125CE">
              <w:rPr>
                <w:sz w:val="14"/>
              </w:rPr>
              <w:t>[</w:t>
            </w:r>
            <w:r w:rsidR="00D03F0D">
              <w:rPr>
                <w:sz w:val="14"/>
              </w:rPr>
              <w:t>52</w:t>
            </w:r>
            <w:r w:rsidRPr="004125CE">
              <w:rPr>
                <w:sz w:val="14"/>
              </w:rPr>
              <w:t>]</w:t>
            </w:r>
            <w:r w:rsidRPr="00BF62A1">
              <w:rPr>
                <w:color w:val="000000"/>
                <w:sz w:val="14"/>
                <w:szCs w:val="14"/>
              </w:rPr>
              <w:fldChar w:fldCharType="end"/>
            </w:r>
          </w:p>
        </w:tc>
        <w:tc>
          <w:tcPr>
            <w:tcW w:w="2973" w:type="dxa"/>
            <w:tcBorders>
              <w:top w:val="single" w:sz="8" w:space="0" w:color="auto"/>
            </w:tcBorders>
            <w:hideMark/>
          </w:tcPr>
          <w:p w14:paraId="3C7192EF"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Lobectomy </w:t>
            </w:r>
            <w:r w:rsidRPr="00BF62A1">
              <w:rPr>
                <w:color w:val="000000"/>
                <w:sz w:val="14"/>
                <w:szCs w:val="14"/>
              </w:rPr>
              <w:br/>
            </w:r>
          </w:p>
        </w:tc>
        <w:tc>
          <w:tcPr>
            <w:tcW w:w="1843" w:type="dxa"/>
            <w:vMerge w:val="restart"/>
            <w:tcBorders>
              <w:top w:val="single" w:sz="8" w:space="0" w:color="auto"/>
            </w:tcBorders>
            <w:hideMark/>
          </w:tcPr>
          <w:p w14:paraId="6C1EBE8D" w14:textId="77777777" w:rsidR="000F0341" w:rsidRPr="00BF62A1" w:rsidRDefault="000F0341" w:rsidP="00E40B0D">
            <w:pPr>
              <w:spacing w:line="240" w:lineRule="auto"/>
              <w:jc w:val="left"/>
              <w:rPr>
                <w:color w:val="000000"/>
                <w:sz w:val="14"/>
                <w:szCs w:val="14"/>
              </w:rPr>
            </w:pPr>
            <w:r w:rsidRPr="00BF62A1">
              <w:rPr>
                <w:color w:val="000000"/>
                <w:sz w:val="14"/>
                <w:szCs w:val="14"/>
              </w:rPr>
              <w:t>-</w:t>
            </w:r>
          </w:p>
        </w:tc>
        <w:tc>
          <w:tcPr>
            <w:tcW w:w="1984" w:type="dxa"/>
            <w:vMerge w:val="restart"/>
            <w:tcBorders>
              <w:top w:val="single" w:sz="8" w:space="0" w:color="auto"/>
            </w:tcBorders>
            <w:hideMark/>
          </w:tcPr>
          <w:p w14:paraId="72811E5B" w14:textId="77777777" w:rsidR="000F0341" w:rsidRPr="00BF62A1" w:rsidRDefault="000F0341" w:rsidP="00E40B0D">
            <w:pPr>
              <w:spacing w:line="240" w:lineRule="auto"/>
              <w:jc w:val="left"/>
              <w:rPr>
                <w:color w:val="000000"/>
                <w:sz w:val="14"/>
                <w:szCs w:val="14"/>
              </w:rPr>
            </w:pPr>
            <w:r w:rsidRPr="00BF62A1">
              <w:rPr>
                <w:color w:val="000000"/>
                <w:sz w:val="14"/>
                <w:szCs w:val="14"/>
              </w:rPr>
              <w:t>ICD-9-CM: 50.3, 50.22 / ICD-9CM 155.xx</w:t>
            </w:r>
          </w:p>
        </w:tc>
        <w:tc>
          <w:tcPr>
            <w:tcW w:w="3119" w:type="dxa"/>
            <w:vMerge w:val="restart"/>
            <w:tcBorders>
              <w:top w:val="single" w:sz="8" w:space="0" w:color="auto"/>
            </w:tcBorders>
            <w:hideMark/>
          </w:tcPr>
          <w:p w14:paraId="5E768211" w14:textId="77777777" w:rsidR="000F0341" w:rsidRPr="00BF62A1" w:rsidRDefault="000F0341" w:rsidP="00E40B0D">
            <w:pPr>
              <w:spacing w:line="240" w:lineRule="auto"/>
              <w:jc w:val="left"/>
              <w:rPr>
                <w:color w:val="000000"/>
                <w:sz w:val="14"/>
                <w:szCs w:val="14"/>
              </w:rPr>
            </w:pPr>
            <w:r>
              <w:rPr>
                <w:color w:val="000000"/>
                <w:sz w:val="14"/>
                <w:szCs w:val="14"/>
              </w:rPr>
              <w:t>S</w:t>
            </w:r>
            <w:r w:rsidRPr="00BF62A1">
              <w:rPr>
                <w:color w:val="000000"/>
                <w:sz w:val="14"/>
                <w:szCs w:val="14"/>
              </w:rPr>
              <w:t>econdary and unspecified malignant neoplasm (ICD-9-CM 196.XX-199.XX), malignant neoplasm of intrahepatic bile ducts (ICD-9-CM code 155.1), malignant neoplasm of liver, not specified as primary or secondary (ICD-9-CM code 155.2)</w:t>
            </w:r>
          </w:p>
        </w:tc>
        <w:tc>
          <w:tcPr>
            <w:tcW w:w="3234" w:type="dxa"/>
            <w:vMerge w:val="restart"/>
            <w:tcBorders>
              <w:top w:val="single" w:sz="8" w:space="0" w:color="auto"/>
            </w:tcBorders>
            <w:hideMark/>
          </w:tcPr>
          <w:p w14:paraId="0368AD82" w14:textId="77777777" w:rsidR="000F0341" w:rsidRPr="00BF62A1" w:rsidRDefault="000F0341" w:rsidP="00E40B0D">
            <w:pPr>
              <w:spacing w:line="240" w:lineRule="auto"/>
              <w:jc w:val="left"/>
              <w:rPr>
                <w:color w:val="000000"/>
                <w:sz w:val="14"/>
                <w:szCs w:val="14"/>
              </w:rPr>
            </w:pPr>
            <w:r>
              <w:rPr>
                <w:color w:val="000000"/>
                <w:sz w:val="14"/>
                <w:szCs w:val="14"/>
              </w:rPr>
              <w:t>A</w:t>
            </w:r>
            <w:r w:rsidRPr="00BF62A1">
              <w:rPr>
                <w:color w:val="000000"/>
                <w:sz w:val="14"/>
                <w:szCs w:val="14"/>
              </w:rPr>
              <w:t>ge, CCI, cirrhosis, comorbidities, gender, hospital/surgeon volume</w:t>
            </w:r>
          </w:p>
        </w:tc>
      </w:tr>
      <w:tr w:rsidR="000F0341" w:rsidRPr="00BF62A1" w14:paraId="18905A8D" w14:textId="77777777" w:rsidTr="00E40B0D">
        <w:trPr>
          <w:trHeight w:val="403"/>
        </w:trPr>
        <w:tc>
          <w:tcPr>
            <w:tcW w:w="1422" w:type="dxa"/>
            <w:vMerge/>
            <w:tcBorders>
              <w:bottom w:val="single" w:sz="8" w:space="0" w:color="auto"/>
            </w:tcBorders>
          </w:tcPr>
          <w:p w14:paraId="419B9856"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092FE02E" w14:textId="77777777" w:rsidR="000F0341" w:rsidRPr="00BF62A1" w:rsidRDefault="000F0341" w:rsidP="00E40B0D">
            <w:pPr>
              <w:spacing w:line="240" w:lineRule="auto"/>
              <w:jc w:val="left"/>
              <w:rPr>
                <w:color w:val="000000"/>
                <w:sz w:val="14"/>
                <w:szCs w:val="14"/>
              </w:rPr>
            </w:pPr>
            <w:r w:rsidRPr="00BF62A1">
              <w:rPr>
                <w:color w:val="000000"/>
                <w:sz w:val="14"/>
                <w:szCs w:val="14"/>
              </w:rPr>
              <w:t>Partial hepatectomy</w:t>
            </w:r>
          </w:p>
        </w:tc>
        <w:tc>
          <w:tcPr>
            <w:tcW w:w="1843" w:type="dxa"/>
            <w:vMerge/>
            <w:tcBorders>
              <w:bottom w:val="single" w:sz="8" w:space="0" w:color="auto"/>
            </w:tcBorders>
          </w:tcPr>
          <w:p w14:paraId="0CB7FC63" w14:textId="77777777" w:rsidR="000F0341" w:rsidRPr="00BF62A1" w:rsidRDefault="000F0341" w:rsidP="00E40B0D">
            <w:pPr>
              <w:spacing w:line="240" w:lineRule="auto"/>
              <w:jc w:val="left"/>
              <w:rPr>
                <w:color w:val="000000"/>
                <w:sz w:val="14"/>
                <w:szCs w:val="14"/>
              </w:rPr>
            </w:pPr>
          </w:p>
        </w:tc>
        <w:tc>
          <w:tcPr>
            <w:tcW w:w="1984" w:type="dxa"/>
            <w:vMerge/>
            <w:tcBorders>
              <w:bottom w:val="single" w:sz="8" w:space="0" w:color="auto"/>
            </w:tcBorders>
          </w:tcPr>
          <w:p w14:paraId="095A13DF"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5FB90470"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57EC1FE4" w14:textId="77777777" w:rsidR="000F0341" w:rsidRPr="00BF62A1" w:rsidRDefault="000F0341" w:rsidP="00E40B0D">
            <w:pPr>
              <w:spacing w:line="240" w:lineRule="auto"/>
              <w:jc w:val="left"/>
              <w:rPr>
                <w:color w:val="000000"/>
                <w:sz w:val="14"/>
                <w:szCs w:val="14"/>
              </w:rPr>
            </w:pPr>
          </w:p>
        </w:tc>
      </w:tr>
      <w:tr w:rsidR="000F0341" w:rsidRPr="00BF62A1" w14:paraId="6E882CB1" w14:textId="77777777" w:rsidTr="00E40B0D">
        <w:trPr>
          <w:trHeight w:val="292"/>
        </w:trPr>
        <w:tc>
          <w:tcPr>
            <w:tcW w:w="1422" w:type="dxa"/>
            <w:tcBorders>
              <w:top w:val="single" w:sz="8" w:space="0" w:color="auto"/>
              <w:bottom w:val="single" w:sz="8" w:space="0" w:color="auto"/>
            </w:tcBorders>
            <w:hideMark/>
          </w:tcPr>
          <w:p w14:paraId="74EE9C33"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Dhar 2019 </w:t>
            </w:r>
            <w:r w:rsidRPr="00BF62A1">
              <w:rPr>
                <w:color w:val="000000"/>
                <w:sz w:val="14"/>
                <w:szCs w:val="14"/>
              </w:rPr>
              <w:fldChar w:fldCharType="begin"/>
            </w:r>
            <w:r>
              <w:rPr>
                <w:color w:val="000000"/>
                <w:sz w:val="14"/>
                <w:szCs w:val="14"/>
              </w:rPr>
              <w:instrText xml:space="preserve"> ADDIN ZOTERO_ITEM CSL_CITATION {"citationID":"N4pk7QYs","properties":{"formattedCitation":"[72]","plainCitation":"[72]","noteIndex":0},"citationItems":[{"id":14335,"uris":["http://zotero.org/groups/4983919/items/U87DDYA4"],"itemData":{"id":14335,"type":"article-journal","abstract":"BACKGROUND: The purpose of the study was to characterize the prevalence and impact of perioperative blood use for patients undergoing hepatic lobectomy at academic medical centers. METHODS: The University HealthSystem Consortium (UHC) database was queried for hepatic lobectomies performed between 2011 and 2014 (n = 6476). Patients were grouped according to transfusion requirements into high (&gt;5 units, 7%), medium (2-5 units, 6%), low (1 unit, 8%), and none (0 units, 79%) during hospital stay for comparison of outcomes. RESULTS: Over 20% of patients undergoing hepatic lobectomy received blood perioperatively, of which 35% required more than 5 units. Patients with high transfusion requirements had increased severity of illness (p &lt; 0.01). High transfusion requirements correlated with increased readmission rates (23.4% vs. 19.2% vs. 16.6% vs. 13.5%), total direct costs ($31,982 vs. $20,859 vs. $19,457 vs. $16,934), length of stay (9 days vs. 8 vs. 7 vs. 6), and in-hospital mortality (10.8% vs. 2.0% vs. 0.9% vs. 2.0%) compared to medium, low, and no transfusion amounts (all p &lt; 0.01). Neither center nor surgeon volume were associated with transfusion use. CONCLUSION: High transfusion requirements after hepatic lobectomy in the United States are associated with worse perioperative quality measures, but may not be influenced by center or surgeon volume.","container-title":"HPB (Oxford)","DOI":"10.1016/j.hpb.2018.10.022","ISSN":"1365-182x","issue":"6","language":"eng","page":"748-756","title":"Perioperative blood transfusions following hepatic lobectomy: A national analysis of academic medical centers in the modern era","volume":"21","author":[{"family":"Dhar","given":"V. K."},{"family":"Wima","given":"K."},{"family":"Lee","given":"T. C."},{"family":"Morris","given":"M. C."},{"family":"Winer","given":"L. K."},{"family":"Ahmad","given":"S. A."},{"family":"Shah","given":"S. A."},{"family":"Patel","given":"S. H."}],"issued":{"date-parts":[["2019",6]]}}}],"schema":"https://github.com/citation-style-language/schema/raw/master/csl-citation.json"} </w:instrText>
            </w:r>
            <w:r w:rsidRPr="00BF62A1">
              <w:rPr>
                <w:color w:val="000000"/>
                <w:sz w:val="14"/>
                <w:szCs w:val="14"/>
              </w:rPr>
              <w:fldChar w:fldCharType="separate"/>
            </w:r>
            <w:r w:rsidRPr="004125CE">
              <w:rPr>
                <w:sz w:val="14"/>
              </w:rPr>
              <w:t>[72]</w:t>
            </w:r>
            <w:r w:rsidRPr="00BF62A1">
              <w:rPr>
                <w:color w:val="000000"/>
                <w:sz w:val="14"/>
                <w:szCs w:val="14"/>
              </w:rPr>
              <w:fldChar w:fldCharType="end"/>
            </w:r>
          </w:p>
        </w:tc>
        <w:tc>
          <w:tcPr>
            <w:tcW w:w="2973" w:type="dxa"/>
            <w:tcBorders>
              <w:top w:val="single" w:sz="8" w:space="0" w:color="auto"/>
              <w:bottom w:val="single" w:sz="8" w:space="0" w:color="auto"/>
            </w:tcBorders>
            <w:hideMark/>
          </w:tcPr>
          <w:p w14:paraId="00EB4D96"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Lobectomy </w:t>
            </w:r>
          </w:p>
        </w:tc>
        <w:tc>
          <w:tcPr>
            <w:tcW w:w="1843" w:type="dxa"/>
            <w:tcBorders>
              <w:top w:val="single" w:sz="8" w:space="0" w:color="auto"/>
              <w:bottom w:val="single" w:sz="8" w:space="0" w:color="auto"/>
            </w:tcBorders>
            <w:hideMark/>
          </w:tcPr>
          <w:p w14:paraId="5E0C2D1C" w14:textId="77777777" w:rsidR="000F0341" w:rsidRPr="00BF62A1" w:rsidRDefault="000F0341" w:rsidP="00E40B0D">
            <w:pPr>
              <w:spacing w:line="240" w:lineRule="auto"/>
              <w:jc w:val="left"/>
              <w:rPr>
                <w:color w:val="000000"/>
                <w:sz w:val="14"/>
                <w:szCs w:val="14"/>
              </w:rPr>
            </w:pPr>
            <w:r w:rsidRPr="00BF62A1">
              <w:rPr>
                <w:color w:val="000000"/>
                <w:sz w:val="14"/>
                <w:szCs w:val="14"/>
              </w:rPr>
              <w:t>6476 (100)</w:t>
            </w:r>
          </w:p>
        </w:tc>
        <w:tc>
          <w:tcPr>
            <w:tcW w:w="1984" w:type="dxa"/>
            <w:tcBorders>
              <w:top w:val="single" w:sz="8" w:space="0" w:color="auto"/>
              <w:bottom w:val="single" w:sz="8" w:space="0" w:color="auto"/>
            </w:tcBorders>
            <w:hideMark/>
          </w:tcPr>
          <w:p w14:paraId="142B7F2A" w14:textId="77777777" w:rsidR="000F0341" w:rsidRPr="00BF62A1" w:rsidRDefault="000F0341" w:rsidP="00E40B0D">
            <w:pPr>
              <w:spacing w:line="240" w:lineRule="auto"/>
              <w:jc w:val="left"/>
              <w:rPr>
                <w:color w:val="000000"/>
                <w:sz w:val="14"/>
                <w:szCs w:val="14"/>
              </w:rPr>
            </w:pPr>
            <w:r w:rsidRPr="00BF62A1">
              <w:rPr>
                <w:color w:val="000000"/>
                <w:sz w:val="14"/>
                <w:szCs w:val="14"/>
              </w:rPr>
              <w:t>ICD-9-CM: 50.3</w:t>
            </w:r>
          </w:p>
        </w:tc>
        <w:tc>
          <w:tcPr>
            <w:tcW w:w="3119" w:type="dxa"/>
            <w:tcBorders>
              <w:top w:val="single" w:sz="8" w:space="0" w:color="auto"/>
              <w:bottom w:val="single" w:sz="8" w:space="0" w:color="auto"/>
            </w:tcBorders>
            <w:hideMark/>
          </w:tcPr>
          <w:p w14:paraId="63BA3417" w14:textId="77777777" w:rsidR="000F0341" w:rsidRPr="00BF62A1" w:rsidRDefault="000F0341" w:rsidP="00E40B0D">
            <w:pPr>
              <w:spacing w:line="240" w:lineRule="auto"/>
              <w:jc w:val="left"/>
              <w:rPr>
                <w:color w:val="000000"/>
                <w:sz w:val="14"/>
                <w:szCs w:val="14"/>
              </w:rPr>
            </w:pPr>
            <w:r>
              <w:rPr>
                <w:color w:val="000000"/>
                <w:sz w:val="14"/>
                <w:szCs w:val="14"/>
              </w:rPr>
              <w:t>P</w:t>
            </w:r>
            <w:r w:rsidRPr="00BF62A1">
              <w:rPr>
                <w:color w:val="000000"/>
                <w:sz w:val="14"/>
                <w:szCs w:val="14"/>
              </w:rPr>
              <w:t>atients with missing data regarding surgeon and center volume; patients younger than 18 years</w:t>
            </w:r>
          </w:p>
        </w:tc>
        <w:tc>
          <w:tcPr>
            <w:tcW w:w="3234" w:type="dxa"/>
            <w:tcBorders>
              <w:top w:val="single" w:sz="8" w:space="0" w:color="auto"/>
              <w:bottom w:val="single" w:sz="8" w:space="0" w:color="auto"/>
            </w:tcBorders>
            <w:hideMark/>
          </w:tcPr>
          <w:p w14:paraId="796D3B48" w14:textId="77777777" w:rsidR="000F0341" w:rsidRPr="00BF62A1" w:rsidRDefault="000F0341" w:rsidP="00E40B0D">
            <w:pPr>
              <w:spacing w:line="240" w:lineRule="auto"/>
              <w:jc w:val="left"/>
              <w:rPr>
                <w:color w:val="000000"/>
                <w:sz w:val="14"/>
                <w:szCs w:val="14"/>
              </w:rPr>
            </w:pPr>
            <w:r>
              <w:rPr>
                <w:color w:val="000000"/>
                <w:sz w:val="14"/>
                <w:szCs w:val="14"/>
              </w:rPr>
              <w:t>C</w:t>
            </w:r>
            <w:r w:rsidRPr="00BF62A1">
              <w:rPr>
                <w:color w:val="000000"/>
                <w:sz w:val="14"/>
                <w:szCs w:val="14"/>
              </w:rPr>
              <w:t>omorbidities, complications, hospital/surgeon volume, severity of illness</w:t>
            </w:r>
          </w:p>
        </w:tc>
      </w:tr>
      <w:tr w:rsidR="000F0341" w:rsidRPr="00BF62A1" w14:paraId="19F408BD" w14:textId="77777777" w:rsidTr="00E40B0D">
        <w:trPr>
          <w:trHeight w:val="301"/>
        </w:trPr>
        <w:tc>
          <w:tcPr>
            <w:tcW w:w="1422" w:type="dxa"/>
            <w:tcBorders>
              <w:top w:val="single" w:sz="8" w:space="0" w:color="auto"/>
              <w:bottom w:val="single" w:sz="8" w:space="0" w:color="auto"/>
            </w:tcBorders>
            <w:hideMark/>
          </w:tcPr>
          <w:p w14:paraId="79278619"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Diggs 2021 </w:t>
            </w:r>
            <w:r w:rsidRPr="00BF62A1">
              <w:rPr>
                <w:color w:val="000000"/>
                <w:sz w:val="14"/>
                <w:szCs w:val="14"/>
              </w:rPr>
              <w:fldChar w:fldCharType="begin"/>
            </w:r>
            <w:r>
              <w:rPr>
                <w:color w:val="000000"/>
                <w:sz w:val="14"/>
                <w:szCs w:val="14"/>
              </w:rPr>
              <w:instrText xml:space="preserve"> ADDIN ZOTERO_ITEM CSL_CITATION {"citationID":"vxDSYvL8","properties":{"formattedCitation":"[67]","plainCitation":"[67]","noteIndex":0},"citationItems":[{"id":14334,"uris":["http://zotero.org/groups/4983919/items/DLBKIRJS"],"itemData":{"id":14334,"type":"article-journal","abstract":"INTRODUCTION: Major hepatectomies are utilized to manage primary hepatic malignancies. Reports from high-volume centers (HVCs) with minimal perioperative mortality focus on multiple aspects of perioperative care, although patient-specific factors remain unelucidated. We identified patient factors associated with outcomes and examined whether these contribute to survival differences. METHODS: We queried the National Cancer Database (2006-2015) for patients with primary liver malignancies managed with major hepatectomy. Facilities were dichotomized by volume (high volume: &gt;15 hepatectomies/year). Perioperative outcomes were compared based on patient demographic and clinical characteristics as well as center volume. RESULTS: 4263 patients were included with 78.5% receiving care in low-volume centers (LVCs). 90-day postoperative mortality was higher in LVCs vs. HVCs (12% vs. 7.5%; P &lt; .001). Factors associated with undergoing surgery in LVCs included: living in areas with lower income (P = .006) and education (P &lt; .001), having nonprivate insurance (P &lt; .001), residing near the care center (P &lt; .001), and having a comorbidity score (CDS) &gt;1 (P = .014). Patients with CDS ≤ 1 had higher 90-day mortality in LVCs (11.3% vs. 6.6%; P &lt; .001) and had similar outcomes in LVCs and HVCs (15.6% vs. 13.7% P = .6). Patients with CDS &gt; 1 were more likely to receive care in LVCs (16.3% vs. 12.7%; P &lt; .001). CONCLUSION: Reduced perioperative mortality following major hepatectomy in HVCs is driven by optimal management of patients with low CDS. However, nearly 1 in 5 patients who undergo major hepatectomies have a high CDS and approximately 15% of them succumb in the perioperative period irrespective of the treating centers' experience.","container-title":"Am Surg","DOI":"10.1177/0003134820973368","ISSN":"0003-1348","issue":"7","language":"eng","page":"1163-1170","title":"Patient Comorbidities Drive High Mortality Rates Associated with Major Liver Resections Irrespective of Hospital Volume","volume":"87","author":[{"family":"Diggs","given":"L. P."},{"family":"Aversa","given":"J. G."},{"family":"Wiemken","given":"T. L."},{"family":"Martin","given":"S. P."},{"family":"Drake","given":"J. A."},{"family":"Ruff","given":"S. M."},{"family":"Wach","given":"M. M."},{"family":"Brown","given":"Z. J."},{"family":"Blakely","given":"A. M."},{"family":"Davis","given":"J. L."},{"family":"Luu","given":"C."},{"family":"Hernandez","given":"J. M."}],"issued":{"date-parts":[["2021",7]]}}}],"schema":"https://github.com/citation-style-language/schema/raw/master/csl-citation.json"} </w:instrText>
            </w:r>
            <w:r w:rsidRPr="00BF62A1">
              <w:rPr>
                <w:color w:val="000000"/>
                <w:sz w:val="14"/>
                <w:szCs w:val="14"/>
              </w:rPr>
              <w:fldChar w:fldCharType="separate"/>
            </w:r>
            <w:r w:rsidRPr="004125CE">
              <w:rPr>
                <w:sz w:val="14"/>
              </w:rPr>
              <w:t>[67]</w:t>
            </w:r>
            <w:r w:rsidRPr="00BF62A1">
              <w:rPr>
                <w:color w:val="000000"/>
                <w:sz w:val="14"/>
                <w:szCs w:val="14"/>
              </w:rPr>
              <w:fldChar w:fldCharType="end"/>
            </w:r>
          </w:p>
        </w:tc>
        <w:tc>
          <w:tcPr>
            <w:tcW w:w="2973" w:type="dxa"/>
            <w:tcBorders>
              <w:top w:val="single" w:sz="8" w:space="0" w:color="auto"/>
              <w:bottom w:val="single" w:sz="8" w:space="0" w:color="auto"/>
            </w:tcBorders>
            <w:hideMark/>
          </w:tcPr>
          <w:p w14:paraId="7C505A66"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Major hepatectomy ( ≥4 Couinaud liver segments) </w:t>
            </w:r>
          </w:p>
        </w:tc>
        <w:tc>
          <w:tcPr>
            <w:tcW w:w="1843" w:type="dxa"/>
            <w:tcBorders>
              <w:top w:val="single" w:sz="8" w:space="0" w:color="auto"/>
              <w:bottom w:val="single" w:sz="8" w:space="0" w:color="auto"/>
            </w:tcBorders>
            <w:hideMark/>
          </w:tcPr>
          <w:p w14:paraId="31A8FBDC" w14:textId="77777777" w:rsidR="000F0341" w:rsidRPr="00BF62A1" w:rsidRDefault="000F0341" w:rsidP="00E40B0D">
            <w:pPr>
              <w:spacing w:line="240" w:lineRule="auto"/>
              <w:jc w:val="left"/>
              <w:rPr>
                <w:sz w:val="14"/>
                <w:szCs w:val="14"/>
              </w:rPr>
            </w:pPr>
            <w:r w:rsidRPr="00BF62A1">
              <w:rPr>
                <w:sz w:val="14"/>
                <w:szCs w:val="14"/>
              </w:rPr>
              <w:t>4263</w:t>
            </w:r>
          </w:p>
        </w:tc>
        <w:tc>
          <w:tcPr>
            <w:tcW w:w="1984" w:type="dxa"/>
            <w:tcBorders>
              <w:top w:val="single" w:sz="8" w:space="0" w:color="auto"/>
              <w:bottom w:val="single" w:sz="8" w:space="0" w:color="auto"/>
            </w:tcBorders>
            <w:hideMark/>
          </w:tcPr>
          <w:p w14:paraId="3AD2E3B0" w14:textId="77777777" w:rsidR="000F0341" w:rsidRPr="00BF62A1" w:rsidRDefault="000F0341" w:rsidP="00E40B0D">
            <w:pPr>
              <w:spacing w:line="240" w:lineRule="auto"/>
              <w:jc w:val="left"/>
              <w:rPr>
                <w:color w:val="000000"/>
                <w:sz w:val="14"/>
                <w:szCs w:val="14"/>
              </w:rPr>
            </w:pPr>
            <w:r w:rsidRPr="00BF62A1">
              <w:rPr>
                <w:color w:val="000000"/>
                <w:sz w:val="14"/>
                <w:szCs w:val="14"/>
              </w:rPr>
              <w:t>ICD-O-3 C22.0; 8170-8175; 8160</w:t>
            </w:r>
          </w:p>
        </w:tc>
        <w:tc>
          <w:tcPr>
            <w:tcW w:w="3119" w:type="dxa"/>
            <w:tcBorders>
              <w:top w:val="single" w:sz="8" w:space="0" w:color="auto"/>
              <w:bottom w:val="single" w:sz="8" w:space="0" w:color="auto"/>
            </w:tcBorders>
            <w:hideMark/>
          </w:tcPr>
          <w:p w14:paraId="4775BCB1" w14:textId="77777777" w:rsidR="000F0341" w:rsidRPr="00BF62A1" w:rsidRDefault="000F0341" w:rsidP="00E40B0D">
            <w:pPr>
              <w:spacing w:line="240" w:lineRule="auto"/>
              <w:jc w:val="left"/>
              <w:rPr>
                <w:color w:val="000000"/>
                <w:sz w:val="14"/>
                <w:szCs w:val="14"/>
              </w:rPr>
            </w:pPr>
            <w:r w:rsidRPr="00BF62A1">
              <w:rPr>
                <w:color w:val="000000"/>
                <w:sz w:val="14"/>
                <w:szCs w:val="14"/>
              </w:rPr>
              <w:t>Nonoperative cases; resections less than major resections; resections for other malignancies</w:t>
            </w:r>
          </w:p>
        </w:tc>
        <w:tc>
          <w:tcPr>
            <w:tcW w:w="3234" w:type="dxa"/>
            <w:tcBorders>
              <w:top w:val="single" w:sz="8" w:space="0" w:color="auto"/>
              <w:bottom w:val="single" w:sz="8" w:space="0" w:color="auto"/>
            </w:tcBorders>
            <w:hideMark/>
          </w:tcPr>
          <w:p w14:paraId="0AD49F68" w14:textId="77777777" w:rsidR="000F0341" w:rsidRPr="00BF62A1" w:rsidRDefault="000F0341" w:rsidP="00E40B0D">
            <w:pPr>
              <w:spacing w:line="240" w:lineRule="auto"/>
              <w:jc w:val="left"/>
              <w:rPr>
                <w:color w:val="000000"/>
                <w:sz w:val="14"/>
                <w:szCs w:val="14"/>
              </w:rPr>
            </w:pPr>
            <w:r w:rsidRPr="00BF62A1">
              <w:rPr>
                <w:color w:val="000000"/>
                <w:sz w:val="14"/>
                <w:szCs w:val="14"/>
              </w:rPr>
              <w:t>CCI, crowfly, education, income, insurance, race</w:t>
            </w:r>
          </w:p>
        </w:tc>
      </w:tr>
      <w:tr w:rsidR="000F0341" w:rsidRPr="00BF62A1" w14:paraId="35DCCD6F" w14:textId="77777777" w:rsidTr="00E40B0D">
        <w:trPr>
          <w:trHeight w:val="249"/>
        </w:trPr>
        <w:tc>
          <w:tcPr>
            <w:tcW w:w="1422" w:type="dxa"/>
            <w:vMerge w:val="restart"/>
            <w:tcBorders>
              <w:top w:val="single" w:sz="8" w:space="0" w:color="auto"/>
            </w:tcBorders>
            <w:hideMark/>
          </w:tcPr>
          <w:p w14:paraId="41FFF7BA" w14:textId="7FCA154D" w:rsidR="000F0341" w:rsidRPr="00BF62A1" w:rsidRDefault="000F0341" w:rsidP="00E40B0D">
            <w:pPr>
              <w:spacing w:line="240" w:lineRule="auto"/>
              <w:jc w:val="left"/>
              <w:rPr>
                <w:color w:val="000000"/>
                <w:sz w:val="14"/>
                <w:szCs w:val="14"/>
              </w:rPr>
            </w:pPr>
            <w:r w:rsidRPr="00BF62A1">
              <w:rPr>
                <w:color w:val="000000"/>
                <w:sz w:val="14"/>
                <w:szCs w:val="14"/>
              </w:rPr>
              <w:t xml:space="preserve">Eguia 2021 </w:t>
            </w:r>
            <w:r w:rsidRPr="00BF62A1">
              <w:rPr>
                <w:color w:val="000000"/>
                <w:sz w:val="14"/>
                <w:szCs w:val="14"/>
              </w:rPr>
              <w:fldChar w:fldCharType="begin"/>
            </w:r>
            <w:r>
              <w:rPr>
                <w:color w:val="000000"/>
                <w:sz w:val="14"/>
                <w:szCs w:val="14"/>
              </w:rPr>
              <w:instrText xml:space="preserve"> ADDIN ZOTERO_ITEM CSL_CITATION {"citationID":"o8OgXs9R","properties":{"formattedCitation":"[90]","plainCitation":"[90]","noteIndex":0},"citationItems":[{"id":14236,"uris":["http://zotero.org/groups/4983919/items/Q54D367G"],"itemData":{"id":14236,"type":"article-journal","abstract":"BACKGROUND: Prior studies comparing the efficacy of laparoscopic (LHR) and open hepatic resection (OHR) have not evaluated inpatient costs. METHODS: We conducted a retrospective cohort study using the Healthcare Cost and Utilization Project State Inpatient Databases to identify patients undergoing hepatic resection between 2010 and 2014. RESULTS: 10,239 patients underwent hepatic resection. 865 (8%) underwent LHR and 9374 (92%) underwent OHR. On adjusting for hospital volume, patients undergoing LHR had a lower risk of respiratory (OR 0.64, 95% CI [0.52, 0.78]), wound (OR 0.48; 95% CI [0.29, 0.79]) and hematologic (OR 0.57; 95% CI [0.44, 0.73]) complication as well as a lower risk of being in the highest quartile of cost (0.58; 95% CI [0.43, 0.77]) than those undergoing OHR. Patients undergoing LHR in very high volume (&gt;314 hepatectomies/year) centers had lower risk-adjusted 90-day aggregate costs of care than those undergoing OHR (-$8022; 95% CI [-$11,732, -$4311). DISCUSSION: Laparoscopic partial hepatectomy is associated with lower risk of postoperative complication than OHR. This translates to lower aggregate costs in very high-volume centers.","container-title":"Am J Surg","DOI":"10.1016/j.amjsurg.2020.12.051","ISSN":"0002-9610","issue":"3","language":"eng","note":"publisher-place: Department of Surgery, Loyola University Medical Center, Maywood, IL, USA. Electronic address: emanuel.eguia@lumc.edu. Department of Surgery, Loyola University Medical Center, Maywood, IL, USA. Department of Surgery, University of South Florida, Tampa, FL, USA.","page":"577-583","title":"Laparoscopic partial hepatectomy is cost-effective when performed in high volume centers: A five state analysis","volume":"222","author":[{"family":"Eguia","given":"E."},{"family":"Sweigert","given":"P. J."},{"family":"Li","given":"R. D."},{"family":"Kuo","given":"P. C."},{"family":"Janjua","given":"H."},{"family":"Abood","given":"G."},{"family":"Baker","given":"M. S."}],"issued":{"date-parts":[["2021",9]]}}}],"schema":"https://github.com/citation-style-language/schema/raw/master/csl-citation.json"} </w:instrText>
            </w:r>
            <w:r w:rsidRPr="00BF62A1">
              <w:rPr>
                <w:color w:val="000000"/>
                <w:sz w:val="14"/>
                <w:szCs w:val="14"/>
              </w:rPr>
              <w:fldChar w:fldCharType="separate"/>
            </w:r>
            <w:r w:rsidRPr="004125CE">
              <w:rPr>
                <w:sz w:val="14"/>
              </w:rPr>
              <w:t>[</w:t>
            </w:r>
            <w:r w:rsidR="00D03F0D">
              <w:rPr>
                <w:sz w:val="14"/>
              </w:rPr>
              <w:t>79</w:t>
            </w:r>
            <w:r w:rsidRPr="004125CE">
              <w:rPr>
                <w:sz w:val="14"/>
              </w:rPr>
              <w:t>]</w:t>
            </w:r>
            <w:r w:rsidRPr="00BF62A1">
              <w:rPr>
                <w:color w:val="000000"/>
                <w:sz w:val="14"/>
                <w:szCs w:val="14"/>
              </w:rPr>
              <w:fldChar w:fldCharType="end"/>
            </w:r>
          </w:p>
        </w:tc>
        <w:tc>
          <w:tcPr>
            <w:tcW w:w="2973" w:type="dxa"/>
            <w:tcBorders>
              <w:top w:val="single" w:sz="8" w:space="0" w:color="auto"/>
            </w:tcBorders>
            <w:hideMark/>
          </w:tcPr>
          <w:p w14:paraId="13CF75D6"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Lobectomy </w:t>
            </w:r>
            <w:r w:rsidRPr="00BF62A1">
              <w:rPr>
                <w:color w:val="000000"/>
                <w:sz w:val="14"/>
                <w:szCs w:val="14"/>
              </w:rPr>
              <w:br/>
            </w:r>
          </w:p>
        </w:tc>
        <w:tc>
          <w:tcPr>
            <w:tcW w:w="1843" w:type="dxa"/>
            <w:tcBorders>
              <w:top w:val="single" w:sz="8" w:space="0" w:color="auto"/>
            </w:tcBorders>
            <w:hideMark/>
          </w:tcPr>
          <w:p w14:paraId="18E84F5D" w14:textId="77777777" w:rsidR="000F0341" w:rsidRPr="00BF62A1" w:rsidRDefault="000F0341" w:rsidP="00E40B0D">
            <w:pPr>
              <w:spacing w:line="240" w:lineRule="auto"/>
              <w:jc w:val="left"/>
              <w:rPr>
                <w:color w:val="000000"/>
                <w:sz w:val="14"/>
                <w:szCs w:val="14"/>
              </w:rPr>
            </w:pPr>
            <w:r w:rsidRPr="00BF62A1">
              <w:rPr>
                <w:color w:val="000000"/>
                <w:sz w:val="14"/>
                <w:szCs w:val="14"/>
              </w:rPr>
              <w:t>2383 (23.3)</w:t>
            </w:r>
            <w:r w:rsidRPr="00BF62A1">
              <w:rPr>
                <w:color w:val="000000"/>
                <w:sz w:val="14"/>
                <w:szCs w:val="14"/>
              </w:rPr>
              <w:br/>
            </w:r>
          </w:p>
        </w:tc>
        <w:tc>
          <w:tcPr>
            <w:tcW w:w="1984" w:type="dxa"/>
            <w:vMerge w:val="restart"/>
            <w:tcBorders>
              <w:top w:val="single" w:sz="8" w:space="0" w:color="auto"/>
            </w:tcBorders>
            <w:hideMark/>
          </w:tcPr>
          <w:p w14:paraId="2339543D" w14:textId="77777777" w:rsidR="000F0341" w:rsidRPr="00BF62A1" w:rsidRDefault="000F0341" w:rsidP="00E40B0D">
            <w:pPr>
              <w:spacing w:line="240" w:lineRule="auto"/>
              <w:jc w:val="left"/>
              <w:rPr>
                <w:color w:val="000000"/>
                <w:sz w:val="14"/>
                <w:szCs w:val="14"/>
              </w:rPr>
            </w:pPr>
            <w:r w:rsidRPr="00BF62A1">
              <w:rPr>
                <w:color w:val="000000"/>
                <w:sz w:val="14"/>
                <w:szCs w:val="14"/>
              </w:rPr>
              <w:t>ICD-9-CM: 50.3, 50.22, 54.51, 54.21, 17.41, 17.42, 17.43, 17.49</w:t>
            </w:r>
          </w:p>
        </w:tc>
        <w:tc>
          <w:tcPr>
            <w:tcW w:w="3119" w:type="dxa"/>
            <w:vMerge w:val="restart"/>
            <w:tcBorders>
              <w:top w:val="single" w:sz="8" w:space="0" w:color="auto"/>
            </w:tcBorders>
            <w:hideMark/>
          </w:tcPr>
          <w:p w14:paraId="69617D80" w14:textId="77777777" w:rsidR="000F0341" w:rsidRPr="00BF62A1" w:rsidRDefault="000F0341" w:rsidP="00E40B0D">
            <w:pPr>
              <w:spacing w:line="240" w:lineRule="auto"/>
              <w:jc w:val="left"/>
              <w:rPr>
                <w:color w:val="000000"/>
                <w:sz w:val="14"/>
                <w:szCs w:val="14"/>
              </w:rPr>
            </w:pPr>
            <w:r w:rsidRPr="00BF62A1">
              <w:rPr>
                <w:color w:val="000000"/>
                <w:sz w:val="14"/>
                <w:szCs w:val="14"/>
              </w:rPr>
              <w:t>&lt;18 years of age; patients with conversion from laparoscopic to open; emergency surgery; liver transplantation; total hepatectomies; robotic procedures</w:t>
            </w:r>
          </w:p>
        </w:tc>
        <w:tc>
          <w:tcPr>
            <w:tcW w:w="3234" w:type="dxa"/>
            <w:vMerge w:val="restart"/>
            <w:tcBorders>
              <w:top w:val="single" w:sz="8" w:space="0" w:color="auto"/>
            </w:tcBorders>
            <w:hideMark/>
          </w:tcPr>
          <w:p w14:paraId="5C18936E" w14:textId="77777777" w:rsidR="000F0341" w:rsidRPr="00BF62A1" w:rsidRDefault="000F0341" w:rsidP="00E40B0D">
            <w:pPr>
              <w:spacing w:line="240" w:lineRule="auto"/>
              <w:jc w:val="left"/>
              <w:rPr>
                <w:color w:val="000000"/>
                <w:sz w:val="14"/>
                <w:szCs w:val="14"/>
              </w:rPr>
            </w:pPr>
            <w:r>
              <w:rPr>
                <w:color w:val="000000"/>
                <w:sz w:val="14"/>
                <w:szCs w:val="14"/>
              </w:rPr>
              <w:t>A</w:t>
            </w:r>
            <w:r w:rsidRPr="00BF62A1">
              <w:rPr>
                <w:color w:val="000000"/>
                <w:sz w:val="14"/>
                <w:szCs w:val="14"/>
              </w:rPr>
              <w:t>ge, CCI, gender, insurance type, pathology type</w:t>
            </w:r>
          </w:p>
        </w:tc>
      </w:tr>
      <w:tr w:rsidR="000F0341" w:rsidRPr="00BF62A1" w14:paraId="19948D74" w14:textId="77777777" w:rsidTr="00E40B0D">
        <w:trPr>
          <w:trHeight w:val="318"/>
        </w:trPr>
        <w:tc>
          <w:tcPr>
            <w:tcW w:w="1422" w:type="dxa"/>
            <w:vMerge/>
            <w:tcBorders>
              <w:bottom w:val="single" w:sz="8" w:space="0" w:color="auto"/>
            </w:tcBorders>
          </w:tcPr>
          <w:p w14:paraId="72C1F96E"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168AF690" w14:textId="77777777" w:rsidR="000F0341" w:rsidRPr="00BF62A1" w:rsidRDefault="000F0341" w:rsidP="00E40B0D">
            <w:pPr>
              <w:spacing w:line="240" w:lineRule="auto"/>
              <w:jc w:val="left"/>
              <w:rPr>
                <w:color w:val="000000"/>
                <w:sz w:val="14"/>
                <w:szCs w:val="14"/>
              </w:rPr>
            </w:pPr>
            <w:r w:rsidRPr="00BF62A1">
              <w:rPr>
                <w:color w:val="000000"/>
                <w:sz w:val="14"/>
                <w:szCs w:val="14"/>
              </w:rPr>
              <w:t>Partial hepatectomy</w:t>
            </w:r>
          </w:p>
        </w:tc>
        <w:tc>
          <w:tcPr>
            <w:tcW w:w="1843" w:type="dxa"/>
            <w:tcBorders>
              <w:bottom w:val="single" w:sz="8" w:space="0" w:color="auto"/>
            </w:tcBorders>
          </w:tcPr>
          <w:p w14:paraId="6C21A0B1" w14:textId="77777777" w:rsidR="000F0341" w:rsidRPr="00BF62A1" w:rsidRDefault="000F0341" w:rsidP="00E40B0D">
            <w:pPr>
              <w:spacing w:line="240" w:lineRule="auto"/>
              <w:jc w:val="left"/>
              <w:rPr>
                <w:color w:val="000000"/>
                <w:sz w:val="14"/>
                <w:szCs w:val="14"/>
              </w:rPr>
            </w:pPr>
            <w:r w:rsidRPr="00BF62A1">
              <w:rPr>
                <w:color w:val="000000"/>
                <w:sz w:val="14"/>
                <w:szCs w:val="14"/>
              </w:rPr>
              <w:t>7858 (76.7)</w:t>
            </w:r>
          </w:p>
        </w:tc>
        <w:tc>
          <w:tcPr>
            <w:tcW w:w="1984" w:type="dxa"/>
            <w:vMerge/>
            <w:tcBorders>
              <w:bottom w:val="single" w:sz="8" w:space="0" w:color="auto"/>
            </w:tcBorders>
          </w:tcPr>
          <w:p w14:paraId="611E90D9"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6CA7BA0F"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7999BA7F" w14:textId="77777777" w:rsidR="000F0341" w:rsidRPr="00BF62A1" w:rsidRDefault="000F0341" w:rsidP="00E40B0D">
            <w:pPr>
              <w:spacing w:line="240" w:lineRule="auto"/>
              <w:jc w:val="left"/>
              <w:rPr>
                <w:color w:val="000000"/>
                <w:sz w:val="14"/>
                <w:szCs w:val="14"/>
              </w:rPr>
            </w:pPr>
          </w:p>
        </w:tc>
      </w:tr>
      <w:tr w:rsidR="000F0341" w:rsidRPr="00BF62A1" w14:paraId="5F9FA350" w14:textId="77777777" w:rsidTr="00E40B0D">
        <w:trPr>
          <w:trHeight w:val="443"/>
        </w:trPr>
        <w:tc>
          <w:tcPr>
            <w:tcW w:w="1422" w:type="dxa"/>
            <w:vMerge w:val="restart"/>
            <w:tcBorders>
              <w:top w:val="single" w:sz="8" w:space="0" w:color="auto"/>
            </w:tcBorders>
            <w:hideMark/>
          </w:tcPr>
          <w:p w14:paraId="73036398" w14:textId="0FFAE611" w:rsidR="000F0341" w:rsidRPr="00BF62A1" w:rsidRDefault="000F0341" w:rsidP="00E40B0D">
            <w:pPr>
              <w:spacing w:line="240" w:lineRule="auto"/>
              <w:jc w:val="left"/>
              <w:rPr>
                <w:color w:val="000000"/>
                <w:sz w:val="14"/>
                <w:szCs w:val="14"/>
              </w:rPr>
            </w:pPr>
            <w:r w:rsidRPr="00BF62A1">
              <w:rPr>
                <w:color w:val="000000"/>
                <w:sz w:val="14"/>
                <w:szCs w:val="14"/>
              </w:rPr>
              <w:t xml:space="preserve">El Amrani  2019 </w:t>
            </w:r>
            <w:r w:rsidRPr="00BF62A1">
              <w:rPr>
                <w:color w:val="000000"/>
                <w:sz w:val="14"/>
                <w:szCs w:val="14"/>
              </w:rPr>
              <w:fldChar w:fldCharType="begin"/>
            </w:r>
            <w:r>
              <w:rPr>
                <w:color w:val="000000"/>
                <w:sz w:val="14"/>
                <w:szCs w:val="14"/>
              </w:rPr>
              <w:instrText xml:space="preserve"> ADDIN ZOTERO_ITEM CSL_CITATION {"citationID":"ysjyIaYE","properties":{"formattedCitation":"[95]","plainCitation":"[95]","noteIndex":0},"citationItems":[{"id":14298,"uris":["http://zotero.org/groups/4983919/items/U7ZDCDJ9"],"itemData":{"id":14298,"type":"article-journal","abstract":"OBJECTIVES: We aimed to examine whether the improved outcome of a digestive cancer procedure in high-volume hospitals is specific or correlates with that of other digestive cancer procedures, and determine if the discriminant cut-off of hospital volume may influence postoperative mortality (POM) regardless of the procedure. BACKGROUND: Performing complex surgeries in tertiary centers is associated with improved outcome. However, the association between POM and hospital volume of nonspecific procedures is unknown. METHODS: Patients who underwent colectomy, proctectomy, esophagectomy, gastrectomy, pancreatectomy, and hepatectomy for cancer between 2012 and 2017 were identified in the French nationwide database. Chi-square automatic interaction detector was used to identify the cut-off values of the annual caseload affecting the 90-day POM. A common threshold was estimated by minimization of chi-square distance taking into account the specific mortality of each procedure. RESULTS: Overall, 225,752 patients were identified. Hospitals were categorized according to the procedure volume (colectomy: ≥80 cases/yr, proctectomy: ≥35/yr, esophagectomy: ≥41/yr, gastrectomy: ≥16/yr, pancreatectomy: ≥26/yr, and hepatectomy: ≥76/yr). The overall 90-day POM was 5.1% and varied significantly with volume. The benefits of high volume were transferable across procedures. High-volume hospitals for colorectal cancer surgery significantly influenced the risk of death after hepatectomy (P &lt; 0.001) and pancreatectomy (P &lt; 0.001). The common threshold for all procedures that influenced POM was 199 cases/yr (odds ratio 1.29, P &lt; 0.001). CONCLUSION: In digestive cancer surgery, the volume-POM relationship of one procedure was associated with the volume of other procedures. Thus, tertiary hospitals should be defined according to the common threshold of different procedures.","container-title":"Ann Surg","DOI":"10.1097/sla.0000000000003532","ISSN":"0003-4932","issue":"5","language":"eng","page":"775-782","title":"Specificity of Procedure volume and its Association With Postoperative Mortality in Digestive Cancer Surgery: A Nationwide Study of 225,752 Patients","volume":"270","author":[{"family":"El Amrani","given":"M."},{"family":"Lenne","given":"X."},{"family":"Clement","given":"G."},{"family":"Delpero","given":"J. R."},{"family":"Theis","given":"D."},{"family":"Pruvot","given":"F. R."},{"family":"Bruandet","given":"A."},{"family":"Truant","given":"S."}],"issued":{"date-parts":[["2019",11]]}}}],"schema":"https://github.com/citation-style-language/schema/raw/master/csl-citation.json"} </w:instrText>
            </w:r>
            <w:r w:rsidRPr="00BF62A1">
              <w:rPr>
                <w:color w:val="000000"/>
                <w:sz w:val="14"/>
                <w:szCs w:val="14"/>
              </w:rPr>
              <w:fldChar w:fldCharType="separate"/>
            </w:r>
            <w:r w:rsidRPr="004125CE">
              <w:rPr>
                <w:sz w:val="14"/>
              </w:rPr>
              <w:t>[</w:t>
            </w:r>
            <w:r w:rsidR="00D03F0D">
              <w:rPr>
                <w:sz w:val="14"/>
              </w:rPr>
              <w:t>69</w:t>
            </w:r>
            <w:r w:rsidRPr="004125CE">
              <w:rPr>
                <w:sz w:val="14"/>
              </w:rPr>
              <w:t>]</w:t>
            </w:r>
            <w:r w:rsidRPr="00BF62A1">
              <w:rPr>
                <w:color w:val="000000"/>
                <w:sz w:val="14"/>
                <w:szCs w:val="14"/>
              </w:rPr>
              <w:fldChar w:fldCharType="end"/>
            </w:r>
          </w:p>
        </w:tc>
        <w:tc>
          <w:tcPr>
            <w:tcW w:w="2973" w:type="dxa"/>
            <w:tcBorders>
              <w:top w:val="single" w:sz="8" w:space="0" w:color="auto"/>
            </w:tcBorders>
            <w:hideMark/>
          </w:tcPr>
          <w:p w14:paraId="6410B0DB"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Lobectomy </w:t>
            </w:r>
            <w:r w:rsidRPr="00BF62A1">
              <w:rPr>
                <w:color w:val="000000"/>
                <w:sz w:val="14"/>
                <w:szCs w:val="14"/>
              </w:rPr>
              <w:br/>
            </w:r>
          </w:p>
        </w:tc>
        <w:tc>
          <w:tcPr>
            <w:tcW w:w="1843" w:type="dxa"/>
            <w:vMerge w:val="restart"/>
            <w:tcBorders>
              <w:top w:val="single" w:sz="8" w:space="0" w:color="auto"/>
            </w:tcBorders>
            <w:hideMark/>
          </w:tcPr>
          <w:p w14:paraId="6F5DBE76" w14:textId="77777777" w:rsidR="000F0341" w:rsidRPr="00BF62A1" w:rsidRDefault="000F0341" w:rsidP="00E40B0D">
            <w:pPr>
              <w:spacing w:line="240" w:lineRule="auto"/>
              <w:jc w:val="left"/>
              <w:rPr>
                <w:color w:val="000000"/>
                <w:sz w:val="14"/>
                <w:szCs w:val="14"/>
              </w:rPr>
            </w:pPr>
            <w:r w:rsidRPr="00BF62A1">
              <w:rPr>
                <w:color w:val="000000"/>
                <w:sz w:val="14"/>
                <w:szCs w:val="14"/>
              </w:rPr>
              <w:t>-</w:t>
            </w:r>
          </w:p>
        </w:tc>
        <w:tc>
          <w:tcPr>
            <w:tcW w:w="1984" w:type="dxa"/>
            <w:vMerge w:val="restart"/>
            <w:tcBorders>
              <w:top w:val="single" w:sz="8" w:space="0" w:color="auto"/>
            </w:tcBorders>
            <w:hideMark/>
          </w:tcPr>
          <w:p w14:paraId="7A60AD33"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CCAM codes: HLFA003-011, HLFA017-020, HLFC002-004, </w:t>
            </w:r>
            <w:r w:rsidRPr="00BF62A1">
              <w:rPr>
                <w:color w:val="000000"/>
                <w:sz w:val="14"/>
                <w:szCs w:val="14"/>
              </w:rPr>
              <w:lastRenderedPageBreak/>
              <w:t xml:space="preserve">HLFC032, HLFC037; HLEA001-002 / ICD-10 C22.0-4; C22.7; C22.9; C78.7; C24.8; C24.9 </w:t>
            </w:r>
          </w:p>
        </w:tc>
        <w:tc>
          <w:tcPr>
            <w:tcW w:w="3119" w:type="dxa"/>
            <w:vMerge w:val="restart"/>
            <w:tcBorders>
              <w:top w:val="single" w:sz="8" w:space="0" w:color="auto"/>
            </w:tcBorders>
            <w:hideMark/>
          </w:tcPr>
          <w:p w14:paraId="69E172F0" w14:textId="77777777" w:rsidR="000F0341" w:rsidRPr="00BF62A1" w:rsidRDefault="000F0341" w:rsidP="00E40B0D">
            <w:pPr>
              <w:spacing w:line="240" w:lineRule="auto"/>
              <w:jc w:val="left"/>
              <w:rPr>
                <w:color w:val="000000"/>
                <w:sz w:val="14"/>
                <w:szCs w:val="14"/>
              </w:rPr>
            </w:pPr>
            <w:r>
              <w:rPr>
                <w:color w:val="000000"/>
                <w:sz w:val="14"/>
                <w:szCs w:val="14"/>
              </w:rPr>
              <w:lastRenderedPageBreak/>
              <w:t>P</w:t>
            </w:r>
            <w:r w:rsidRPr="00BF62A1">
              <w:rPr>
                <w:color w:val="000000"/>
                <w:sz w:val="14"/>
                <w:szCs w:val="14"/>
              </w:rPr>
              <w:t>atients with incorrect patient identification and outside of France; &lt;18 years</w:t>
            </w:r>
          </w:p>
        </w:tc>
        <w:tc>
          <w:tcPr>
            <w:tcW w:w="3234" w:type="dxa"/>
            <w:vMerge w:val="restart"/>
            <w:tcBorders>
              <w:top w:val="single" w:sz="8" w:space="0" w:color="auto"/>
            </w:tcBorders>
            <w:hideMark/>
          </w:tcPr>
          <w:p w14:paraId="0903534F" w14:textId="77777777" w:rsidR="000F0341" w:rsidRPr="00BF62A1" w:rsidRDefault="000F0341" w:rsidP="00E40B0D">
            <w:pPr>
              <w:spacing w:line="240" w:lineRule="auto"/>
              <w:jc w:val="left"/>
              <w:rPr>
                <w:color w:val="000000"/>
                <w:sz w:val="14"/>
                <w:szCs w:val="14"/>
              </w:rPr>
            </w:pPr>
            <w:r>
              <w:rPr>
                <w:color w:val="000000"/>
                <w:sz w:val="14"/>
                <w:szCs w:val="14"/>
              </w:rPr>
              <w:t>A</w:t>
            </w:r>
            <w:r w:rsidRPr="00BF62A1">
              <w:rPr>
                <w:color w:val="000000"/>
                <w:sz w:val="14"/>
                <w:szCs w:val="14"/>
              </w:rPr>
              <w:t>ge, CCI, random effect term, gender</w:t>
            </w:r>
          </w:p>
        </w:tc>
      </w:tr>
      <w:tr w:rsidR="000F0341" w:rsidRPr="00BF62A1" w14:paraId="06E2A254" w14:textId="77777777" w:rsidTr="00E40B0D">
        <w:trPr>
          <w:trHeight w:val="558"/>
        </w:trPr>
        <w:tc>
          <w:tcPr>
            <w:tcW w:w="1422" w:type="dxa"/>
            <w:vMerge/>
          </w:tcPr>
          <w:p w14:paraId="0A4914F3" w14:textId="77777777" w:rsidR="000F0341" w:rsidRPr="00BF62A1" w:rsidRDefault="000F0341" w:rsidP="00E40B0D">
            <w:pPr>
              <w:spacing w:line="240" w:lineRule="auto"/>
              <w:jc w:val="left"/>
              <w:rPr>
                <w:color w:val="000000"/>
                <w:sz w:val="14"/>
                <w:szCs w:val="14"/>
              </w:rPr>
            </w:pPr>
          </w:p>
        </w:tc>
        <w:tc>
          <w:tcPr>
            <w:tcW w:w="2973" w:type="dxa"/>
          </w:tcPr>
          <w:p w14:paraId="30B55C6F" w14:textId="77777777" w:rsidR="000F0341" w:rsidRPr="00BF62A1" w:rsidRDefault="000F0341" w:rsidP="00E40B0D">
            <w:pPr>
              <w:spacing w:line="240" w:lineRule="auto"/>
              <w:jc w:val="left"/>
              <w:rPr>
                <w:color w:val="000000"/>
                <w:sz w:val="14"/>
                <w:szCs w:val="14"/>
              </w:rPr>
            </w:pPr>
            <w:r w:rsidRPr="00BF62A1">
              <w:rPr>
                <w:color w:val="000000"/>
                <w:sz w:val="14"/>
                <w:szCs w:val="14"/>
              </w:rPr>
              <w:t>Partial hepatectomy</w:t>
            </w:r>
          </w:p>
        </w:tc>
        <w:tc>
          <w:tcPr>
            <w:tcW w:w="1843" w:type="dxa"/>
            <w:vMerge/>
          </w:tcPr>
          <w:p w14:paraId="38A7E3F8" w14:textId="77777777" w:rsidR="000F0341" w:rsidRPr="00BF62A1" w:rsidRDefault="000F0341" w:rsidP="00E40B0D">
            <w:pPr>
              <w:spacing w:line="240" w:lineRule="auto"/>
              <w:jc w:val="left"/>
              <w:rPr>
                <w:color w:val="000000"/>
                <w:sz w:val="14"/>
                <w:szCs w:val="14"/>
              </w:rPr>
            </w:pPr>
          </w:p>
        </w:tc>
        <w:tc>
          <w:tcPr>
            <w:tcW w:w="1984" w:type="dxa"/>
            <w:vMerge/>
          </w:tcPr>
          <w:p w14:paraId="1BE16C2D" w14:textId="77777777" w:rsidR="000F0341" w:rsidRPr="00BF62A1" w:rsidRDefault="000F0341" w:rsidP="00E40B0D">
            <w:pPr>
              <w:spacing w:line="240" w:lineRule="auto"/>
              <w:jc w:val="left"/>
              <w:rPr>
                <w:color w:val="000000"/>
                <w:sz w:val="14"/>
                <w:szCs w:val="14"/>
              </w:rPr>
            </w:pPr>
          </w:p>
        </w:tc>
        <w:tc>
          <w:tcPr>
            <w:tcW w:w="3119" w:type="dxa"/>
            <w:vMerge/>
          </w:tcPr>
          <w:p w14:paraId="31FFADF9" w14:textId="77777777" w:rsidR="000F0341" w:rsidRPr="00BF62A1" w:rsidRDefault="000F0341" w:rsidP="00E40B0D">
            <w:pPr>
              <w:spacing w:line="240" w:lineRule="auto"/>
              <w:jc w:val="left"/>
              <w:rPr>
                <w:color w:val="000000"/>
                <w:sz w:val="14"/>
                <w:szCs w:val="14"/>
              </w:rPr>
            </w:pPr>
          </w:p>
        </w:tc>
        <w:tc>
          <w:tcPr>
            <w:tcW w:w="3234" w:type="dxa"/>
            <w:vMerge/>
          </w:tcPr>
          <w:p w14:paraId="38C20911" w14:textId="77777777" w:rsidR="000F0341" w:rsidRPr="00BF62A1" w:rsidRDefault="000F0341" w:rsidP="00E40B0D">
            <w:pPr>
              <w:spacing w:line="240" w:lineRule="auto"/>
              <w:jc w:val="left"/>
              <w:rPr>
                <w:color w:val="000000"/>
                <w:sz w:val="14"/>
                <w:szCs w:val="14"/>
              </w:rPr>
            </w:pPr>
          </w:p>
        </w:tc>
      </w:tr>
      <w:tr w:rsidR="000F0341" w:rsidRPr="00BF62A1" w14:paraId="003415A8" w14:textId="77777777" w:rsidTr="00E40B0D">
        <w:trPr>
          <w:trHeight w:val="150"/>
        </w:trPr>
        <w:tc>
          <w:tcPr>
            <w:tcW w:w="1422" w:type="dxa"/>
            <w:vMerge w:val="restart"/>
            <w:hideMark/>
          </w:tcPr>
          <w:p w14:paraId="3F7A1921" w14:textId="64E093D1" w:rsidR="000F0341" w:rsidRPr="00BF62A1" w:rsidRDefault="000F0341" w:rsidP="00E40B0D">
            <w:pPr>
              <w:spacing w:line="240" w:lineRule="auto"/>
              <w:jc w:val="left"/>
              <w:rPr>
                <w:color w:val="000000"/>
                <w:sz w:val="14"/>
                <w:szCs w:val="14"/>
              </w:rPr>
            </w:pPr>
            <w:r w:rsidRPr="00BF62A1">
              <w:rPr>
                <w:color w:val="000000"/>
                <w:sz w:val="14"/>
                <w:szCs w:val="14"/>
              </w:rPr>
              <w:t xml:space="preserve">Endo 2023 </w:t>
            </w:r>
            <w:r w:rsidRPr="00BF62A1">
              <w:rPr>
                <w:color w:val="000000"/>
                <w:sz w:val="14"/>
                <w:szCs w:val="14"/>
              </w:rPr>
              <w:fldChar w:fldCharType="begin"/>
            </w:r>
            <w:r>
              <w:rPr>
                <w:color w:val="000000"/>
                <w:sz w:val="14"/>
                <w:szCs w:val="14"/>
              </w:rPr>
              <w:instrText xml:space="preserve"> ADDIN ZOTERO_ITEM CSL_CITATION {"citationID":"RZw7WJCe","properties":{"formattedCitation":"[82]","plainCitation":"[82]","noteIndex":0},"citationItems":[{"id":14272,"uris":["http://zotero.org/groups/4983919/items/DRTNI4XK"],"itemData":{"id":14272,"type":"article-journal","abstract":"BACKGROUND: Hospital volume affects outcomes of patients who underwent resection for hepatocellular carcinoma (HCC). We sought to assess the impact of minimally invasive hepatectomy (MIH) volume on short- and long-term outcomes among patients with HCC. METHODS: Patients who underwent MIH for HCC from 2010 to 2018 were identified from the National Cancer Database. Multivariable modeling with restricted cubic splines (RCS) was utilized to identify the MIH hospital volume threshold. Textbook outcome (TO) was defined as no conversion to open resection, negative margins after resection (R0), no extended length-of-stay, no readmission, and no 90-day mortality. RESULTS: Among 3268 patients who underwent MIH for HCC, median age was 65.0 (IQR 59.0-72.0) and the majority was male (n = 2308, 70.6%). MIH hospital volume ranged from 1 to 87 cases, with a median of 13 (IQR 7-23). Overall, 2151 (60.9%) patients achieved TO after resection. While particularly high rates of achievement were found for no 90-day mortality (n = 3106, 95.0%), no readmission (n = 3153, 96.5%), and R0 resection (n = 3,017, 92.3%), other TO components including no conversion to open (n = 2778, 85.0%) and no prolonged LOS (n = 2584, 79.1%) were achieved less frequently. Patients treated at high-volume centers (≥50 MIH cases) were more likely to experience TO (high volume centers, n = 334, 68.7% vs. low volume centers, n = 1656, 59.5%, p &lt; 0.001) and better long-term survival (5-year OS; high volume centers, 64.7% vs. low volume centers, 54.6%, p &lt; 0.001). CONCLUSIONS: MIH hospital volume was associated with a higher likelihood of achieving TO and improved long-term survival among patients undergoing resection of HCC.","container-title":"Journal of gastrointestinal surgery : official journal of the Society for Surgery of the Alimentary Tract","DOI":"10.1007/s11605-023-05609-9","ISSN":"1873-4626 (Electronic)","language":"eng","title":"Hospital Volume and Textbook Outcomes in Minimally Invasive Hepatectomy for Hepatocellular Carcinoma.","URL":"https://pubmed.ncbi.nlm.nih.gov/36732402/","author":[{"family":"Endo","given":"Yutaka"},{"family":"Moazzam","given":"Zorays"},{"family":"Woldesenbet","given":"Selamawit"},{"family":"Lima","given":"Henrique A"},{"family":"Alaimo","given":"Laura"},{"family":"Munir","given":"Muhammad Musaab"},{"family":"Shaikh","given":"Chanza F."},{"family":"Yang","given":"Jason"},{"family":"Azap","given":"Lovette"},{"family":"Katayama","given":"Erryk"},{"family":"Kitago","given":"Minoru"},{"family":"Pawlik","given":"Timothy M"}],"issued":{"date-parts":[["2023",2]]}}}],"schema":"https://github.com/citation-style-language/schema/raw/master/csl-citation.json"} </w:instrText>
            </w:r>
            <w:r w:rsidRPr="00BF62A1">
              <w:rPr>
                <w:color w:val="000000"/>
                <w:sz w:val="14"/>
                <w:szCs w:val="14"/>
              </w:rPr>
              <w:fldChar w:fldCharType="separate"/>
            </w:r>
            <w:r w:rsidRPr="004125CE">
              <w:rPr>
                <w:sz w:val="14"/>
              </w:rPr>
              <w:t>[8</w:t>
            </w:r>
            <w:r w:rsidR="00D03F0D">
              <w:rPr>
                <w:sz w:val="14"/>
              </w:rPr>
              <w:t>6</w:t>
            </w:r>
            <w:r w:rsidRPr="004125CE">
              <w:rPr>
                <w:sz w:val="14"/>
              </w:rPr>
              <w:t>]</w:t>
            </w:r>
            <w:r w:rsidRPr="00BF62A1">
              <w:rPr>
                <w:color w:val="000000"/>
                <w:sz w:val="14"/>
                <w:szCs w:val="14"/>
              </w:rPr>
              <w:fldChar w:fldCharType="end"/>
            </w:r>
          </w:p>
        </w:tc>
        <w:tc>
          <w:tcPr>
            <w:tcW w:w="2973" w:type="dxa"/>
            <w:hideMark/>
          </w:tcPr>
          <w:p w14:paraId="4A22CBB2" w14:textId="77777777" w:rsidR="000F0341" w:rsidRPr="00BF62A1" w:rsidRDefault="000F0341" w:rsidP="00E40B0D">
            <w:pPr>
              <w:spacing w:line="240" w:lineRule="auto"/>
              <w:jc w:val="left"/>
              <w:rPr>
                <w:color w:val="000000"/>
                <w:sz w:val="14"/>
                <w:szCs w:val="14"/>
              </w:rPr>
            </w:pPr>
            <w:r w:rsidRPr="00BF62A1">
              <w:rPr>
                <w:color w:val="000000"/>
                <w:sz w:val="14"/>
                <w:szCs w:val="14"/>
              </w:rPr>
              <w:t>Minor hepatectomy</w:t>
            </w:r>
            <w:r w:rsidRPr="00BF62A1">
              <w:rPr>
                <w:color w:val="000000"/>
                <w:sz w:val="14"/>
                <w:szCs w:val="14"/>
              </w:rPr>
              <w:br/>
            </w:r>
          </w:p>
        </w:tc>
        <w:tc>
          <w:tcPr>
            <w:tcW w:w="1843" w:type="dxa"/>
            <w:hideMark/>
          </w:tcPr>
          <w:p w14:paraId="33ED5B29" w14:textId="77777777" w:rsidR="000F0341" w:rsidRPr="00BF62A1" w:rsidRDefault="000F0341" w:rsidP="00E40B0D">
            <w:pPr>
              <w:spacing w:line="240" w:lineRule="auto"/>
              <w:jc w:val="left"/>
              <w:rPr>
                <w:color w:val="000000"/>
                <w:sz w:val="14"/>
                <w:szCs w:val="14"/>
              </w:rPr>
            </w:pPr>
            <w:r w:rsidRPr="00BF62A1">
              <w:rPr>
                <w:color w:val="000000"/>
                <w:sz w:val="14"/>
                <w:szCs w:val="14"/>
              </w:rPr>
              <w:t>2395 (72.0)</w:t>
            </w:r>
            <w:r w:rsidRPr="00BF62A1">
              <w:rPr>
                <w:color w:val="000000"/>
                <w:sz w:val="14"/>
                <w:szCs w:val="14"/>
              </w:rPr>
              <w:br/>
            </w:r>
          </w:p>
        </w:tc>
        <w:tc>
          <w:tcPr>
            <w:tcW w:w="1984" w:type="dxa"/>
            <w:vMerge w:val="restart"/>
            <w:hideMark/>
          </w:tcPr>
          <w:p w14:paraId="33CEF229" w14:textId="77777777" w:rsidR="000F0341" w:rsidRPr="00BF62A1" w:rsidRDefault="000F0341" w:rsidP="00E40B0D">
            <w:pPr>
              <w:spacing w:line="240" w:lineRule="auto"/>
              <w:jc w:val="left"/>
              <w:rPr>
                <w:color w:val="000000"/>
                <w:sz w:val="14"/>
                <w:szCs w:val="14"/>
              </w:rPr>
            </w:pPr>
            <w:r w:rsidRPr="00BF62A1">
              <w:rPr>
                <w:color w:val="000000"/>
                <w:sz w:val="14"/>
                <w:szCs w:val="14"/>
              </w:rPr>
              <w:t>STORE codes: 20-26, 30, 36-38, 50-52, 59, 65, 66 / ICD-O-3 8170</w:t>
            </w:r>
          </w:p>
        </w:tc>
        <w:tc>
          <w:tcPr>
            <w:tcW w:w="3119" w:type="dxa"/>
            <w:vMerge w:val="restart"/>
            <w:hideMark/>
          </w:tcPr>
          <w:p w14:paraId="252CE690" w14:textId="77777777" w:rsidR="000F0341" w:rsidRPr="00BF62A1" w:rsidRDefault="000F0341" w:rsidP="00E40B0D">
            <w:pPr>
              <w:spacing w:line="240" w:lineRule="auto"/>
              <w:jc w:val="left"/>
              <w:rPr>
                <w:color w:val="000000"/>
                <w:sz w:val="14"/>
                <w:szCs w:val="14"/>
              </w:rPr>
            </w:pPr>
            <w:r>
              <w:rPr>
                <w:color w:val="000000"/>
                <w:sz w:val="14"/>
                <w:szCs w:val="14"/>
              </w:rPr>
              <w:t>P</w:t>
            </w:r>
            <w:r w:rsidRPr="00BF62A1">
              <w:rPr>
                <w:color w:val="000000"/>
                <w:sz w:val="14"/>
                <w:szCs w:val="14"/>
              </w:rPr>
              <w:t>atients with stage IV disease, without short- and long-term data, missing data on pathological or clinical staging groups (AJCC)</w:t>
            </w:r>
          </w:p>
        </w:tc>
        <w:tc>
          <w:tcPr>
            <w:tcW w:w="3234" w:type="dxa"/>
            <w:vMerge w:val="restart"/>
            <w:hideMark/>
          </w:tcPr>
          <w:p w14:paraId="4695E9B8" w14:textId="77777777" w:rsidR="000F0341" w:rsidRPr="00BF62A1" w:rsidRDefault="000F0341" w:rsidP="00E40B0D">
            <w:pPr>
              <w:spacing w:line="240" w:lineRule="auto"/>
              <w:jc w:val="left"/>
              <w:rPr>
                <w:color w:val="000000"/>
                <w:sz w:val="14"/>
                <w:szCs w:val="14"/>
              </w:rPr>
            </w:pPr>
            <w:r>
              <w:rPr>
                <w:color w:val="000000"/>
                <w:sz w:val="14"/>
                <w:szCs w:val="14"/>
              </w:rPr>
              <w:t>A</w:t>
            </w:r>
            <w:r w:rsidRPr="00BF62A1">
              <w:rPr>
                <w:color w:val="000000"/>
                <w:sz w:val="14"/>
                <w:szCs w:val="14"/>
              </w:rPr>
              <w:t>ge, CCI, facility type, insurance, meld score, presence of fibrosis, race, gender, surgery type, tumor stage and size, year of diagnosis</w:t>
            </w:r>
          </w:p>
        </w:tc>
      </w:tr>
      <w:tr w:rsidR="000F0341" w:rsidRPr="00BF62A1" w14:paraId="510AF5AF" w14:textId="77777777" w:rsidTr="00E40B0D">
        <w:trPr>
          <w:trHeight w:val="212"/>
        </w:trPr>
        <w:tc>
          <w:tcPr>
            <w:tcW w:w="1422" w:type="dxa"/>
            <w:vMerge/>
            <w:tcBorders>
              <w:bottom w:val="single" w:sz="8" w:space="0" w:color="auto"/>
            </w:tcBorders>
          </w:tcPr>
          <w:p w14:paraId="692F9164"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60E98E7B" w14:textId="77777777" w:rsidR="000F0341" w:rsidRPr="00BF62A1" w:rsidRDefault="000F0341" w:rsidP="00E40B0D">
            <w:pPr>
              <w:spacing w:line="240" w:lineRule="auto"/>
              <w:jc w:val="left"/>
              <w:rPr>
                <w:color w:val="000000"/>
                <w:sz w:val="14"/>
                <w:szCs w:val="14"/>
              </w:rPr>
            </w:pPr>
            <w:r w:rsidRPr="00BF62A1">
              <w:rPr>
                <w:color w:val="000000"/>
                <w:sz w:val="14"/>
                <w:szCs w:val="14"/>
              </w:rPr>
              <w:t>Major hepatectomy</w:t>
            </w:r>
          </w:p>
        </w:tc>
        <w:tc>
          <w:tcPr>
            <w:tcW w:w="1843" w:type="dxa"/>
            <w:tcBorders>
              <w:bottom w:val="single" w:sz="8" w:space="0" w:color="auto"/>
            </w:tcBorders>
          </w:tcPr>
          <w:p w14:paraId="7B0BF526" w14:textId="77777777" w:rsidR="000F0341" w:rsidRPr="00BF62A1" w:rsidRDefault="000F0341" w:rsidP="00E40B0D">
            <w:pPr>
              <w:spacing w:line="240" w:lineRule="auto"/>
              <w:jc w:val="left"/>
              <w:rPr>
                <w:color w:val="000000"/>
                <w:sz w:val="14"/>
                <w:szCs w:val="14"/>
              </w:rPr>
            </w:pPr>
            <w:r w:rsidRPr="00BF62A1">
              <w:rPr>
                <w:color w:val="000000"/>
                <w:sz w:val="14"/>
                <w:szCs w:val="14"/>
              </w:rPr>
              <w:t>911 (28.0)</w:t>
            </w:r>
          </w:p>
        </w:tc>
        <w:tc>
          <w:tcPr>
            <w:tcW w:w="1984" w:type="dxa"/>
            <w:vMerge/>
            <w:tcBorders>
              <w:bottom w:val="single" w:sz="8" w:space="0" w:color="auto"/>
            </w:tcBorders>
          </w:tcPr>
          <w:p w14:paraId="14C8A54C"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707A1D10"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17B9E175" w14:textId="77777777" w:rsidR="000F0341" w:rsidRPr="00BF62A1" w:rsidRDefault="000F0341" w:rsidP="00E40B0D">
            <w:pPr>
              <w:spacing w:line="240" w:lineRule="auto"/>
              <w:jc w:val="left"/>
              <w:rPr>
                <w:color w:val="000000"/>
                <w:sz w:val="14"/>
                <w:szCs w:val="14"/>
              </w:rPr>
            </w:pPr>
          </w:p>
        </w:tc>
      </w:tr>
      <w:tr w:rsidR="000F0341" w:rsidRPr="00BF62A1" w14:paraId="2C7A5675" w14:textId="77777777" w:rsidTr="00E40B0D">
        <w:trPr>
          <w:trHeight w:val="86"/>
        </w:trPr>
        <w:tc>
          <w:tcPr>
            <w:tcW w:w="1422" w:type="dxa"/>
            <w:vMerge w:val="restart"/>
            <w:tcBorders>
              <w:top w:val="single" w:sz="8" w:space="0" w:color="auto"/>
            </w:tcBorders>
            <w:hideMark/>
          </w:tcPr>
          <w:p w14:paraId="2C800C8C" w14:textId="19EDC624" w:rsidR="000F0341" w:rsidRPr="00BF62A1" w:rsidRDefault="000F0341" w:rsidP="00E40B0D">
            <w:pPr>
              <w:spacing w:line="240" w:lineRule="auto"/>
              <w:jc w:val="left"/>
              <w:rPr>
                <w:color w:val="000000"/>
                <w:sz w:val="14"/>
                <w:szCs w:val="14"/>
              </w:rPr>
            </w:pPr>
            <w:r w:rsidRPr="00BF62A1">
              <w:rPr>
                <w:color w:val="000000"/>
                <w:sz w:val="14"/>
                <w:szCs w:val="14"/>
              </w:rPr>
              <w:t xml:space="preserve">Farges 2012 </w:t>
            </w:r>
            <w:r w:rsidRPr="00BF62A1">
              <w:rPr>
                <w:color w:val="000000"/>
                <w:sz w:val="14"/>
                <w:szCs w:val="14"/>
              </w:rPr>
              <w:fldChar w:fldCharType="begin"/>
            </w:r>
            <w:r>
              <w:rPr>
                <w:color w:val="000000"/>
                <w:sz w:val="14"/>
                <w:szCs w:val="14"/>
              </w:rPr>
              <w:instrText xml:space="preserve"> ADDIN ZOTERO_ITEM CSL_CITATION {"citationID":"8BJUKIeV","properties":{"formattedCitation":"[85]","plainCitation":"[85]","noteIndex":0},"citationItems":[{"id":14195,"uris":["http://zotero.org/groups/4983919/items/RGM7KH6Z"],"itemData":{"id":14195,"type":"article-journal","abstract":"OBJECTIVE: To evaluate at a national level the incidence of liver resection, postoperative mortality, and variables that predict this outcome. BACKGROUND: Data on indications of and results of liver resection are mainly derived from high-volume centers. Nationwide data are lacking. METHODS: French health care databases were screened to identify all patients who had undergone elective hepatectomy between 2007 and 2010. The patients' age, address, associated conditions, indication and extent of hepatic (or extrahepatic) surgery and the hospital type, location, and hepatectomy caseload were retrieved. Logistic regression was used to measure the influence of these parameters on in-hospital and 90-day mortality rates. The model, created using patients operated on in 2007 and 2009, was tested in those operated on in 2008 and 2010. RESULTS: Overall, 28,708 hepatectomies were performed. The annual incidence (13.2 per 10 adult inhabitants) varied between regions, but the extremal quotient was limited to 2.2 because 15% of the operations took place outside the patients' home region. Hospitals performed a median of 4 resections per year but 53% of all resections were performed in institutions with a volume of more than 50 per year. Treatment for primary tumors and major resections correlated with hepatectomy caseload. In-hospital and 90-day mortality were 3.4% and 5.8%, respectively. The area under the receiver operating characteristic curve of the prognostic model was 0.78/0.77 in the training and validation sample. CONCLUSIONS: There were significant disparities in practice. In-hospital mortality underestimated true, postoperative mortality by more than 50%. The model created may be useful for more efficient regionalization of care and patient counseling.","container-title":"Ann Surg","DOI":"10.1097/SLA.0b013e31827241d5","ISSN":"0003-4932","issue":"5","language":"eng","note":"publisher-place: Department of Hepatobiliopancreatic Surgery and Liver Transplantation, Hôpital Beaujon, AP-HP, Université Paris 7, 100 bld du General Leclerc, Clichy, France. olivier.farges@bjn.aphp.fr","page":"697-704; discussion 704-5","title":"Incidence and risks of liver resection: an all-inclusive French nationwide study","volume":"256","author":[{"family":"Farges","given":"O."},{"family":"Goutte","given":"N."},{"family":"Bendersky","given":"N."},{"family":"Falissard","given":"B."}],"issued":{"date-parts":[["2012",11]]}}}],"schema":"https://github.com/citation-style-language/schema/raw/master/csl-citation.json"} </w:instrText>
            </w:r>
            <w:r w:rsidRPr="00BF62A1">
              <w:rPr>
                <w:color w:val="000000"/>
                <w:sz w:val="14"/>
                <w:szCs w:val="14"/>
              </w:rPr>
              <w:fldChar w:fldCharType="separate"/>
            </w:r>
            <w:r w:rsidRPr="004125CE">
              <w:rPr>
                <w:sz w:val="14"/>
              </w:rPr>
              <w:t>[8</w:t>
            </w:r>
            <w:r w:rsidR="00D03F0D">
              <w:rPr>
                <w:sz w:val="14"/>
              </w:rPr>
              <w:t>8</w:t>
            </w:r>
            <w:r w:rsidRPr="004125CE">
              <w:rPr>
                <w:sz w:val="14"/>
              </w:rPr>
              <w:t>]</w:t>
            </w:r>
            <w:r w:rsidRPr="00BF62A1">
              <w:rPr>
                <w:color w:val="000000"/>
                <w:sz w:val="14"/>
                <w:szCs w:val="14"/>
              </w:rPr>
              <w:fldChar w:fldCharType="end"/>
            </w:r>
          </w:p>
        </w:tc>
        <w:tc>
          <w:tcPr>
            <w:tcW w:w="2973" w:type="dxa"/>
            <w:tcBorders>
              <w:top w:val="single" w:sz="8" w:space="0" w:color="auto"/>
            </w:tcBorders>
            <w:hideMark/>
          </w:tcPr>
          <w:p w14:paraId="476E25C2"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Minor hepatectomies (defined as a single-wedge resection) </w:t>
            </w:r>
            <w:r w:rsidRPr="00BF62A1">
              <w:rPr>
                <w:color w:val="000000"/>
                <w:sz w:val="14"/>
                <w:szCs w:val="14"/>
              </w:rPr>
              <w:br/>
            </w:r>
          </w:p>
        </w:tc>
        <w:tc>
          <w:tcPr>
            <w:tcW w:w="1843" w:type="dxa"/>
            <w:tcBorders>
              <w:top w:val="single" w:sz="8" w:space="0" w:color="auto"/>
            </w:tcBorders>
            <w:hideMark/>
          </w:tcPr>
          <w:p w14:paraId="67AB6794" w14:textId="77777777" w:rsidR="000F0341" w:rsidRPr="00BF62A1" w:rsidRDefault="000F0341" w:rsidP="00E40B0D">
            <w:pPr>
              <w:spacing w:line="240" w:lineRule="auto"/>
              <w:jc w:val="left"/>
              <w:rPr>
                <w:color w:val="000000"/>
                <w:sz w:val="14"/>
                <w:szCs w:val="14"/>
              </w:rPr>
            </w:pPr>
            <w:r w:rsidRPr="00BF62A1">
              <w:rPr>
                <w:color w:val="000000"/>
                <w:sz w:val="14"/>
                <w:szCs w:val="14"/>
              </w:rPr>
              <w:t>7468 (33.5)</w:t>
            </w:r>
            <w:r w:rsidRPr="00BF62A1">
              <w:rPr>
                <w:color w:val="000000"/>
                <w:sz w:val="14"/>
                <w:szCs w:val="14"/>
              </w:rPr>
              <w:br/>
            </w:r>
          </w:p>
        </w:tc>
        <w:tc>
          <w:tcPr>
            <w:tcW w:w="1984" w:type="dxa"/>
            <w:vMerge w:val="restart"/>
            <w:tcBorders>
              <w:top w:val="single" w:sz="8" w:space="0" w:color="auto"/>
            </w:tcBorders>
            <w:hideMark/>
          </w:tcPr>
          <w:p w14:paraId="35B18C62" w14:textId="77777777" w:rsidR="000F0341" w:rsidRPr="00BF62A1" w:rsidRDefault="000F0341" w:rsidP="00E40B0D">
            <w:pPr>
              <w:spacing w:line="240" w:lineRule="auto"/>
              <w:jc w:val="left"/>
              <w:rPr>
                <w:color w:val="000000"/>
                <w:sz w:val="14"/>
                <w:szCs w:val="14"/>
              </w:rPr>
            </w:pPr>
            <w:r w:rsidRPr="00BF62A1">
              <w:rPr>
                <w:color w:val="000000"/>
                <w:sz w:val="14"/>
                <w:szCs w:val="14"/>
              </w:rPr>
              <w:t>CCAM codes: HLFA003-007, HLFA009-011, HLFA017-020, HLFC002-004, HLFC027, HLFC032, HLFC037</w:t>
            </w:r>
          </w:p>
        </w:tc>
        <w:tc>
          <w:tcPr>
            <w:tcW w:w="3119" w:type="dxa"/>
            <w:vMerge w:val="restart"/>
            <w:tcBorders>
              <w:top w:val="single" w:sz="8" w:space="0" w:color="auto"/>
            </w:tcBorders>
            <w:hideMark/>
          </w:tcPr>
          <w:p w14:paraId="7763497D" w14:textId="77777777" w:rsidR="000F0341" w:rsidRPr="00BF62A1" w:rsidRDefault="000F0341" w:rsidP="00E40B0D">
            <w:pPr>
              <w:spacing w:line="240" w:lineRule="auto"/>
              <w:jc w:val="left"/>
              <w:rPr>
                <w:color w:val="000000"/>
                <w:sz w:val="14"/>
                <w:szCs w:val="14"/>
              </w:rPr>
            </w:pPr>
            <w:r w:rsidRPr="00BF62A1">
              <w:rPr>
                <w:color w:val="000000"/>
                <w:sz w:val="14"/>
                <w:szCs w:val="14"/>
              </w:rPr>
              <w:t>Ablation; unroofing of simple or parasitic cysts, cystectomy, and necrosectomy had distinct codes and were not considered as liver resections; &lt; 18 years, emergency admissions, cases of hepatobiliary trauma, liver resections corresponding to graft size-reductions, graft donors</w:t>
            </w:r>
          </w:p>
        </w:tc>
        <w:tc>
          <w:tcPr>
            <w:tcW w:w="3234" w:type="dxa"/>
            <w:vMerge w:val="restart"/>
            <w:tcBorders>
              <w:top w:val="single" w:sz="8" w:space="0" w:color="auto"/>
            </w:tcBorders>
            <w:hideMark/>
          </w:tcPr>
          <w:p w14:paraId="370741F6" w14:textId="77777777" w:rsidR="000F0341" w:rsidRPr="00BF62A1" w:rsidRDefault="000F0341" w:rsidP="00E40B0D">
            <w:pPr>
              <w:spacing w:line="240" w:lineRule="auto"/>
              <w:jc w:val="left"/>
              <w:rPr>
                <w:color w:val="000000"/>
                <w:sz w:val="14"/>
                <w:szCs w:val="14"/>
              </w:rPr>
            </w:pPr>
            <w:r>
              <w:rPr>
                <w:color w:val="000000"/>
                <w:sz w:val="14"/>
                <w:szCs w:val="14"/>
              </w:rPr>
              <w:t>A</w:t>
            </w:r>
            <w:r w:rsidRPr="00BF62A1">
              <w:rPr>
                <w:color w:val="000000"/>
                <w:sz w:val="14"/>
                <w:szCs w:val="14"/>
              </w:rPr>
              <w:t>ge, associated procedures, comorbidities, hospital structure, indication, palliative surgery, gender, surgery type</w:t>
            </w:r>
          </w:p>
        </w:tc>
      </w:tr>
      <w:tr w:rsidR="000F0341" w:rsidRPr="00BF62A1" w14:paraId="29EC8BD1" w14:textId="77777777" w:rsidTr="00E40B0D">
        <w:trPr>
          <w:trHeight w:val="149"/>
        </w:trPr>
        <w:tc>
          <w:tcPr>
            <w:tcW w:w="1422" w:type="dxa"/>
            <w:vMerge/>
          </w:tcPr>
          <w:p w14:paraId="6C53830B" w14:textId="77777777" w:rsidR="000F0341" w:rsidRPr="00BF62A1" w:rsidRDefault="000F0341" w:rsidP="00E40B0D">
            <w:pPr>
              <w:spacing w:line="240" w:lineRule="auto"/>
              <w:jc w:val="left"/>
              <w:rPr>
                <w:color w:val="000000"/>
                <w:sz w:val="14"/>
                <w:szCs w:val="14"/>
              </w:rPr>
            </w:pPr>
          </w:p>
        </w:tc>
        <w:tc>
          <w:tcPr>
            <w:tcW w:w="2973" w:type="dxa"/>
          </w:tcPr>
          <w:p w14:paraId="5AD73435" w14:textId="77777777" w:rsidR="000F0341" w:rsidRPr="00BF62A1" w:rsidRDefault="000F0341" w:rsidP="00E40B0D">
            <w:pPr>
              <w:spacing w:line="240" w:lineRule="auto"/>
              <w:jc w:val="left"/>
              <w:rPr>
                <w:color w:val="000000"/>
                <w:sz w:val="14"/>
                <w:szCs w:val="14"/>
              </w:rPr>
            </w:pPr>
            <w:r w:rsidRPr="00BF62A1">
              <w:rPr>
                <w:color w:val="000000"/>
                <w:sz w:val="14"/>
                <w:szCs w:val="14"/>
              </w:rPr>
              <w:t>Major hepatectomies (defined as the resection of 3 or more segments)</w:t>
            </w:r>
          </w:p>
        </w:tc>
        <w:tc>
          <w:tcPr>
            <w:tcW w:w="1843" w:type="dxa"/>
          </w:tcPr>
          <w:p w14:paraId="0CFAAECC" w14:textId="77777777" w:rsidR="000F0341" w:rsidRPr="00BF62A1" w:rsidRDefault="000F0341" w:rsidP="00E40B0D">
            <w:pPr>
              <w:spacing w:line="240" w:lineRule="auto"/>
              <w:jc w:val="left"/>
              <w:rPr>
                <w:color w:val="000000"/>
                <w:sz w:val="14"/>
                <w:szCs w:val="14"/>
              </w:rPr>
            </w:pPr>
            <w:r w:rsidRPr="00BF62A1">
              <w:rPr>
                <w:color w:val="000000"/>
                <w:sz w:val="14"/>
                <w:szCs w:val="14"/>
              </w:rPr>
              <w:t>7018 (31.5)</w:t>
            </w:r>
            <w:r w:rsidRPr="00BF62A1">
              <w:rPr>
                <w:color w:val="000000"/>
                <w:sz w:val="14"/>
                <w:szCs w:val="14"/>
              </w:rPr>
              <w:br/>
            </w:r>
          </w:p>
        </w:tc>
        <w:tc>
          <w:tcPr>
            <w:tcW w:w="1984" w:type="dxa"/>
            <w:vMerge/>
          </w:tcPr>
          <w:p w14:paraId="08107DE9" w14:textId="77777777" w:rsidR="000F0341" w:rsidRPr="00BF62A1" w:rsidRDefault="000F0341" w:rsidP="00E40B0D">
            <w:pPr>
              <w:spacing w:line="240" w:lineRule="auto"/>
              <w:jc w:val="left"/>
              <w:rPr>
                <w:color w:val="000000"/>
                <w:sz w:val="14"/>
                <w:szCs w:val="14"/>
              </w:rPr>
            </w:pPr>
          </w:p>
        </w:tc>
        <w:tc>
          <w:tcPr>
            <w:tcW w:w="3119" w:type="dxa"/>
            <w:vMerge/>
          </w:tcPr>
          <w:p w14:paraId="7BBB1727" w14:textId="77777777" w:rsidR="000F0341" w:rsidRPr="00BF62A1" w:rsidRDefault="000F0341" w:rsidP="00E40B0D">
            <w:pPr>
              <w:spacing w:line="240" w:lineRule="auto"/>
              <w:jc w:val="left"/>
              <w:rPr>
                <w:color w:val="000000"/>
                <w:sz w:val="14"/>
                <w:szCs w:val="14"/>
              </w:rPr>
            </w:pPr>
          </w:p>
        </w:tc>
        <w:tc>
          <w:tcPr>
            <w:tcW w:w="3234" w:type="dxa"/>
            <w:vMerge/>
          </w:tcPr>
          <w:p w14:paraId="53742642" w14:textId="77777777" w:rsidR="000F0341" w:rsidRPr="00BF62A1" w:rsidRDefault="000F0341" w:rsidP="00E40B0D">
            <w:pPr>
              <w:spacing w:line="240" w:lineRule="auto"/>
              <w:jc w:val="left"/>
              <w:rPr>
                <w:color w:val="000000"/>
                <w:sz w:val="14"/>
                <w:szCs w:val="14"/>
              </w:rPr>
            </w:pPr>
          </w:p>
        </w:tc>
      </w:tr>
      <w:tr w:rsidR="000F0341" w:rsidRPr="00BF62A1" w14:paraId="319E0776" w14:textId="77777777" w:rsidTr="00E40B0D">
        <w:trPr>
          <w:trHeight w:val="137"/>
        </w:trPr>
        <w:tc>
          <w:tcPr>
            <w:tcW w:w="1422" w:type="dxa"/>
            <w:vMerge/>
            <w:tcBorders>
              <w:bottom w:val="single" w:sz="8" w:space="0" w:color="auto"/>
            </w:tcBorders>
          </w:tcPr>
          <w:p w14:paraId="72BCA298"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49B6A0F9" w14:textId="77777777" w:rsidR="000F0341" w:rsidRPr="00BF62A1" w:rsidRDefault="000F0341" w:rsidP="00E40B0D">
            <w:pPr>
              <w:spacing w:line="240" w:lineRule="auto"/>
              <w:jc w:val="left"/>
              <w:rPr>
                <w:color w:val="000000"/>
                <w:sz w:val="14"/>
                <w:szCs w:val="14"/>
              </w:rPr>
            </w:pPr>
            <w:r w:rsidRPr="00BF62A1">
              <w:rPr>
                <w:color w:val="000000"/>
                <w:sz w:val="14"/>
                <w:szCs w:val="14"/>
              </w:rPr>
              <w:t>Intermediate hepatectomies (all remaining liver resections)</w:t>
            </w:r>
          </w:p>
        </w:tc>
        <w:tc>
          <w:tcPr>
            <w:tcW w:w="1843" w:type="dxa"/>
            <w:tcBorders>
              <w:bottom w:val="single" w:sz="8" w:space="0" w:color="auto"/>
            </w:tcBorders>
          </w:tcPr>
          <w:p w14:paraId="7E4A3EC1" w14:textId="77777777" w:rsidR="000F0341" w:rsidRPr="00BF62A1" w:rsidRDefault="000F0341" w:rsidP="00E40B0D">
            <w:pPr>
              <w:spacing w:line="240" w:lineRule="auto"/>
              <w:jc w:val="left"/>
              <w:rPr>
                <w:color w:val="000000"/>
                <w:sz w:val="14"/>
                <w:szCs w:val="14"/>
              </w:rPr>
            </w:pPr>
            <w:r w:rsidRPr="00BF62A1">
              <w:rPr>
                <w:color w:val="000000"/>
                <w:sz w:val="14"/>
                <w:szCs w:val="14"/>
              </w:rPr>
              <w:t>7789 (35.0)</w:t>
            </w:r>
          </w:p>
        </w:tc>
        <w:tc>
          <w:tcPr>
            <w:tcW w:w="1984" w:type="dxa"/>
            <w:vMerge/>
            <w:tcBorders>
              <w:bottom w:val="single" w:sz="8" w:space="0" w:color="auto"/>
            </w:tcBorders>
          </w:tcPr>
          <w:p w14:paraId="01566B34"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6B5B4B62"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2867CFDD" w14:textId="77777777" w:rsidR="000F0341" w:rsidRPr="00BF62A1" w:rsidRDefault="000F0341" w:rsidP="00E40B0D">
            <w:pPr>
              <w:spacing w:line="240" w:lineRule="auto"/>
              <w:jc w:val="left"/>
              <w:rPr>
                <w:color w:val="000000"/>
                <w:sz w:val="14"/>
                <w:szCs w:val="14"/>
              </w:rPr>
            </w:pPr>
          </w:p>
        </w:tc>
      </w:tr>
      <w:tr w:rsidR="000F0341" w:rsidRPr="00BF62A1" w14:paraId="5A130FA2" w14:textId="77777777" w:rsidTr="00E40B0D">
        <w:trPr>
          <w:trHeight w:val="123"/>
        </w:trPr>
        <w:tc>
          <w:tcPr>
            <w:tcW w:w="1422" w:type="dxa"/>
            <w:vMerge w:val="restart"/>
            <w:tcBorders>
              <w:top w:val="single" w:sz="8" w:space="0" w:color="auto"/>
            </w:tcBorders>
            <w:hideMark/>
          </w:tcPr>
          <w:p w14:paraId="1690F9DC"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Filmann 2019 </w:t>
            </w:r>
            <w:r w:rsidRPr="00BF62A1">
              <w:rPr>
                <w:color w:val="000000"/>
                <w:sz w:val="14"/>
                <w:szCs w:val="14"/>
              </w:rPr>
              <w:fldChar w:fldCharType="begin"/>
            </w:r>
            <w:r w:rsidRPr="00BF62A1">
              <w:rPr>
                <w:color w:val="000000"/>
                <w:sz w:val="14"/>
                <w:szCs w:val="14"/>
              </w:rPr>
              <w:instrText xml:space="preserve"> ADDIN ZOTERO_ITEM CSL_CITATION {"citationID":"OulfGpwx","properties":{"formattedCitation":"[9]","plainCitation":"[9]","noteIndex":0},"citationItems":[{"id":14192,"uris":["http://zotero.org/groups/4983919/items/DQAWCJ47"],"itemData":{"id":14192,"type":"article-journal","abstract":"BACKGROUND: Mortality rates after liver surgery are not well documented in Germany. More than 1000 hospitals offer liver resection, but there is no central regulation of infrastructure requirements or outcome quality. METHODS: Hospital mortality rates after liver resection were analysed using the standardized hospital discharge data (Diagnosis-Related Groups, ICD-10 and German operations and procedure key codes) provided by the Research Data Centre of the Federal Statistical Office and Statistical Offices of the Länder in Wiesbaden, Germany. RESULTS: A total of 110 332 liver procedures carried out between 2010 and 2015 were identified. The overall hospital mortality rate for all resections was 5·8 per cent. The mortality rate among 17 574 major hepatic procedures was 10·4 per cent. Patients who had surgery for colorectal liver metastases (CRLMs) had the lowest mortality rate among those with malignancy (5·5 per cent), followed by patients with gallbladder cancer (7·1 per cent), hepatocellular carcinoma (9·3 per cent) and intrahepatic cholangiocarcinoma (11·0 per cent). Patients with extrahepatic cholangiocarcinoma had the highest mortality rate (14·6 per cent). The mortality rate for extended hepatectomy was 16·2 per cent and the need for a biliodigestive anastomosis increased this to 25·5 per cent. Failure to rescue after complications led to mortality rates of more than 30 per cent in some subgroups. There was a significant volume-outcome relationship for CRLM surgery in very high-volume centres (mean 26-60 major resections for CRLMs per year). The mortality rate was 4·6 per cent in very high-volume centres compared with 7·5 per cent in very low-volume hospitals (odds ratio 0·60, 95 per cent c.i. 0·42 to 0·77; P &lt; 0·001). CONCLUSION: This analysis of outcome data after liver resection in Germany suggests that hospital mortality remains high. There should be more focused research to understand, improve or justify factors leading to this result, and consideration of centralization of liver surgery.","container-title":"Br J Surg","DOI":"10.1002/bjs.11236","ISSN":"0007-1323","issue":"11","language":"eng","note":"publisher-place: Institute of Biostatistics and Mathematical Modelling, Frankfurt University Hospital, Goethe-University Frankfurt/Main, Frankfurt/Main, Germany. Department of Medicine I, Frankfurt University Hospital, Goethe-University Frankfurt/Main, Frankfurt/Main, Germany. Department of Surgery, Rush University Medical Center, Chicago, Illinois, USA. Department of Surgery, Cantonal Hospital Winterthur, Zurich, Switzerland. Institute of Physiology, Centre for Integrative Human Physiology, University of Zurich, Zurich, Switzerland. Department of General, Visceral and Cancer Surgery, University of Cologne, Cologne, Germany. Department of Surgery, University Medical Centre Schleswig-Holstein, Campus Luebeck, Luebeck, Germany. Department of General, Visceral and Transplant Surgery, Universitaetsmedizin Mainz, Mainz, Germany. Semmelweis University, Budapest, Campus Hamburg, Hamburg, Germany. Department of General and Abdominal Surgery, Asklepios Hospital Barmbek, Hamburg, Germany. Department of Surgery, University Hospital Regensburg, Regensburg, Germany. Clinic of Visceral Surgery, Städtisches Klinikum Karlsruhe, Karlsruhe, Germany. Department of General and Visceral Surgery, Frankfurt University Hospital, Goethe-University Frankfurt/Main, Frankfurt/Main, Germany.","page":"1523-1529","title":"Mortality after liver surgery in Germany","volume":"106","author":[{"family":"Filmann","given":"N."},{"family":"Walter","given":"D."},{"family":"Schadde","given":"E."},{"family":"Bruns","given":"C."},{"family":"Keck","given":"T."},{"family":"Lang","given":"H."},{"family":"Oldhafer","given":"K."},{"family":"Schlitt","given":"H. J."},{"family":"Schön","given":"M. R."},{"family":"Herrmann","given":"E."},{"family":"Bechstein","given":"W. O."},{"family":"Schnitzbauer","given":"A. A."}],"issued":{"date-parts":[["2019",10]]}}}],"schema":"https://github.com/citation-style-language/schema/raw/master/csl-citation.json"} </w:instrText>
            </w:r>
            <w:r w:rsidRPr="00BF62A1">
              <w:rPr>
                <w:color w:val="000000"/>
                <w:sz w:val="14"/>
                <w:szCs w:val="14"/>
              </w:rPr>
              <w:fldChar w:fldCharType="separate"/>
            </w:r>
            <w:r w:rsidRPr="00BF62A1">
              <w:rPr>
                <w:sz w:val="14"/>
              </w:rPr>
              <w:t>[9]</w:t>
            </w:r>
            <w:r w:rsidRPr="00BF62A1">
              <w:rPr>
                <w:color w:val="000000"/>
                <w:sz w:val="14"/>
                <w:szCs w:val="14"/>
              </w:rPr>
              <w:fldChar w:fldCharType="end"/>
            </w:r>
          </w:p>
        </w:tc>
        <w:tc>
          <w:tcPr>
            <w:tcW w:w="2973" w:type="dxa"/>
            <w:tcBorders>
              <w:top w:val="single" w:sz="8" w:space="0" w:color="auto"/>
            </w:tcBorders>
            <w:hideMark/>
          </w:tcPr>
          <w:p w14:paraId="52CE250B"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Segment resection </w:t>
            </w:r>
            <w:r w:rsidRPr="00BF62A1">
              <w:rPr>
                <w:color w:val="000000"/>
                <w:sz w:val="14"/>
                <w:szCs w:val="14"/>
              </w:rPr>
              <w:br/>
            </w:r>
          </w:p>
        </w:tc>
        <w:tc>
          <w:tcPr>
            <w:tcW w:w="1843" w:type="dxa"/>
            <w:tcBorders>
              <w:top w:val="single" w:sz="8" w:space="0" w:color="auto"/>
            </w:tcBorders>
            <w:hideMark/>
          </w:tcPr>
          <w:p w14:paraId="496FF2B5" w14:textId="77777777" w:rsidR="000F0341" w:rsidRPr="00BF62A1" w:rsidRDefault="000F0341" w:rsidP="00E40B0D">
            <w:pPr>
              <w:spacing w:line="240" w:lineRule="auto"/>
              <w:jc w:val="left"/>
              <w:rPr>
                <w:color w:val="000000"/>
                <w:sz w:val="14"/>
                <w:szCs w:val="14"/>
              </w:rPr>
            </w:pPr>
            <w:r w:rsidRPr="00BF62A1">
              <w:rPr>
                <w:color w:val="000000"/>
                <w:sz w:val="14"/>
                <w:szCs w:val="14"/>
              </w:rPr>
              <w:t>11980</w:t>
            </w:r>
            <w:r w:rsidRPr="00BF62A1">
              <w:rPr>
                <w:color w:val="000000"/>
                <w:sz w:val="14"/>
                <w:szCs w:val="14"/>
              </w:rPr>
              <w:br/>
            </w:r>
          </w:p>
        </w:tc>
        <w:tc>
          <w:tcPr>
            <w:tcW w:w="1984" w:type="dxa"/>
            <w:vMerge w:val="restart"/>
            <w:tcBorders>
              <w:top w:val="single" w:sz="8" w:space="0" w:color="auto"/>
            </w:tcBorders>
            <w:hideMark/>
          </w:tcPr>
          <w:p w14:paraId="66BEF02E" w14:textId="77777777" w:rsidR="000F0341" w:rsidRPr="00BF62A1" w:rsidRDefault="000F0341" w:rsidP="00E40B0D">
            <w:pPr>
              <w:spacing w:line="240" w:lineRule="auto"/>
              <w:jc w:val="left"/>
              <w:rPr>
                <w:color w:val="000000"/>
                <w:sz w:val="14"/>
                <w:szCs w:val="14"/>
              </w:rPr>
            </w:pPr>
            <w:r w:rsidRPr="00BF62A1">
              <w:rPr>
                <w:color w:val="000000"/>
                <w:sz w:val="14"/>
                <w:szCs w:val="14"/>
              </w:rPr>
              <w:t>OPS codes: 5-500, 5-502.0-6, 5-501</w:t>
            </w:r>
          </w:p>
        </w:tc>
        <w:tc>
          <w:tcPr>
            <w:tcW w:w="3119" w:type="dxa"/>
            <w:vMerge w:val="restart"/>
            <w:tcBorders>
              <w:top w:val="single" w:sz="8" w:space="0" w:color="auto"/>
            </w:tcBorders>
            <w:hideMark/>
          </w:tcPr>
          <w:p w14:paraId="4610FA2A" w14:textId="77777777" w:rsidR="000F0341" w:rsidRPr="00BF62A1" w:rsidRDefault="000F0341" w:rsidP="00E40B0D">
            <w:pPr>
              <w:spacing w:line="240" w:lineRule="auto"/>
              <w:jc w:val="left"/>
              <w:rPr>
                <w:color w:val="000000"/>
                <w:sz w:val="14"/>
                <w:szCs w:val="14"/>
              </w:rPr>
            </w:pPr>
            <w:r w:rsidRPr="00BF62A1">
              <w:rPr>
                <w:color w:val="000000"/>
                <w:sz w:val="14"/>
                <w:szCs w:val="14"/>
              </w:rPr>
              <w:t>-</w:t>
            </w:r>
          </w:p>
        </w:tc>
        <w:tc>
          <w:tcPr>
            <w:tcW w:w="3234" w:type="dxa"/>
            <w:vMerge w:val="restart"/>
            <w:tcBorders>
              <w:top w:val="single" w:sz="8" w:space="0" w:color="auto"/>
            </w:tcBorders>
            <w:hideMark/>
          </w:tcPr>
          <w:p w14:paraId="1459F4DA" w14:textId="77777777" w:rsidR="000F0341" w:rsidRPr="00BF62A1" w:rsidRDefault="000F0341" w:rsidP="00E40B0D">
            <w:pPr>
              <w:spacing w:line="240" w:lineRule="auto"/>
              <w:jc w:val="left"/>
              <w:rPr>
                <w:color w:val="000000"/>
                <w:sz w:val="14"/>
                <w:szCs w:val="14"/>
              </w:rPr>
            </w:pPr>
            <w:r>
              <w:rPr>
                <w:color w:val="000000"/>
                <w:sz w:val="14"/>
                <w:szCs w:val="14"/>
              </w:rPr>
              <w:t>N</w:t>
            </w:r>
            <w:r w:rsidRPr="00BF62A1">
              <w:rPr>
                <w:color w:val="000000"/>
                <w:sz w:val="14"/>
                <w:szCs w:val="14"/>
              </w:rPr>
              <w:t>ot adjusted</w:t>
            </w:r>
          </w:p>
        </w:tc>
      </w:tr>
      <w:tr w:rsidR="000F0341" w:rsidRPr="00BF62A1" w14:paraId="287D0F4F" w14:textId="77777777" w:rsidTr="00E40B0D">
        <w:trPr>
          <w:trHeight w:val="123"/>
        </w:trPr>
        <w:tc>
          <w:tcPr>
            <w:tcW w:w="1422" w:type="dxa"/>
            <w:vMerge/>
          </w:tcPr>
          <w:p w14:paraId="284B9BC9" w14:textId="77777777" w:rsidR="000F0341" w:rsidRPr="00BF62A1" w:rsidRDefault="000F0341" w:rsidP="00E40B0D">
            <w:pPr>
              <w:spacing w:line="240" w:lineRule="auto"/>
              <w:jc w:val="left"/>
              <w:rPr>
                <w:color w:val="000000"/>
                <w:sz w:val="14"/>
                <w:szCs w:val="14"/>
              </w:rPr>
            </w:pPr>
          </w:p>
        </w:tc>
        <w:tc>
          <w:tcPr>
            <w:tcW w:w="2973" w:type="dxa"/>
          </w:tcPr>
          <w:p w14:paraId="77A43101" w14:textId="77777777" w:rsidR="000F0341" w:rsidRPr="00BF62A1" w:rsidRDefault="000F0341" w:rsidP="00E40B0D">
            <w:pPr>
              <w:spacing w:line="240" w:lineRule="auto"/>
              <w:jc w:val="left"/>
              <w:rPr>
                <w:color w:val="000000"/>
                <w:sz w:val="14"/>
                <w:szCs w:val="14"/>
              </w:rPr>
            </w:pPr>
            <w:r w:rsidRPr="00BF62A1">
              <w:rPr>
                <w:color w:val="000000"/>
                <w:sz w:val="14"/>
                <w:szCs w:val="14"/>
              </w:rPr>
              <w:t>Hepatectomy left</w:t>
            </w:r>
          </w:p>
        </w:tc>
        <w:tc>
          <w:tcPr>
            <w:tcW w:w="1843" w:type="dxa"/>
          </w:tcPr>
          <w:p w14:paraId="70F8DC09" w14:textId="77777777" w:rsidR="000F0341" w:rsidRPr="00BF62A1" w:rsidRDefault="000F0341" w:rsidP="00E40B0D">
            <w:pPr>
              <w:spacing w:line="240" w:lineRule="auto"/>
              <w:jc w:val="left"/>
              <w:rPr>
                <w:color w:val="000000"/>
                <w:sz w:val="14"/>
                <w:szCs w:val="14"/>
              </w:rPr>
            </w:pPr>
            <w:r w:rsidRPr="00BF62A1">
              <w:rPr>
                <w:color w:val="000000"/>
                <w:sz w:val="14"/>
                <w:szCs w:val="14"/>
              </w:rPr>
              <w:t>5570</w:t>
            </w:r>
          </w:p>
        </w:tc>
        <w:tc>
          <w:tcPr>
            <w:tcW w:w="1984" w:type="dxa"/>
            <w:vMerge/>
          </w:tcPr>
          <w:p w14:paraId="161E3C09" w14:textId="77777777" w:rsidR="000F0341" w:rsidRPr="00BF62A1" w:rsidRDefault="000F0341" w:rsidP="00E40B0D">
            <w:pPr>
              <w:spacing w:line="240" w:lineRule="auto"/>
              <w:jc w:val="left"/>
              <w:rPr>
                <w:color w:val="000000"/>
                <w:sz w:val="14"/>
                <w:szCs w:val="14"/>
              </w:rPr>
            </w:pPr>
          </w:p>
        </w:tc>
        <w:tc>
          <w:tcPr>
            <w:tcW w:w="3119" w:type="dxa"/>
            <w:vMerge/>
          </w:tcPr>
          <w:p w14:paraId="20F1D500" w14:textId="77777777" w:rsidR="000F0341" w:rsidRPr="00BF62A1" w:rsidRDefault="000F0341" w:rsidP="00E40B0D">
            <w:pPr>
              <w:spacing w:line="240" w:lineRule="auto"/>
              <w:jc w:val="left"/>
              <w:rPr>
                <w:color w:val="000000"/>
                <w:sz w:val="14"/>
                <w:szCs w:val="14"/>
              </w:rPr>
            </w:pPr>
          </w:p>
        </w:tc>
        <w:tc>
          <w:tcPr>
            <w:tcW w:w="3234" w:type="dxa"/>
            <w:vMerge/>
          </w:tcPr>
          <w:p w14:paraId="78852F86" w14:textId="77777777" w:rsidR="000F0341" w:rsidRPr="00BF62A1" w:rsidRDefault="000F0341" w:rsidP="00E40B0D">
            <w:pPr>
              <w:spacing w:line="240" w:lineRule="auto"/>
              <w:jc w:val="left"/>
              <w:rPr>
                <w:color w:val="000000"/>
                <w:sz w:val="14"/>
                <w:szCs w:val="14"/>
              </w:rPr>
            </w:pPr>
          </w:p>
        </w:tc>
      </w:tr>
      <w:tr w:rsidR="000F0341" w:rsidRPr="00BF62A1" w14:paraId="3D826252" w14:textId="77777777" w:rsidTr="00E40B0D">
        <w:trPr>
          <w:trHeight w:val="123"/>
        </w:trPr>
        <w:tc>
          <w:tcPr>
            <w:tcW w:w="1422" w:type="dxa"/>
            <w:vMerge/>
          </w:tcPr>
          <w:p w14:paraId="60C10544" w14:textId="77777777" w:rsidR="000F0341" w:rsidRPr="00BF62A1" w:rsidRDefault="000F0341" w:rsidP="00E40B0D">
            <w:pPr>
              <w:spacing w:line="240" w:lineRule="auto"/>
              <w:jc w:val="left"/>
              <w:rPr>
                <w:color w:val="000000"/>
                <w:sz w:val="14"/>
                <w:szCs w:val="14"/>
              </w:rPr>
            </w:pPr>
          </w:p>
        </w:tc>
        <w:tc>
          <w:tcPr>
            <w:tcW w:w="2973" w:type="dxa"/>
          </w:tcPr>
          <w:p w14:paraId="67F3EB0D" w14:textId="77777777" w:rsidR="000F0341" w:rsidRPr="00BF62A1" w:rsidRDefault="000F0341" w:rsidP="00E40B0D">
            <w:pPr>
              <w:spacing w:line="240" w:lineRule="auto"/>
              <w:jc w:val="left"/>
              <w:rPr>
                <w:color w:val="000000"/>
                <w:sz w:val="14"/>
                <w:szCs w:val="14"/>
              </w:rPr>
            </w:pPr>
            <w:r w:rsidRPr="00BF62A1">
              <w:rPr>
                <w:color w:val="000000"/>
                <w:sz w:val="14"/>
                <w:szCs w:val="14"/>
              </w:rPr>
              <w:t>Hepatectomy right</w:t>
            </w:r>
          </w:p>
        </w:tc>
        <w:tc>
          <w:tcPr>
            <w:tcW w:w="1843" w:type="dxa"/>
          </w:tcPr>
          <w:p w14:paraId="138D3A67" w14:textId="77777777" w:rsidR="000F0341" w:rsidRPr="00BF62A1" w:rsidRDefault="000F0341" w:rsidP="00E40B0D">
            <w:pPr>
              <w:spacing w:line="240" w:lineRule="auto"/>
              <w:jc w:val="left"/>
              <w:rPr>
                <w:color w:val="000000"/>
                <w:sz w:val="14"/>
                <w:szCs w:val="14"/>
              </w:rPr>
            </w:pPr>
            <w:r w:rsidRPr="00BF62A1">
              <w:rPr>
                <w:color w:val="000000"/>
                <w:sz w:val="14"/>
                <w:szCs w:val="14"/>
              </w:rPr>
              <w:t>9026</w:t>
            </w:r>
          </w:p>
        </w:tc>
        <w:tc>
          <w:tcPr>
            <w:tcW w:w="1984" w:type="dxa"/>
            <w:vMerge/>
          </w:tcPr>
          <w:p w14:paraId="2C062B61" w14:textId="77777777" w:rsidR="000F0341" w:rsidRPr="00BF62A1" w:rsidRDefault="000F0341" w:rsidP="00E40B0D">
            <w:pPr>
              <w:spacing w:line="240" w:lineRule="auto"/>
              <w:jc w:val="left"/>
              <w:rPr>
                <w:color w:val="000000"/>
                <w:sz w:val="14"/>
                <w:szCs w:val="14"/>
              </w:rPr>
            </w:pPr>
          </w:p>
        </w:tc>
        <w:tc>
          <w:tcPr>
            <w:tcW w:w="3119" w:type="dxa"/>
            <w:vMerge/>
          </w:tcPr>
          <w:p w14:paraId="03BAF74B" w14:textId="77777777" w:rsidR="000F0341" w:rsidRPr="00BF62A1" w:rsidRDefault="000F0341" w:rsidP="00E40B0D">
            <w:pPr>
              <w:spacing w:line="240" w:lineRule="auto"/>
              <w:jc w:val="left"/>
              <w:rPr>
                <w:color w:val="000000"/>
                <w:sz w:val="14"/>
                <w:szCs w:val="14"/>
              </w:rPr>
            </w:pPr>
          </w:p>
        </w:tc>
        <w:tc>
          <w:tcPr>
            <w:tcW w:w="3234" w:type="dxa"/>
            <w:vMerge/>
          </w:tcPr>
          <w:p w14:paraId="36AD9D90" w14:textId="77777777" w:rsidR="000F0341" w:rsidRPr="00BF62A1" w:rsidRDefault="000F0341" w:rsidP="00E40B0D">
            <w:pPr>
              <w:spacing w:line="240" w:lineRule="auto"/>
              <w:jc w:val="left"/>
              <w:rPr>
                <w:color w:val="000000"/>
                <w:sz w:val="14"/>
                <w:szCs w:val="14"/>
              </w:rPr>
            </w:pPr>
          </w:p>
        </w:tc>
      </w:tr>
      <w:tr w:rsidR="000F0341" w:rsidRPr="00BF62A1" w14:paraId="66299DDF" w14:textId="77777777" w:rsidTr="00E40B0D">
        <w:trPr>
          <w:trHeight w:val="123"/>
        </w:trPr>
        <w:tc>
          <w:tcPr>
            <w:tcW w:w="1422" w:type="dxa"/>
            <w:vMerge/>
          </w:tcPr>
          <w:p w14:paraId="4E02C8CB" w14:textId="77777777" w:rsidR="000F0341" w:rsidRPr="00BF62A1" w:rsidRDefault="000F0341" w:rsidP="00E40B0D">
            <w:pPr>
              <w:spacing w:line="240" w:lineRule="auto"/>
              <w:jc w:val="left"/>
              <w:rPr>
                <w:color w:val="000000"/>
                <w:sz w:val="14"/>
                <w:szCs w:val="14"/>
              </w:rPr>
            </w:pPr>
          </w:p>
        </w:tc>
        <w:tc>
          <w:tcPr>
            <w:tcW w:w="2973" w:type="dxa"/>
          </w:tcPr>
          <w:p w14:paraId="5BDDE7E4" w14:textId="77777777" w:rsidR="000F0341" w:rsidRPr="00BF62A1" w:rsidRDefault="000F0341" w:rsidP="00E40B0D">
            <w:pPr>
              <w:spacing w:line="240" w:lineRule="auto"/>
              <w:jc w:val="left"/>
              <w:rPr>
                <w:color w:val="000000"/>
                <w:sz w:val="14"/>
                <w:szCs w:val="14"/>
              </w:rPr>
            </w:pPr>
            <w:r w:rsidRPr="00BF62A1">
              <w:rPr>
                <w:color w:val="000000"/>
                <w:sz w:val="14"/>
                <w:szCs w:val="14"/>
              </w:rPr>
              <w:t>Extended resections</w:t>
            </w:r>
          </w:p>
        </w:tc>
        <w:tc>
          <w:tcPr>
            <w:tcW w:w="1843" w:type="dxa"/>
          </w:tcPr>
          <w:p w14:paraId="6B15EEFE" w14:textId="77777777" w:rsidR="000F0341" w:rsidRPr="00BF62A1" w:rsidRDefault="000F0341" w:rsidP="00E40B0D">
            <w:pPr>
              <w:spacing w:line="240" w:lineRule="auto"/>
              <w:jc w:val="left"/>
              <w:rPr>
                <w:color w:val="000000"/>
                <w:sz w:val="14"/>
                <w:szCs w:val="14"/>
              </w:rPr>
            </w:pPr>
            <w:r w:rsidRPr="00BF62A1">
              <w:rPr>
                <w:color w:val="000000"/>
                <w:sz w:val="14"/>
                <w:szCs w:val="14"/>
              </w:rPr>
              <w:t>3885</w:t>
            </w:r>
          </w:p>
        </w:tc>
        <w:tc>
          <w:tcPr>
            <w:tcW w:w="1984" w:type="dxa"/>
            <w:vMerge/>
          </w:tcPr>
          <w:p w14:paraId="437E65F5" w14:textId="77777777" w:rsidR="000F0341" w:rsidRPr="00BF62A1" w:rsidRDefault="000F0341" w:rsidP="00E40B0D">
            <w:pPr>
              <w:spacing w:line="240" w:lineRule="auto"/>
              <w:jc w:val="left"/>
              <w:rPr>
                <w:color w:val="000000"/>
                <w:sz w:val="14"/>
                <w:szCs w:val="14"/>
              </w:rPr>
            </w:pPr>
          </w:p>
        </w:tc>
        <w:tc>
          <w:tcPr>
            <w:tcW w:w="3119" w:type="dxa"/>
            <w:vMerge/>
          </w:tcPr>
          <w:p w14:paraId="631A4031" w14:textId="77777777" w:rsidR="000F0341" w:rsidRPr="00BF62A1" w:rsidRDefault="000F0341" w:rsidP="00E40B0D">
            <w:pPr>
              <w:spacing w:line="240" w:lineRule="auto"/>
              <w:jc w:val="left"/>
              <w:rPr>
                <w:color w:val="000000"/>
                <w:sz w:val="14"/>
                <w:szCs w:val="14"/>
              </w:rPr>
            </w:pPr>
          </w:p>
        </w:tc>
        <w:tc>
          <w:tcPr>
            <w:tcW w:w="3234" w:type="dxa"/>
            <w:vMerge/>
          </w:tcPr>
          <w:p w14:paraId="011D8FFD" w14:textId="77777777" w:rsidR="000F0341" w:rsidRPr="00BF62A1" w:rsidRDefault="000F0341" w:rsidP="00E40B0D">
            <w:pPr>
              <w:spacing w:line="240" w:lineRule="auto"/>
              <w:jc w:val="left"/>
              <w:rPr>
                <w:color w:val="000000"/>
                <w:sz w:val="14"/>
                <w:szCs w:val="14"/>
              </w:rPr>
            </w:pPr>
          </w:p>
        </w:tc>
      </w:tr>
      <w:tr w:rsidR="000F0341" w:rsidRPr="00BF62A1" w14:paraId="2AD77593" w14:textId="77777777" w:rsidTr="00E40B0D">
        <w:trPr>
          <w:trHeight w:val="123"/>
        </w:trPr>
        <w:tc>
          <w:tcPr>
            <w:tcW w:w="1422" w:type="dxa"/>
            <w:vMerge/>
          </w:tcPr>
          <w:p w14:paraId="659A605B" w14:textId="77777777" w:rsidR="000F0341" w:rsidRPr="00BF62A1" w:rsidRDefault="000F0341" w:rsidP="00E40B0D">
            <w:pPr>
              <w:spacing w:line="240" w:lineRule="auto"/>
              <w:jc w:val="left"/>
              <w:rPr>
                <w:color w:val="000000"/>
                <w:sz w:val="14"/>
                <w:szCs w:val="14"/>
              </w:rPr>
            </w:pPr>
          </w:p>
        </w:tc>
        <w:tc>
          <w:tcPr>
            <w:tcW w:w="2973" w:type="dxa"/>
          </w:tcPr>
          <w:p w14:paraId="6E6F8163"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Bisegmentectomy </w:t>
            </w:r>
          </w:p>
        </w:tc>
        <w:tc>
          <w:tcPr>
            <w:tcW w:w="1843" w:type="dxa"/>
          </w:tcPr>
          <w:p w14:paraId="46C3963F" w14:textId="77777777" w:rsidR="000F0341" w:rsidRPr="00BF62A1" w:rsidRDefault="000F0341" w:rsidP="00E40B0D">
            <w:pPr>
              <w:spacing w:line="240" w:lineRule="auto"/>
              <w:jc w:val="left"/>
              <w:rPr>
                <w:color w:val="000000"/>
                <w:sz w:val="14"/>
                <w:szCs w:val="14"/>
              </w:rPr>
            </w:pPr>
            <w:r w:rsidRPr="00BF62A1">
              <w:rPr>
                <w:color w:val="000000"/>
                <w:sz w:val="14"/>
                <w:szCs w:val="14"/>
              </w:rPr>
              <w:t>4938</w:t>
            </w:r>
          </w:p>
        </w:tc>
        <w:tc>
          <w:tcPr>
            <w:tcW w:w="1984" w:type="dxa"/>
            <w:vMerge/>
          </w:tcPr>
          <w:p w14:paraId="5867BC49" w14:textId="77777777" w:rsidR="000F0341" w:rsidRPr="00BF62A1" w:rsidRDefault="000F0341" w:rsidP="00E40B0D">
            <w:pPr>
              <w:spacing w:line="240" w:lineRule="auto"/>
              <w:jc w:val="left"/>
              <w:rPr>
                <w:color w:val="000000"/>
                <w:sz w:val="14"/>
                <w:szCs w:val="14"/>
              </w:rPr>
            </w:pPr>
          </w:p>
        </w:tc>
        <w:tc>
          <w:tcPr>
            <w:tcW w:w="3119" w:type="dxa"/>
            <w:vMerge/>
          </w:tcPr>
          <w:p w14:paraId="1EAF2EB6" w14:textId="77777777" w:rsidR="000F0341" w:rsidRPr="00BF62A1" w:rsidRDefault="000F0341" w:rsidP="00E40B0D">
            <w:pPr>
              <w:spacing w:line="240" w:lineRule="auto"/>
              <w:jc w:val="left"/>
              <w:rPr>
                <w:color w:val="000000"/>
                <w:sz w:val="14"/>
                <w:szCs w:val="14"/>
              </w:rPr>
            </w:pPr>
          </w:p>
        </w:tc>
        <w:tc>
          <w:tcPr>
            <w:tcW w:w="3234" w:type="dxa"/>
            <w:vMerge/>
          </w:tcPr>
          <w:p w14:paraId="419FCF10" w14:textId="77777777" w:rsidR="000F0341" w:rsidRPr="00BF62A1" w:rsidRDefault="000F0341" w:rsidP="00E40B0D">
            <w:pPr>
              <w:spacing w:line="240" w:lineRule="auto"/>
              <w:jc w:val="left"/>
              <w:rPr>
                <w:color w:val="000000"/>
                <w:sz w:val="14"/>
                <w:szCs w:val="14"/>
              </w:rPr>
            </w:pPr>
          </w:p>
        </w:tc>
      </w:tr>
      <w:tr w:rsidR="000F0341" w:rsidRPr="00BF62A1" w14:paraId="5BE1761B" w14:textId="77777777" w:rsidTr="00E40B0D">
        <w:trPr>
          <w:trHeight w:val="123"/>
        </w:trPr>
        <w:tc>
          <w:tcPr>
            <w:tcW w:w="1422" w:type="dxa"/>
            <w:vMerge/>
            <w:tcBorders>
              <w:bottom w:val="single" w:sz="8" w:space="0" w:color="auto"/>
            </w:tcBorders>
          </w:tcPr>
          <w:p w14:paraId="26C65D4C"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22F5FEBC" w14:textId="77777777" w:rsidR="000F0341" w:rsidRPr="00BF62A1" w:rsidRDefault="000F0341" w:rsidP="00E40B0D">
            <w:pPr>
              <w:spacing w:line="240" w:lineRule="auto"/>
              <w:jc w:val="left"/>
              <w:rPr>
                <w:color w:val="000000"/>
                <w:sz w:val="14"/>
                <w:szCs w:val="14"/>
              </w:rPr>
            </w:pPr>
            <w:r w:rsidRPr="00BF62A1">
              <w:rPr>
                <w:color w:val="000000"/>
                <w:sz w:val="14"/>
                <w:szCs w:val="14"/>
              </w:rPr>
              <w:t>Other segmentectomies</w:t>
            </w:r>
          </w:p>
        </w:tc>
        <w:tc>
          <w:tcPr>
            <w:tcW w:w="1843" w:type="dxa"/>
            <w:tcBorders>
              <w:bottom w:val="single" w:sz="8" w:space="0" w:color="auto"/>
            </w:tcBorders>
          </w:tcPr>
          <w:p w14:paraId="523A28C5" w14:textId="77777777" w:rsidR="000F0341" w:rsidRPr="00BF62A1" w:rsidRDefault="000F0341" w:rsidP="00E40B0D">
            <w:pPr>
              <w:spacing w:line="240" w:lineRule="auto"/>
              <w:jc w:val="left"/>
              <w:rPr>
                <w:color w:val="000000"/>
                <w:sz w:val="14"/>
                <w:szCs w:val="14"/>
              </w:rPr>
            </w:pPr>
            <w:r w:rsidRPr="00BF62A1">
              <w:rPr>
                <w:color w:val="000000"/>
                <w:sz w:val="14"/>
                <w:szCs w:val="14"/>
              </w:rPr>
              <w:t>7864</w:t>
            </w:r>
          </w:p>
        </w:tc>
        <w:tc>
          <w:tcPr>
            <w:tcW w:w="1984" w:type="dxa"/>
            <w:vMerge/>
            <w:tcBorders>
              <w:bottom w:val="single" w:sz="8" w:space="0" w:color="auto"/>
            </w:tcBorders>
          </w:tcPr>
          <w:p w14:paraId="1C3AE96E"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1B19EEF7"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4CF13094" w14:textId="77777777" w:rsidR="000F0341" w:rsidRPr="00BF62A1" w:rsidRDefault="000F0341" w:rsidP="00E40B0D">
            <w:pPr>
              <w:spacing w:line="240" w:lineRule="auto"/>
              <w:jc w:val="left"/>
              <w:rPr>
                <w:color w:val="000000"/>
                <w:sz w:val="14"/>
                <w:szCs w:val="14"/>
              </w:rPr>
            </w:pPr>
          </w:p>
        </w:tc>
      </w:tr>
      <w:tr w:rsidR="000F0341" w:rsidRPr="00BF62A1" w14:paraId="413F272D" w14:textId="77777777" w:rsidTr="00E40B0D">
        <w:trPr>
          <w:trHeight w:val="186"/>
        </w:trPr>
        <w:tc>
          <w:tcPr>
            <w:tcW w:w="1422" w:type="dxa"/>
            <w:vMerge w:val="restart"/>
            <w:tcBorders>
              <w:top w:val="single" w:sz="8" w:space="0" w:color="auto"/>
            </w:tcBorders>
            <w:hideMark/>
          </w:tcPr>
          <w:p w14:paraId="737CC990"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Gani 2017 </w:t>
            </w:r>
            <w:r w:rsidRPr="00BF62A1">
              <w:rPr>
                <w:color w:val="000000"/>
                <w:sz w:val="14"/>
                <w:szCs w:val="14"/>
              </w:rPr>
              <w:fldChar w:fldCharType="begin"/>
            </w:r>
            <w:r>
              <w:rPr>
                <w:color w:val="000000"/>
                <w:sz w:val="14"/>
                <w:szCs w:val="14"/>
              </w:rPr>
              <w:instrText xml:space="preserve"> ADDIN ZOTERO_ITEM CSL_CITATION {"citationID":"3D2s309X","properties":{"formattedCitation":"[54]","plainCitation":"[54]","noteIndex":0},"citationItems":[{"id":14190,"uris":["http://zotero.org/groups/4983919/items/6BABBFND"],"itemData":{"id":14190,"type":"article-journal","abstract":"INTRODUCTION: Data evaluating trends in hospital volume are lacking. The current study sought to examine trends in outcomes relative to hospital volume following liver surgery. METHODS: A total of 14,296 patients &gt;18 years undergoing an elective liver resection (LR) for cancer were identified using the National Inpatient Sample from 2001 to 2011. Multivariable logistic regression analysis was performed to compare postoperative morbidity and mortality relative to hospital volume over time. RESULTS: Over time, the proportion of patients undergoing a LR at a high-volume hospital (HVH) increased from 24.4 to 45.0 %, while the proportion of patients undergoing a LR at a low-volume hospital (LVH) decreased from 40.4 to 22.7 %. On multivariable analysis, patients undergoing a LR at high-volume hospitals demonstrated a 29 % lower odds of mortality (OR = 0.71, 95 % CI = 0.59-0.86, p &lt; 0.001) compared with patients undergoing a LR at a LVH. The rate of regionalization, however, was not equal among all patients as older patients, patients belonging to a racial minority, and those presenting with substantial comorbidity were less likely to undergo a LR at a HVH. CONCLUSION: An increase in the regionalization of liver surgery was observed over time. Trends in regionalization were, however, associated with discrepancies in access to HVH among specific patient populations.","container-title":"J Gastrointest Surg","DOI":"10.1007/s11605-016-3316-7","ISSN":"1091-255x","issue":"3","language":"eng","note":"publisher-place: Department of Surgery, Johns Hopkins University School of Medicine, Baltimore, MD, USA. Department of Hepatobiliary, Pancreatic Surgery and Liver Transplantation, Henri Mondor Hospital, Unite ISERM 955, Creteil, France. Department of Surgery, Johns Hopkins University School of Medicine, Baltimore, MD, USA. tim.pawlik@osumc.edu. Department of Surgery, The Urban Meyer III and Shelley Meyer Chair for Cancer Research, Wexner Medical Center at The Ohio State University, 395 W. 12th Avenue, Suite 670, Columbus, OH, 43210, USA. tim.pawlik@osumc.edu.","page":"463-471","title":"Evaluating Trends in the Volume-Outcomes Relationship Following Liver Surgery: Does Regionalization Benefit All Patients the Same?","volume":"21","author":[{"family":"Gani","given":"F."},{"family":"Azoulay","given":"D."},{"family":"Pawlik","given":"T. M."}],"issued":{"date-parts":[["2017",3]]}}}],"schema":"https://github.com/citation-style-language/schema/raw/master/csl-citation.json"} </w:instrText>
            </w:r>
            <w:r w:rsidRPr="00BF62A1">
              <w:rPr>
                <w:color w:val="000000"/>
                <w:sz w:val="14"/>
                <w:szCs w:val="14"/>
              </w:rPr>
              <w:fldChar w:fldCharType="separate"/>
            </w:r>
            <w:r w:rsidRPr="004125CE">
              <w:rPr>
                <w:sz w:val="14"/>
              </w:rPr>
              <w:t>[54]</w:t>
            </w:r>
            <w:r w:rsidRPr="00BF62A1">
              <w:rPr>
                <w:color w:val="000000"/>
                <w:sz w:val="14"/>
                <w:szCs w:val="14"/>
              </w:rPr>
              <w:fldChar w:fldCharType="end"/>
            </w:r>
          </w:p>
        </w:tc>
        <w:tc>
          <w:tcPr>
            <w:tcW w:w="2973" w:type="dxa"/>
            <w:tcBorders>
              <w:top w:val="single" w:sz="8" w:space="0" w:color="auto"/>
            </w:tcBorders>
            <w:hideMark/>
          </w:tcPr>
          <w:p w14:paraId="154D9EC3" w14:textId="77777777" w:rsidR="000F0341" w:rsidRPr="00BF62A1" w:rsidRDefault="000F0341" w:rsidP="00E40B0D">
            <w:pPr>
              <w:spacing w:line="240" w:lineRule="auto"/>
              <w:jc w:val="left"/>
              <w:rPr>
                <w:color w:val="000000"/>
                <w:sz w:val="14"/>
                <w:szCs w:val="14"/>
              </w:rPr>
            </w:pPr>
            <w:r w:rsidRPr="00BF62A1">
              <w:rPr>
                <w:color w:val="000000"/>
                <w:sz w:val="14"/>
                <w:szCs w:val="14"/>
              </w:rPr>
              <w:t>Lobectomy</w:t>
            </w:r>
            <w:r w:rsidRPr="00BF62A1">
              <w:rPr>
                <w:color w:val="000000"/>
                <w:sz w:val="14"/>
                <w:szCs w:val="14"/>
              </w:rPr>
              <w:br/>
            </w:r>
          </w:p>
        </w:tc>
        <w:tc>
          <w:tcPr>
            <w:tcW w:w="1843" w:type="dxa"/>
            <w:tcBorders>
              <w:top w:val="single" w:sz="8" w:space="0" w:color="auto"/>
            </w:tcBorders>
            <w:hideMark/>
          </w:tcPr>
          <w:p w14:paraId="5DD065A5" w14:textId="77777777" w:rsidR="000F0341" w:rsidRPr="00BF62A1" w:rsidRDefault="000F0341" w:rsidP="00E40B0D">
            <w:pPr>
              <w:spacing w:line="240" w:lineRule="auto"/>
              <w:jc w:val="left"/>
              <w:rPr>
                <w:color w:val="000000"/>
                <w:sz w:val="14"/>
                <w:szCs w:val="14"/>
              </w:rPr>
            </w:pPr>
            <w:r w:rsidRPr="00BF62A1">
              <w:rPr>
                <w:color w:val="000000"/>
                <w:sz w:val="14"/>
                <w:szCs w:val="14"/>
              </w:rPr>
              <w:t>9063 (32.6)</w:t>
            </w:r>
            <w:r w:rsidRPr="00BF62A1">
              <w:rPr>
                <w:color w:val="000000"/>
                <w:sz w:val="14"/>
                <w:szCs w:val="14"/>
              </w:rPr>
              <w:br/>
            </w:r>
          </w:p>
        </w:tc>
        <w:tc>
          <w:tcPr>
            <w:tcW w:w="1984" w:type="dxa"/>
            <w:vMerge w:val="restart"/>
            <w:tcBorders>
              <w:top w:val="single" w:sz="8" w:space="0" w:color="auto"/>
            </w:tcBorders>
            <w:hideMark/>
          </w:tcPr>
          <w:p w14:paraId="1ED85DBC" w14:textId="77777777" w:rsidR="000F0341" w:rsidRPr="00BF62A1" w:rsidRDefault="000F0341" w:rsidP="00E40B0D">
            <w:pPr>
              <w:spacing w:line="240" w:lineRule="auto"/>
              <w:jc w:val="left"/>
              <w:rPr>
                <w:color w:val="000000"/>
                <w:sz w:val="14"/>
                <w:szCs w:val="14"/>
              </w:rPr>
            </w:pPr>
            <w:r w:rsidRPr="00BF62A1">
              <w:rPr>
                <w:color w:val="000000"/>
                <w:sz w:val="14"/>
                <w:szCs w:val="14"/>
              </w:rPr>
              <w:t>ICD-9-CM: 50.3, 50.22</w:t>
            </w:r>
          </w:p>
        </w:tc>
        <w:tc>
          <w:tcPr>
            <w:tcW w:w="3119" w:type="dxa"/>
            <w:vMerge w:val="restart"/>
            <w:tcBorders>
              <w:top w:val="single" w:sz="8" w:space="0" w:color="auto"/>
            </w:tcBorders>
            <w:hideMark/>
          </w:tcPr>
          <w:p w14:paraId="6D90B343" w14:textId="77777777" w:rsidR="000F0341" w:rsidRPr="00BF62A1" w:rsidRDefault="000F0341" w:rsidP="00E40B0D">
            <w:pPr>
              <w:spacing w:line="240" w:lineRule="auto"/>
              <w:jc w:val="left"/>
              <w:rPr>
                <w:color w:val="000000"/>
                <w:sz w:val="14"/>
                <w:szCs w:val="14"/>
              </w:rPr>
            </w:pPr>
            <w:r>
              <w:rPr>
                <w:color w:val="000000"/>
                <w:sz w:val="14"/>
                <w:szCs w:val="14"/>
              </w:rPr>
              <w:t>P</w:t>
            </w:r>
            <w:r w:rsidRPr="00BF62A1">
              <w:rPr>
                <w:color w:val="000000"/>
                <w:sz w:val="14"/>
                <w:szCs w:val="14"/>
              </w:rPr>
              <w:t>atients undergoing concomitant surgery, emergency surgery</w:t>
            </w:r>
          </w:p>
        </w:tc>
        <w:tc>
          <w:tcPr>
            <w:tcW w:w="3234" w:type="dxa"/>
            <w:vMerge w:val="restart"/>
            <w:tcBorders>
              <w:top w:val="single" w:sz="8" w:space="0" w:color="auto"/>
            </w:tcBorders>
            <w:hideMark/>
          </w:tcPr>
          <w:p w14:paraId="6339F37E" w14:textId="77777777" w:rsidR="000F0341" w:rsidRPr="00BF62A1" w:rsidRDefault="000F0341" w:rsidP="00E40B0D">
            <w:pPr>
              <w:spacing w:line="240" w:lineRule="auto"/>
              <w:jc w:val="left"/>
              <w:rPr>
                <w:color w:val="000000"/>
                <w:sz w:val="14"/>
                <w:szCs w:val="14"/>
              </w:rPr>
            </w:pPr>
            <w:r>
              <w:rPr>
                <w:color w:val="000000"/>
                <w:sz w:val="14"/>
                <w:szCs w:val="14"/>
              </w:rPr>
              <w:t>A</w:t>
            </w:r>
            <w:r w:rsidRPr="00BF62A1">
              <w:rPr>
                <w:color w:val="000000"/>
                <w:sz w:val="14"/>
                <w:szCs w:val="14"/>
              </w:rPr>
              <w:t>ge, CCI, complications, hospital location, hospital region, hospital teaching status, income quartile, insurance, race, gender, surgery type</w:t>
            </w:r>
          </w:p>
        </w:tc>
      </w:tr>
      <w:tr w:rsidR="000F0341" w:rsidRPr="00BF62A1" w14:paraId="2F4B79C3" w14:textId="77777777" w:rsidTr="00E40B0D">
        <w:trPr>
          <w:trHeight w:val="64"/>
        </w:trPr>
        <w:tc>
          <w:tcPr>
            <w:tcW w:w="1422" w:type="dxa"/>
            <w:vMerge/>
            <w:tcBorders>
              <w:bottom w:val="single" w:sz="8" w:space="0" w:color="auto"/>
            </w:tcBorders>
          </w:tcPr>
          <w:p w14:paraId="2ECED399"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4F985DC9" w14:textId="77777777" w:rsidR="000F0341" w:rsidRPr="00BF62A1" w:rsidRDefault="000F0341" w:rsidP="00E40B0D">
            <w:pPr>
              <w:spacing w:line="240" w:lineRule="auto"/>
              <w:jc w:val="left"/>
              <w:rPr>
                <w:color w:val="000000"/>
                <w:sz w:val="14"/>
                <w:szCs w:val="14"/>
              </w:rPr>
            </w:pPr>
            <w:r w:rsidRPr="00BF62A1">
              <w:rPr>
                <w:color w:val="000000"/>
                <w:sz w:val="14"/>
                <w:szCs w:val="14"/>
              </w:rPr>
              <w:t>Partial hepatectomy</w:t>
            </w:r>
          </w:p>
        </w:tc>
        <w:tc>
          <w:tcPr>
            <w:tcW w:w="1843" w:type="dxa"/>
            <w:tcBorders>
              <w:bottom w:val="single" w:sz="8" w:space="0" w:color="auto"/>
            </w:tcBorders>
          </w:tcPr>
          <w:p w14:paraId="2352D39E" w14:textId="77777777" w:rsidR="000F0341" w:rsidRPr="00BF62A1" w:rsidRDefault="000F0341" w:rsidP="00E40B0D">
            <w:pPr>
              <w:spacing w:line="240" w:lineRule="auto"/>
              <w:jc w:val="left"/>
              <w:rPr>
                <w:color w:val="000000"/>
                <w:sz w:val="14"/>
                <w:szCs w:val="14"/>
              </w:rPr>
            </w:pPr>
            <w:r w:rsidRPr="00BF62A1">
              <w:rPr>
                <w:color w:val="000000"/>
                <w:sz w:val="14"/>
                <w:szCs w:val="14"/>
              </w:rPr>
              <w:t>18748 (67.4)</w:t>
            </w:r>
          </w:p>
        </w:tc>
        <w:tc>
          <w:tcPr>
            <w:tcW w:w="1984" w:type="dxa"/>
            <w:vMerge/>
            <w:tcBorders>
              <w:bottom w:val="single" w:sz="8" w:space="0" w:color="auto"/>
            </w:tcBorders>
          </w:tcPr>
          <w:p w14:paraId="3B8D27F2"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314236B2"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543924F4" w14:textId="77777777" w:rsidR="000F0341" w:rsidRPr="00BF62A1" w:rsidRDefault="000F0341" w:rsidP="00E40B0D">
            <w:pPr>
              <w:spacing w:line="240" w:lineRule="auto"/>
              <w:jc w:val="left"/>
              <w:rPr>
                <w:color w:val="000000"/>
                <w:sz w:val="14"/>
                <w:szCs w:val="14"/>
              </w:rPr>
            </w:pPr>
          </w:p>
        </w:tc>
      </w:tr>
      <w:tr w:rsidR="000F0341" w:rsidRPr="00BF62A1" w14:paraId="689C76DB" w14:textId="77777777" w:rsidTr="00E40B0D">
        <w:trPr>
          <w:trHeight w:val="117"/>
        </w:trPr>
        <w:tc>
          <w:tcPr>
            <w:tcW w:w="1422" w:type="dxa"/>
            <w:vMerge w:val="restart"/>
            <w:tcBorders>
              <w:top w:val="single" w:sz="8" w:space="0" w:color="auto"/>
            </w:tcBorders>
            <w:hideMark/>
          </w:tcPr>
          <w:p w14:paraId="7D8AEE80"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Gani 2016 </w:t>
            </w:r>
            <w:r w:rsidRPr="00BF62A1">
              <w:rPr>
                <w:color w:val="000000"/>
                <w:sz w:val="14"/>
                <w:szCs w:val="14"/>
              </w:rPr>
              <w:fldChar w:fldCharType="begin"/>
            </w:r>
            <w:r>
              <w:rPr>
                <w:color w:val="000000"/>
                <w:sz w:val="14"/>
                <w:szCs w:val="14"/>
              </w:rPr>
              <w:instrText xml:space="preserve"> ADDIN ZOTERO_ITEM CSL_CITATION {"citationID":"Kmz5d76D","properties":{"formattedCitation":"[55]","plainCitation":"[55]","noteIndex":0},"citationItems":[{"id":14189,"uris":["http://zotero.org/groups/4983919/items/YC9I5MBJ"],"itemData":{"id":14189,"type":"article-journal","abstract":"BACKGROUND: Although proposed as a means for quality improvement, little is known regarding the economic consequences of volume-based referral. The objective of the current study was to investigate the relationship between inpatient costs and hospital volume. METHODS: Patients undergoing elective liver surgery were identified using the Nationwide Inpatient Sample from 2001 to 2012. Multivariable hierarchical regression analyses were performed to calculate and compare risk-adjusted costs and postoperative outcomes across hospital volume terciles. RESULTS: A total of 27,813 patients underwent surgery at 2207 hospitals. Although costs were comparable across the three volume groups (all p &gt; 0.05), patients who developed a postoperative complication incurred a higher overall cost (complication vs. no complication; median costs $17,974 [IQR 13,865-25,623] vs. $41,731 [IQR 27,008-64,266], p &lt; 0.001). In contrast, while the incidence of postoperative complications (low vs. intermediate vs. high; 22.0 vs. 19.2 vs. 13.0 %, p &lt; 0.001) and subsequent failure-to-rescue (low vs. intermediate vs. high; 16.6 vs. 24.7 vs. 15.1 %, p &lt; 0.001) was lower at high-volume hospitals, costs associated with \"rescue\" were substantially higher at high-volume hospitals (low vs. intermediate vs. high; $39,289 vs. $36,157 vs. $48,559, both p &lt; 0.001). CONCLUSIONS: Compared with lower volume hospitals, improved outcomes among patients who developed a complication at high-volume hospitals were associated with an increased cost.","container-title":"J Gastrointest Surg","DOI":"10.1007/s11605-015-3071-1","ISSN":"1091-255x","issue":"5","language":"eng","note":"publisher-place: Department of Surgery, Johns Hopkins University School of Medicine, 600 North Wolfe Street Blalock 688, Baltimore, MD, 21287, USA. Department of Surgery, Johns Hopkins University School of Medicine, 600 North Wolfe Street Blalock 688, Baltimore, MD, 21287, USA. tpawlik1@jhmi.edu.","page":"945-52","title":"Assessing the Costs Associated with Volume-Based Referral for Hepatic Surgery","volume":"20","author":[{"family":"Gani","given":"F."},{"family":"Pawlik","given":"T. M."}],"issued":{"date-parts":[["2016",5]]}}}],"schema":"https://github.com/citation-style-language/schema/raw/master/csl-citation.json"} </w:instrText>
            </w:r>
            <w:r w:rsidRPr="00BF62A1">
              <w:rPr>
                <w:color w:val="000000"/>
                <w:sz w:val="14"/>
                <w:szCs w:val="14"/>
              </w:rPr>
              <w:fldChar w:fldCharType="separate"/>
            </w:r>
            <w:r w:rsidRPr="004125CE">
              <w:rPr>
                <w:sz w:val="14"/>
              </w:rPr>
              <w:t>[55]</w:t>
            </w:r>
            <w:r w:rsidRPr="00BF62A1">
              <w:rPr>
                <w:color w:val="000000"/>
                <w:sz w:val="14"/>
                <w:szCs w:val="14"/>
              </w:rPr>
              <w:fldChar w:fldCharType="end"/>
            </w:r>
          </w:p>
        </w:tc>
        <w:tc>
          <w:tcPr>
            <w:tcW w:w="2973" w:type="dxa"/>
            <w:tcBorders>
              <w:top w:val="single" w:sz="8" w:space="0" w:color="auto"/>
            </w:tcBorders>
            <w:hideMark/>
          </w:tcPr>
          <w:p w14:paraId="55EC9B56" w14:textId="77777777" w:rsidR="000F0341" w:rsidRPr="00BF62A1" w:rsidRDefault="000F0341" w:rsidP="00E40B0D">
            <w:pPr>
              <w:spacing w:line="240" w:lineRule="auto"/>
              <w:jc w:val="left"/>
              <w:rPr>
                <w:color w:val="000000"/>
                <w:sz w:val="14"/>
                <w:szCs w:val="14"/>
              </w:rPr>
            </w:pPr>
            <w:r w:rsidRPr="00BF62A1">
              <w:rPr>
                <w:color w:val="000000"/>
                <w:sz w:val="14"/>
                <w:szCs w:val="14"/>
              </w:rPr>
              <w:t>Major hepatectomy 4789 (33.5)</w:t>
            </w:r>
            <w:r w:rsidRPr="00BF62A1">
              <w:rPr>
                <w:color w:val="000000"/>
                <w:sz w:val="14"/>
                <w:szCs w:val="14"/>
              </w:rPr>
              <w:br/>
            </w:r>
          </w:p>
        </w:tc>
        <w:tc>
          <w:tcPr>
            <w:tcW w:w="1843" w:type="dxa"/>
            <w:tcBorders>
              <w:top w:val="single" w:sz="8" w:space="0" w:color="auto"/>
            </w:tcBorders>
            <w:hideMark/>
          </w:tcPr>
          <w:p w14:paraId="71100F60" w14:textId="77777777" w:rsidR="000F0341" w:rsidRPr="00BF62A1" w:rsidRDefault="000F0341" w:rsidP="00E40B0D">
            <w:pPr>
              <w:spacing w:line="240" w:lineRule="auto"/>
              <w:jc w:val="left"/>
              <w:rPr>
                <w:color w:val="000000"/>
                <w:sz w:val="14"/>
                <w:szCs w:val="14"/>
              </w:rPr>
            </w:pPr>
            <w:r w:rsidRPr="00BF62A1">
              <w:rPr>
                <w:color w:val="000000"/>
                <w:sz w:val="14"/>
                <w:szCs w:val="14"/>
              </w:rPr>
              <w:t>4789 (33.5)</w:t>
            </w:r>
            <w:r w:rsidRPr="00BF62A1">
              <w:rPr>
                <w:color w:val="000000"/>
                <w:sz w:val="14"/>
                <w:szCs w:val="14"/>
              </w:rPr>
              <w:br/>
            </w:r>
          </w:p>
        </w:tc>
        <w:tc>
          <w:tcPr>
            <w:tcW w:w="1984" w:type="dxa"/>
            <w:vMerge w:val="restart"/>
            <w:tcBorders>
              <w:top w:val="single" w:sz="8" w:space="0" w:color="auto"/>
            </w:tcBorders>
            <w:hideMark/>
          </w:tcPr>
          <w:p w14:paraId="102ACD9D" w14:textId="77777777" w:rsidR="000F0341" w:rsidRPr="00BF62A1" w:rsidRDefault="000F0341" w:rsidP="00E40B0D">
            <w:pPr>
              <w:spacing w:line="240" w:lineRule="auto"/>
              <w:jc w:val="left"/>
              <w:rPr>
                <w:color w:val="000000"/>
                <w:sz w:val="14"/>
                <w:szCs w:val="14"/>
              </w:rPr>
            </w:pPr>
            <w:r w:rsidRPr="00BF62A1">
              <w:rPr>
                <w:color w:val="000000"/>
                <w:sz w:val="14"/>
                <w:szCs w:val="14"/>
              </w:rPr>
              <w:t>ICD-9-CM: 50.3, 50.22</w:t>
            </w:r>
          </w:p>
        </w:tc>
        <w:tc>
          <w:tcPr>
            <w:tcW w:w="3119" w:type="dxa"/>
            <w:vMerge w:val="restart"/>
            <w:tcBorders>
              <w:top w:val="single" w:sz="8" w:space="0" w:color="auto"/>
            </w:tcBorders>
            <w:hideMark/>
          </w:tcPr>
          <w:p w14:paraId="551EBDB3" w14:textId="77777777" w:rsidR="000F0341" w:rsidRPr="00BF62A1" w:rsidRDefault="000F0341" w:rsidP="00E40B0D">
            <w:pPr>
              <w:spacing w:line="240" w:lineRule="auto"/>
              <w:jc w:val="left"/>
              <w:rPr>
                <w:color w:val="000000"/>
                <w:sz w:val="14"/>
                <w:szCs w:val="14"/>
              </w:rPr>
            </w:pPr>
            <w:r>
              <w:rPr>
                <w:color w:val="000000"/>
                <w:sz w:val="14"/>
                <w:szCs w:val="14"/>
              </w:rPr>
              <w:t>E</w:t>
            </w:r>
            <w:r w:rsidRPr="00BF62A1">
              <w:rPr>
                <w:color w:val="000000"/>
                <w:sz w:val="14"/>
                <w:szCs w:val="14"/>
              </w:rPr>
              <w:t>mergency surgery; &lt;18 years</w:t>
            </w:r>
          </w:p>
        </w:tc>
        <w:tc>
          <w:tcPr>
            <w:tcW w:w="3234" w:type="dxa"/>
            <w:vMerge w:val="restart"/>
            <w:tcBorders>
              <w:top w:val="single" w:sz="8" w:space="0" w:color="auto"/>
            </w:tcBorders>
            <w:hideMark/>
          </w:tcPr>
          <w:p w14:paraId="176068AD" w14:textId="77777777" w:rsidR="000F0341" w:rsidRPr="00BF62A1" w:rsidRDefault="000F0341" w:rsidP="00E40B0D">
            <w:pPr>
              <w:spacing w:line="240" w:lineRule="auto"/>
              <w:jc w:val="left"/>
              <w:rPr>
                <w:color w:val="000000"/>
                <w:sz w:val="14"/>
                <w:szCs w:val="14"/>
              </w:rPr>
            </w:pPr>
            <w:r>
              <w:rPr>
                <w:color w:val="000000"/>
                <w:sz w:val="14"/>
                <w:szCs w:val="14"/>
              </w:rPr>
              <w:t>A</w:t>
            </w:r>
            <w:r w:rsidRPr="00BF62A1">
              <w:rPr>
                <w:color w:val="000000"/>
                <w:sz w:val="14"/>
                <w:szCs w:val="14"/>
              </w:rPr>
              <w:t>ge, CCI, income, indication, insurance, gender, surgery type, use of mis</w:t>
            </w:r>
          </w:p>
        </w:tc>
      </w:tr>
      <w:tr w:rsidR="000F0341" w:rsidRPr="00BF62A1" w14:paraId="7E394E89" w14:textId="77777777" w:rsidTr="00E40B0D">
        <w:trPr>
          <w:trHeight w:val="92"/>
        </w:trPr>
        <w:tc>
          <w:tcPr>
            <w:tcW w:w="1422" w:type="dxa"/>
            <w:vMerge/>
            <w:tcBorders>
              <w:bottom w:val="single" w:sz="8" w:space="0" w:color="auto"/>
            </w:tcBorders>
          </w:tcPr>
          <w:p w14:paraId="5588B0BC"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77F0FBD4" w14:textId="77777777" w:rsidR="000F0341" w:rsidRPr="00BF62A1" w:rsidRDefault="000F0341" w:rsidP="00E40B0D">
            <w:pPr>
              <w:spacing w:line="240" w:lineRule="auto"/>
              <w:jc w:val="left"/>
              <w:rPr>
                <w:color w:val="000000"/>
                <w:sz w:val="14"/>
                <w:szCs w:val="14"/>
              </w:rPr>
            </w:pPr>
            <w:r>
              <w:rPr>
                <w:color w:val="000000"/>
                <w:sz w:val="14"/>
                <w:szCs w:val="14"/>
              </w:rPr>
              <w:t>P</w:t>
            </w:r>
            <w:r w:rsidRPr="00BF62A1">
              <w:rPr>
                <w:color w:val="000000"/>
                <w:sz w:val="14"/>
                <w:szCs w:val="14"/>
              </w:rPr>
              <w:t>artial lobectomy 9507 (66.5)</w:t>
            </w:r>
          </w:p>
        </w:tc>
        <w:tc>
          <w:tcPr>
            <w:tcW w:w="1843" w:type="dxa"/>
            <w:tcBorders>
              <w:bottom w:val="single" w:sz="8" w:space="0" w:color="auto"/>
            </w:tcBorders>
          </w:tcPr>
          <w:p w14:paraId="72F9E48E" w14:textId="77777777" w:rsidR="000F0341" w:rsidRPr="00BF62A1" w:rsidRDefault="000F0341" w:rsidP="00E40B0D">
            <w:pPr>
              <w:spacing w:line="240" w:lineRule="auto"/>
              <w:jc w:val="left"/>
              <w:rPr>
                <w:color w:val="000000"/>
                <w:sz w:val="14"/>
                <w:szCs w:val="14"/>
              </w:rPr>
            </w:pPr>
            <w:r w:rsidRPr="00BF62A1">
              <w:rPr>
                <w:color w:val="000000"/>
                <w:sz w:val="14"/>
                <w:szCs w:val="14"/>
              </w:rPr>
              <w:t>9507 (66.5)</w:t>
            </w:r>
          </w:p>
        </w:tc>
        <w:tc>
          <w:tcPr>
            <w:tcW w:w="1984" w:type="dxa"/>
            <w:vMerge/>
            <w:tcBorders>
              <w:bottom w:val="single" w:sz="8" w:space="0" w:color="auto"/>
            </w:tcBorders>
          </w:tcPr>
          <w:p w14:paraId="77C21531"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6BB3F182"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7144FA0A" w14:textId="77777777" w:rsidR="000F0341" w:rsidRPr="00BF62A1" w:rsidRDefault="000F0341" w:rsidP="00E40B0D">
            <w:pPr>
              <w:spacing w:line="240" w:lineRule="auto"/>
              <w:jc w:val="left"/>
              <w:rPr>
                <w:color w:val="000000"/>
                <w:sz w:val="14"/>
                <w:szCs w:val="14"/>
              </w:rPr>
            </w:pPr>
          </w:p>
        </w:tc>
      </w:tr>
      <w:tr w:rsidR="000F0341" w:rsidRPr="00BF62A1" w14:paraId="55DBE38E" w14:textId="77777777" w:rsidTr="00E40B0D">
        <w:trPr>
          <w:trHeight w:val="143"/>
        </w:trPr>
        <w:tc>
          <w:tcPr>
            <w:tcW w:w="1422" w:type="dxa"/>
            <w:vMerge w:val="restart"/>
            <w:tcBorders>
              <w:top w:val="single" w:sz="8" w:space="0" w:color="auto"/>
            </w:tcBorders>
            <w:hideMark/>
          </w:tcPr>
          <w:p w14:paraId="7786D62D"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Görgec 2021 </w:t>
            </w:r>
            <w:r w:rsidRPr="00BF62A1">
              <w:rPr>
                <w:color w:val="000000"/>
                <w:sz w:val="14"/>
                <w:szCs w:val="14"/>
              </w:rPr>
              <w:fldChar w:fldCharType="begin"/>
            </w:r>
            <w:r>
              <w:rPr>
                <w:color w:val="000000"/>
                <w:sz w:val="14"/>
                <w:szCs w:val="14"/>
              </w:rPr>
              <w:instrText xml:space="preserve"> ADDIN ZOTERO_ITEM CSL_CITATION {"citationID":"y5YnZUHR","properties":{"formattedCitation":"[59]","plainCitation":"[59]","noteIndex":0},"citationItems":[{"id":14187,"uris":["http://zotero.org/groups/4983919/items/IP6LJJ3A"],"itemData":{"id":14187,"type":"article-journal","abstract":"BACKGROUND: Based on excellent outcomes from high-volume centres, laparoscopic liver resection is increasingly being adopted into nationwide practice which typically includes low-medium volume centres. It is unknown how the use and outcome of laparoscopic liver resection compare between high-volume centres and low-medium volume centres. This study aimed to compare use and outcome of laparoscopic liver resection in three leading European high-volume centres and nationwide practice in the Netherlands. METHOD: An international, retrospective multicentre cohort study including data from three European high-volume centres (Oslo, Southampton and Milan) and all 20 centres in the Netherlands performing laparoscopic liver resection (low-medium volume practice) from January 2011 to December 2016. A high-volume centre is defined as a centre performing &gt;50 laparoscopic liver resections per year. Patients were retrospectively stratified into low, moderate- and high-risk Southampton difficulty score groups. RESULTS: A total of 2425 patients were included (1540 high-volume; 885 low-medium volume). The median annual proportion of laparoscopic liver resection was 42.9 per cent in high-volume centres and 7.2 per cent in low-medium volume centres. Patients in the high-volume centres had a lower conversion rate (7.4 versus 13.1 per cent; P &lt; 0.001) with less intraoperative incidents (9.3 versus 14.6 per cent; P = 0.002) as compared to low-medium volume centres. Whereas postoperative morbidity and mortality rates were similar in the two groups, a lower reintervention rate (5.1 versus 7.2 per cent; P = 0.034) and a shorter postoperative hospital stay (3 versus 5 days; P &lt; 0.001) were observed in the high-volume centres as compared to the low-medium volume centres. In each Southampton difficulty score group, the conversion rate was lower and hospital stay shorter in high-volume centres. The rate of intraoperative incidents did not differ in the low-risk group, whilst in the moderate-risk and high-risk groups this rate was lower in high-volume centres (absolute difference 6.7 and 14.2 per cent; all P &lt; 0.004). CONCLUSION: High-volume expert centres had a sixfold higher use of laparoscopic liver resection, less conversions, and shorter hospital stay, as compared to a nationwide low-medium volume practice. Stratification into Southampton difficulty score risk groups identified some differences but largely outcomes appeared better for high-volume centres in each risk group.","container-title":"Br J Surg","DOI":"10.1093/bjs/znab096","ISSN":"0007-1323","issue":"8","language":"eng","note":"publisher-place: Department of Surgery, Cancer Centre Amsterdam, Amsterdam UMC, University of Amsterdam, the Netherlands. Department of Surgery, University Hospital Southampton NHS Foundation Trust, Southampton, UK. Department of Surgery, Fondazione Poliambulanza - Istituto Ospedaliero, Brescia, Italy. Department of Surgery, Maastricht University Medical Centre+, Maastricht, the Netherlands and RWTH Aachen, Germany. Hepatobiliary Surgery Division, IRCCS San Raffaele Hospital, Milan, Italy. Department of Hepato-Pancreato-Biliary Surgery, Oslo University Hospital, Oslo, Norway. The Intervention Centre, Oslo University Hospital - Rikshospitalet, Oslo, Norway. Institute of Clinical Medicine, Medical Faculty, University of Oslo, Norway. Department of Surgery, Jeroen Bosch Hospital, 's-Hertogenbosch, the Netherlands. Department of Surgery, Leiden University Medical Centre, Leiden, the Netherlands. Department of Surgery, University Medical Centre Groningen, Groningen, the Netherlands. Department of Surgery, IJsselland Hospital, Capelle aan den IJssel, the Netherlands. Department of Surgery, Meander Medical Centre, Amersfoort, the Netherlands. Department of Surgery, OLVG, Amsterdam, the Netherlands. Department of Surgery, Amphia Hospital, Breda, the Netherlands. Department of Surgery, University Medical Centre Utrecht, Utrecht, the Netherlands. Department of Surgery, Cancer Centre Amsterdam, Amsterdam UMC, Vrije Universiteit Amsterdam, the Netherlands. Department of Surgery, Medical Spectrum Twente, Enschede, the Netherlands. Department of Surgery, Máxima Medical Centre, Veldhoven, the Netherlands. Department of Surgery, Isala, Zwolle, the Netherlands. Department of Surgery, Radboud University Medical Centre, Nijmegen, the Netherlands. Department of Surgery, St. Antonius Hospital, Nieuwegein, the Netherlands. Department of Surgery, Erasmus Medical Centre, Rotterdam, the Netherlands. Department of Surgery, Albert Schweitzer Hospital, Dordrecht, the Netherlands. GROW - School for Oncology &amp; Developmental Biology, Maastricht University, Maastricht, The Netherlands. Department of General and Visceral Surgery, University Hospital Aachen, Aachen, Germany.","page":"983-990","title":"Comparing practice and outcome of laparoscopic liver resection between high-volume expert centres and nationwide low-to-medium volume centres","volume":"108","author":[{"family":"Görgec","given":"B."},{"family":"Fichtinger","given":"R. S."},{"family":"Ratti","given":"F."},{"family":"Aghayan","given":"D."},{"family":"Van der Poel","given":"M. J."},{"family":"Al-Jarrah","given":"R."},{"family":"Armstrong","given":"T."},{"family":"Cipriani","given":"F."},{"family":"Fretland Å","given":"A."},{"family":"Suhool","given":"A."},{"family":"Bemelmans","given":"M."},{"family":"Bosscha","given":"K."},{"family":"Braat","given":"A. E."},{"family":"De Boer","given":"M. T."},{"family":"Dejong","given":"C. H. C."},{"family":"Doornebosch","given":"P. G."},{"family":"Draaisma","given":"W. A."},{"family":"Gerhards","given":"M. F."},{"family":"Gobardhan","given":"P. D."},{"family":"Hagendoorn","given":"J."},{"family":"Kazemier","given":"G."},{"family":"Klaase","given":"J."},{"family":"Leclercq","given":"W. K. G."},{"family":"Liem","given":"M. S."},{"family":"Lips","given":"D. J."},{"family":"Marsman","given":"H. A."},{"family":"Mieog","given":"J. S. D."},{"family":"Molenaar","given":"Q. I."},{"family":"Nieuwenhuijs","given":"V. B."},{"family":"Nota","given":"C. L."},{"family":"Patijn","given":"G. A."},{"family":"Rijken","given":"A. M."},{"family":"Slooter","given":"G. D."},{"family":"Stommel","given":"M. W. J."},{"family":"Swijnenburg","given":"R. J."},{"family":"Tanis","given":"P. J."},{"family":"Te Riele","given":"W. W."},{"family":"Terkivatan","given":"T."},{"family":"Van den Tol","given":"P. M. P."},{"family":"Van den Boezem","given":"P. B."},{"family":"Van der Hoeven","given":"J. A."},{"family":"Vermaas","given":"M."},{"family":"Edwin","given":"B."},{"family":"Aldrighetti","given":"L. A."},{"family":"Van Dam","given":"R. M."},{"family":"Abu Hilal","given":"M."},{"family":"Besselink","given":"M. G."}],"issued":{"date-parts":[["2021",8]]}}}],"schema":"https://github.com/citation-style-language/schema/raw/master/csl-citation.json"} </w:instrText>
            </w:r>
            <w:r w:rsidRPr="00BF62A1">
              <w:rPr>
                <w:color w:val="000000"/>
                <w:sz w:val="14"/>
                <w:szCs w:val="14"/>
              </w:rPr>
              <w:fldChar w:fldCharType="separate"/>
            </w:r>
            <w:r w:rsidRPr="004125CE">
              <w:rPr>
                <w:sz w:val="14"/>
              </w:rPr>
              <w:t>[59]</w:t>
            </w:r>
            <w:r w:rsidRPr="00BF62A1">
              <w:rPr>
                <w:color w:val="000000"/>
                <w:sz w:val="14"/>
                <w:szCs w:val="14"/>
              </w:rPr>
              <w:fldChar w:fldCharType="end"/>
            </w:r>
          </w:p>
        </w:tc>
        <w:tc>
          <w:tcPr>
            <w:tcW w:w="2973" w:type="dxa"/>
            <w:tcBorders>
              <w:top w:val="single" w:sz="8" w:space="0" w:color="auto"/>
            </w:tcBorders>
            <w:hideMark/>
          </w:tcPr>
          <w:p w14:paraId="0AD378A8" w14:textId="77777777" w:rsidR="000F0341" w:rsidRPr="00493118" w:rsidRDefault="000F0341" w:rsidP="00E40B0D">
            <w:pPr>
              <w:spacing w:line="240" w:lineRule="auto"/>
              <w:jc w:val="left"/>
              <w:rPr>
                <w:b/>
                <w:bCs/>
                <w:color w:val="000000"/>
                <w:sz w:val="14"/>
                <w:szCs w:val="14"/>
              </w:rPr>
            </w:pPr>
            <w:r w:rsidRPr="00493118">
              <w:rPr>
                <w:b/>
                <w:bCs/>
                <w:color w:val="000000"/>
                <w:sz w:val="14"/>
                <w:szCs w:val="14"/>
              </w:rPr>
              <w:t>Minor:</w:t>
            </w:r>
          </w:p>
        </w:tc>
        <w:tc>
          <w:tcPr>
            <w:tcW w:w="1843" w:type="dxa"/>
            <w:tcBorders>
              <w:top w:val="single" w:sz="8" w:space="0" w:color="auto"/>
            </w:tcBorders>
            <w:hideMark/>
          </w:tcPr>
          <w:p w14:paraId="6DC885B1" w14:textId="77777777" w:rsidR="000F0341" w:rsidRPr="00BF62A1" w:rsidRDefault="000F0341" w:rsidP="00E40B0D">
            <w:pPr>
              <w:spacing w:line="240" w:lineRule="auto"/>
              <w:jc w:val="left"/>
              <w:rPr>
                <w:color w:val="000000"/>
                <w:sz w:val="14"/>
                <w:szCs w:val="14"/>
              </w:rPr>
            </w:pPr>
            <w:r w:rsidRPr="00BF62A1">
              <w:rPr>
                <w:color w:val="000000"/>
                <w:sz w:val="14"/>
                <w:szCs w:val="14"/>
              </w:rPr>
              <w:t>Minor</w:t>
            </w:r>
            <w:r w:rsidRPr="00BF62A1">
              <w:rPr>
                <w:color w:val="000000"/>
                <w:sz w:val="14"/>
                <w:szCs w:val="14"/>
                <w:vertAlign w:val="superscript"/>
              </w:rPr>
              <w:t xml:space="preserve"> a</w:t>
            </w:r>
            <w:r w:rsidRPr="00BF62A1">
              <w:rPr>
                <w:color w:val="000000"/>
                <w:sz w:val="14"/>
                <w:szCs w:val="14"/>
              </w:rPr>
              <w:t>:</w:t>
            </w:r>
          </w:p>
        </w:tc>
        <w:tc>
          <w:tcPr>
            <w:tcW w:w="1984" w:type="dxa"/>
            <w:vMerge w:val="restart"/>
            <w:tcBorders>
              <w:top w:val="single" w:sz="8" w:space="0" w:color="auto"/>
            </w:tcBorders>
            <w:hideMark/>
          </w:tcPr>
          <w:p w14:paraId="40BDCE23" w14:textId="77777777" w:rsidR="000F0341" w:rsidRPr="00BF62A1" w:rsidRDefault="000F0341" w:rsidP="00E40B0D">
            <w:pPr>
              <w:spacing w:line="240" w:lineRule="auto"/>
              <w:jc w:val="left"/>
              <w:rPr>
                <w:color w:val="000000"/>
                <w:sz w:val="14"/>
                <w:szCs w:val="14"/>
              </w:rPr>
            </w:pPr>
            <w:r w:rsidRPr="00BF62A1">
              <w:rPr>
                <w:color w:val="000000"/>
                <w:sz w:val="14"/>
                <w:szCs w:val="14"/>
              </w:rPr>
              <w:t>-</w:t>
            </w:r>
          </w:p>
        </w:tc>
        <w:tc>
          <w:tcPr>
            <w:tcW w:w="3119" w:type="dxa"/>
            <w:vMerge w:val="restart"/>
            <w:tcBorders>
              <w:top w:val="single" w:sz="8" w:space="0" w:color="auto"/>
            </w:tcBorders>
            <w:hideMark/>
          </w:tcPr>
          <w:p w14:paraId="4C99F1DA" w14:textId="77777777" w:rsidR="000F0341" w:rsidRPr="00BF62A1" w:rsidRDefault="000F0341" w:rsidP="00E40B0D">
            <w:pPr>
              <w:spacing w:line="240" w:lineRule="auto"/>
              <w:jc w:val="left"/>
              <w:rPr>
                <w:color w:val="000000"/>
                <w:sz w:val="14"/>
                <w:szCs w:val="14"/>
              </w:rPr>
            </w:pPr>
            <w:r>
              <w:rPr>
                <w:color w:val="000000"/>
                <w:sz w:val="14"/>
                <w:szCs w:val="14"/>
              </w:rPr>
              <w:t>P</w:t>
            </w:r>
            <w:r w:rsidRPr="00BF62A1">
              <w:rPr>
                <w:color w:val="000000"/>
                <w:sz w:val="14"/>
                <w:szCs w:val="14"/>
              </w:rPr>
              <w:t>reoperatively planned hand-assisted laparoscopy; non-formal resections (i.e. in the case of cyst fenestration/deroofing, biopsies, diagnostic laparoscopy); living donor liver resection was indicated; emergency surgery</w:t>
            </w:r>
          </w:p>
        </w:tc>
        <w:tc>
          <w:tcPr>
            <w:tcW w:w="3234" w:type="dxa"/>
            <w:vMerge w:val="restart"/>
            <w:tcBorders>
              <w:top w:val="single" w:sz="8" w:space="0" w:color="auto"/>
            </w:tcBorders>
            <w:hideMark/>
          </w:tcPr>
          <w:p w14:paraId="48E00991" w14:textId="77777777" w:rsidR="000F0341" w:rsidRPr="00BF62A1" w:rsidRDefault="000F0341" w:rsidP="00E40B0D">
            <w:pPr>
              <w:spacing w:line="240" w:lineRule="auto"/>
              <w:jc w:val="left"/>
              <w:rPr>
                <w:color w:val="000000"/>
                <w:sz w:val="14"/>
                <w:szCs w:val="14"/>
              </w:rPr>
            </w:pPr>
            <w:r>
              <w:rPr>
                <w:color w:val="000000"/>
                <w:sz w:val="14"/>
                <w:szCs w:val="14"/>
              </w:rPr>
              <w:t>N</w:t>
            </w:r>
            <w:r w:rsidRPr="00BF62A1">
              <w:rPr>
                <w:color w:val="000000"/>
                <w:sz w:val="14"/>
                <w:szCs w:val="14"/>
              </w:rPr>
              <w:t>ot adjusted</w:t>
            </w:r>
          </w:p>
        </w:tc>
      </w:tr>
      <w:tr w:rsidR="000F0341" w:rsidRPr="00BF62A1" w14:paraId="507DD006" w14:textId="77777777" w:rsidTr="00E40B0D">
        <w:trPr>
          <w:trHeight w:val="133"/>
        </w:trPr>
        <w:tc>
          <w:tcPr>
            <w:tcW w:w="1422" w:type="dxa"/>
            <w:vMerge/>
          </w:tcPr>
          <w:p w14:paraId="6FB59D4B" w14:textId="77777777" w:rsidR="000F0341" w:rsidRPr="00BF62A1" w:rsidRDefault="000F0341" w:rsidP="00E40B0D">
            <w:pPr>
              <w:spacing w:line="240" w:lineRule="auto"/>
              <w:jc w:val="left"/>
              <w:rPr>
                <w:color w:val="000000"/>
                <w:sz w:val="14"/>
                <w:szCs w:val="14"/>
              </w:rPr>
            </w:pPr>
          </w:p>
        </w:tc>
        <w:tc>
          <w:tcPr>
            <w:tcW w:w="2973" w:type="dxa"/>
          </w:tcPr>
          <w:p w14:paraId="256036DE" w14:textId="77777777" w:rsidR="000F0341" w:rsidRPr="00BF62A1" w:rsidRDefault="000F0341" w:rsidP="00E40B0D">
            <w:pPr>
              <w:spacing w:line="240" w:lineRule="auto"/>
              <w:jc w:val="left"/>
              <w:rPr>
                <w:color w:val="000000"/>
                <w:sz w:val="14"/>
                <w:szCs w:val="14"/>
              </w:rPr>
            </w:pPr>
            <w:r w:rsidRPr="00BF62A1">
              <w:rPr>
                <w:color w:val="000000"/>
                <w:sz w:val="14"/>
                <w:szCs w:val="14"/>
              </w:rPr>
              <w:t>Wedge/non-anatomical</w:t>
            </w:r>
          </w:p>
        </w:tc>
        <w:tc>
          <w:tcPr>
            <w:tcW w:w="1843" w:type="dxa"/>
          </w:tcPr>
          <w:p w14:paraId="7725966C" w14:textId="77777777" w:rsidR="000F0341" w:rsidRPr="00BF62A1" w:rsidRDefault="000F0341" w:rsidP="00E40B0D">
            <w:pPr>
              <w:spacing w:line="240" w:lineRule="auto"/>
              <w:jc w:val="left"/>
              <w:rPr>
                <w:color w:val="000000"/>
                <w:sz w:val="14"/>
                <w:szCs w:val="14"/>
              </w:rPr>
            </w:pPr>
            <w:r w:rsidRPr="00BF62A1">
              <w:rPr>
                <w:color w:val="000000"/>
                <w:sz w:val="14"/>
                <w:szCs w:val="14"/>
              </w:rPr>
              <w:t>735 (30.3)</w:t>
            </w:r>
          </w:p>
        </w:tc>
        <w:tc>
          <w:tcPr>
            <w:tcW w:w="1984" w:type="dxa"/>
            <w:vMerge/>
          </w:tcPr>
          <w:p w14:paraId="78089AC7" w14:textId="77777777" w:rsidR="000F0341" w:rsidRPr="00BF62A1" w:rsidRDefault="000F0341" w:rsidP="00E40B0D">
            <w:pPr>
              <w:spacing w:line="240" w:lineRule="auto"/>
              <w:jc w:val="left"/>
              <w:rPr>
                <w:color w:val="000000"/>
                <w:sz w:val="14"/>
                <w:szCs w:val="14"/>
              </w:rPr>
            </w:pPr>
          </w:p>
        </w:tc>
        <w:tc>
          <w:tcPr>
            <w:tcW w:w="3119" w:type="dxa"/>
            <w:vMerge/>
          </w:tcPr>
          <w:p w14:paraId="7D26B3B5" w14:textId="77777777" w:rsidR="000F0341" w:rsidRPr="00BF62A1" w:rsidRDefault="000F0341" w:rsidP="00E40B0D">
            <w:pPr>
              <w:spacing w:line="240" w:lineRule="auto"/>
              <w:jc w:val="left"/>
              <w:rPr>
                <w:color w:val="000000"/>
                <w:sz w:val="14"/>
                <w:szCs w:val="14"/>
              </w:rPr>
            </w:pPr>
          </w:p>
        </w:tc>
        <w:tc>
          <w:tcPr>
            <w:tcW w:w="3234" w:type="dxa"/>
            <w:vMerge/>
          </w:tcPr>
          <w:p w14:paraId="50C92ADA" w14:textId="77777777" w:rsidR="000F0341" w:rsidRPr="00BF62A1" w:rsidRDefault="000F0341" w:rsidP="00E40B0D">
            <w:pPr>
              <w:spacing w:line="240" w:lineRule="auto"/>
              <w:jc w:val="left"/>
              <w:rPr>
                <w:color w:val="000000"/>
                <w:sz w:val="14"/>
                <w:szCs w:val="14"/>
              </w:rPr>
            </w:pPr>
          </w:p>
        </w:tc>
      </w:tr>
      <w:tr w:rsidR="000F0341" w:rsidRPr="00BF62A1" w14:paraId="698656EA" w14:textId="77777777" w:rsidTr="00E40B0D">
        <w:trPr>
          <w:trHeight w:val="133"/>
        </w:trPr>
        <w:tc>
          <w:tcPr>
            <w:tcW w:w="1422" w:type="dxa"/>
            <w:vMerge/>
          </w:tcPr>
          <w:p w14:paraId="05A2666D" w14:textId="77777777" w:rsidR="000F0341" w:rsidRPr="00BF62A1" w:rsidRDefault="000F0341" w:rsidP="00E40B0D">
            <w:pPr>
              <w:spacing w:line="240" w:lineRule="auto"/>
              <w:jc w:val="left"/>
              <w:rPr>
                <w:color w:val="000000"/>
                <w:sz w:val="14"/>
                <w:szCs w:val="14"/>
              </w:rPr>
            </w:pPr>
          </w:p>
        </w:tc>
        <w:tc>
          <w:tcPr>
            <w:tcW w:w="2973" w:type="dxa"/>
          </w:tcPr>
          <w:p w14:paraId="42401AD2" w14:textId="77777777" w:rsidR="000F0341" w:rsidRPr="00BF62A1" w:rsidRDefault="000F0341" w:rsidP="00E40B0D">
            <w:pPr>
              <w:spacing w:line="240" w:lineRule="auto"/>
              <w:jc w:val="left"/>
              <w:rPr>
                <w:color w:val="000000"/>
                <w:sz w:val="14"/>
                <w:szCs w:val="14"/>
              </w:rPr>
            </w:pPr>
            <w:r w:rsidRPr="00BF62A1">
              <w:rPr>
                <w:color w:val="000000"/>
                <w:sz w:val="14"/>
                <w:szCs w:val="14"/>
              </w:rPr>
              <w:t>Segmentectomy</w:t>
            </w:r>
          </w:p>
        </w:tc>
        <w:tc>
          <w:tcPr>
            <w:tcW w:w="1843" w:type="dxa"/>
          </w:tcPr>
          <w:p w14:paraId="3051BF1C" w14:textId="77777777" w:rsidR="000F0341" w:rsidRPr="00BF62A1" w:rsidRDefault="000F0341" w:rsidP="00E40B0D">
            <w:pPr>
              <w:spacing w:line="240" w:lineRule="auto"/>
              <w:jc w:val="left"/>
              <w:rPr>
                <w:color w:val="000000"/>
                <w:sz w:val="14"/>
                <w:szCs w:val="14"/>
              </w:rPr>
            </w:pPr>
            <w:r w:rsidRPr="00BF62A1">
              <w:rPr>
                <w:color w:val="000000"/>
                <w:sz w:val="14"/>
                <w:szCs w:val="14"/>
              </w:rPr>
              <w:t>195 (8.0)</w:t>
            </w:r>
          </w:p>
        </w:tc>
        <w:tc>
          <w:tcPr>
            <w:tcW w:w="1984" w:type="dxa"/>
            <w:vMerge/>
          </w:tcPr>
          <w:p w14:paraId="4B1D6053" w14:textId="77777777" w:rsidR="000F0341" w:rsidRPr="00BF62A1" w:rsidRDefault="000F0341" w:rsidP="00E40B0D">
            <w:pPr>
              <w:spacing w:line="240" w:lineRule="auto"/>
              <w:jc w:val="left"/>
              <w:rPr>
                <w:color w:val="000000"/>
                <w:sz w:val="14"/>
                <w:szCs w:val="14"/>
              </w:rPr>
            </w:pPr>
          </w:p>
        </w:tc>
        <w:tc>
          <w:tcPr>
            <w:tcW w:w="3119" w:type="dxa"/>
            <w:vMerge/>
          </w:tcPr>
          <w:p w14:paraId="4105311C" w14:textId="77777777" w:rsidR="000F0341" w:rsidRPr="00BF62A1" w:rsidRDefault="000F0341" w:rsidP="00E40B0D">
            <w:pPr>
              <w:spacing w:line="240" w:lineRule="auto"/>
              <w:jc w:val="left"/>
              <w:rPr>
                <w:color w:val="000000"/>
                <w:sz w:val="14"/>
                <w:szCs w:val="14"/>
              </w:rPr>
            </w:pPr>
          </w:p>
        </w:tc>
        <w:tc>
          <w:tcPr>
            <w:tcW w:w="3234" w:type="dxa"/>
            <w:vMerge/>
          </w:tcPr>
          <w:p w14:paraId="7F39DAA8" w14:textId="77777777" w:rsidR="000F0341" w:rsidRPr="00BF62A1" w:rsidRDefault="000F0341" w:rsidP="00E40B0D">
            <w:pPr>
              <w:spacing w:line="240" w:lineRule="auto"/>
              <w:jc w:val="left"/>
              <w:rPr>
                <w:color w:val="000000"/>
                <w:sz w:val="14"/>
                <w:szCs w:val="14"/>
              </w:rPr>
            </w:pPr>
          </w:p>
        </w:tc>
      </w:tr>
      <w:tr w:rsidR="000F0341" w:rsidRPr="00BF62A1" w14:paraId="278D86DD" w14:textId="77777777" w:rsidTr="00E40B0D">
        <w:trPr>
          <w:trHeight w:val="133"/>
        </w:trPr>
        <w:tc>
          <w:tcPr>
            <w:tcW w:w="1422" w:type="dxa"/>
            <w:vMerge/>
          </w:tcPr>
          <w:p w14:paraId="61C140D2" w14:textId="77777777" w:rsidR="000F0341" w:rsidRPr="00BF62A1" w:rsidRDefault="000F0341" w:rsidP="00E40B0D">
            <w:pPr>
              <w:spacing w:line="240" w:lineRule="auto"/>
              <w:jc w:val="left"/>
              <w:rPr>
                <w:color w:val="000000"/>
                <w:sz w:val="14"/>
                <w:szCs w:val="14"/>
              </w:rPr>
            </w:pPr>
          </w:p>
        </w:tc>
        <w:tc>
          <w:tcPr>
            <w:tcW w:w="2973" w:type="dxa"/>
          </w:tcPr>
          <w:p w14:paraId="4DE0B51E" w14:textId="77777777" w:rsidR="000F0341" w:rsidRPr="00BF62A1" w:rsidRDefault="000F0341" w:rsidP="00E40B0D">
            <w:pPr>
              <w:spacing w:line="240" w:lineRule="auto"/>
              <w:jc w:val="left"/>
              <w:rPr>
                <w:color w:val="000000"/>
                <w:sz w:val="14"/>
                <w:szCs w:val="14"/>
              </w:rPr>
            </w:pPr>
            <w:r w:rsidRPr="00BF62A1">
              <w:rPr>
                <w:color w:val="000000"/>
                <w:sz w:val="14"/>
                <w:szCs w:val="14"/>
              </w:rPr>
              <w:t>Bisgementectomy</w:t>
            </w:r>
          </w:p>
        </w:tc>
        <w:tc>
          <w:tcPr>
            <w:tcW w:w="1843" w:type="dxa"/>
          </w:tcPr>
          <w:p w14:paraId="40913144" w14:textId="77777777" w:rsidR="000F0341" w:rsidRPr="00BF62A1" w:rsidRDefault="000F0341" w:rsidP="00E40B0D">
            <w:pPr>
              <w:spacing w:line="240" w:lineRule="auto"/>
              <w:jc w:val="left"/>
              <w:rPr>
                <w:color w:val="000000"/>
                <w:sz w:val="14"/>
                <w:szCs w:val="14"/>
              </w:rPr>
            </w:pPr>
            <w:r w:rsidRPr="00BF62A1">
              <w:rPr>
                <w:color w:val="000000"/>
                <w:sz w:val="14"/>
                <w:szCs w:val="14"/>
              </w:rPr>
              <w:t>445 (18.4)</w:t>
            </w:r>
          </w:p>
        </w:tc>
        <w:tc>
          <w:tcPr>
            <w:tcW w:w="1984" w:type="dxa"/>
            <w:vMerge/>
          </w:tcPr>
          <w:p w14:paraId="1D1BD0BA" w14:textId="77777777" w:rsidR="000F0341" w:rsidRPr="00BF62A1" w:rsidRDefault="000F0341" w:rsidP="00E40B0D">
            <w:pPr>
              <w:spacing w:line="240" w:lineRule="auto"/>
              <w:jc w:val="left"/>
              <w:rPr>
                <w:color w:val="000000"/>
                <w:sz w:val="14"/>
                <w:szCs w:val="14"/>
              </w:rPr>
            </w:pPr>
          </w:p>
        </w:tc>
        <w:tc>
          <w:tcPr>
            <w:tcW w:w="3119" w:type="dxa"/>
            <w:vMerge/>
          </w:tcPr>
          <w:p w14:paraId="4F232CF0" w14:textId="77777777" w:rsidR="000F0341" w:rsidRPr="00BF62A1" w:rsidRDefault="000F0341" w:rsidP="00E40B0D">
            <w:pPr>
              <w:spacing w:line="240" w:lineRule="auto"/>
              <w:jc w:val="left"/>
              <w:rPr>
                <w:color w:val="000000"/>
                <w:sz w:val="14"/>
                <w:szCs w:val="14"/>
              </w:rPr>
            </w:pPr>
          </w:p>
        </w:tc>
        <w:tc>
          <w:tcPr>
            <w:tcW w:w="3234" w:type="dxa"/>
            <w:vMerge/>
          </w:tcPr>
          <w:p w14:paraId="137FC3F7" w14:textId="77777777" w:rsidR="000F0341" w:rsidRPr="00BF62A1" w:rsidRDefault="000F0341" w:rsidP="00E40B0D">
            <w:pPr>
              <w:spacing w:line="240" w:lineRule="auto"/>
              <w:jc w:val="left"/>
              <w:rPr>
                <w:color w:val="000000"/>
                <w:sz w:val="14"/>
                <w:szCs w:val="14"/>
              </w:rPr>
            </w:pPr>
          </w:p>
        </w:tc>
      </w:tr>
      <w:tr w:rsidR="000F0341" w:rsidRPr="00BF62A1" w14:paraId="298FD7A9" w14:textId="77777777" w:rsidTr="00E40B0D">
        <w:trPr>
          <w:trHeight w:val="133"/>
        </w:trPr>
        <w:tc>
          <w:tcPr>
            <w:tcW w:w="1422" w:type="dxa"/>
            <w:vMerge/>
          </w:tcPr>
          <w:p w14:paraId="7B7BA599" w14:textId="77777777" w:rsidR="000F0341" w:rsidRPr="00BF62A1" w:rsidRDefault="000F0341" w:rsidP="00E40B0D">
            <w:pPr>
              <w:spacing w:line="240" w:lineRule="auto"/>
              <w:jc w:val="left"/>
              <w:rPr>
                <w:color w:val="000000"/>
                <w:sz w:val="14"/>
                <w:szCs w:val="14"/>
              </w:rPr>
            </w:pPr>
          </w:p>
        </w:tc>
        <w:tc>
          <w:tcPr>
            <w:tcW w:w="2973" w:type="dxa"/>
          </w:tcPr>
          <w:p w14:paraId="518CCC34" w14:textId="77777777" w:rsidR="000F0341" w:rsidRPr="00493118" w:rsidRDefault="000F0341" w:rsidP="00E40B0D">
            <w:pPr>
              <w:spacing w:line="240" w:lineRule="auto"/>
              <w:jc w:val="left"/>
              <w:rPr>
                <w:b/>
                <w:bCs/>
                <w:color w:val="000000"/>
                <w:sz w:val="14"/>
                <w:szCs w:val="14"/>
              </w:rPr>
            </w:pPr>
            <w:r w:rsidRPr="00493118">
              <w:rPr>
                <w:b/>
                <w:bCs/>
                <w:color w:val="000000"/>
                <w:sz w:val="14"/>
                <w:szCs w:val="14"/>
              </w:rPr>
              <w:t>Technically major:</w:t>
            </w:r>
          </w:p>
        </w:tc>
        <w:tc>
          <w:tcPr>
            <w:tcW w:w="1843" w:type="dxa"/>
          </w:tcPr>
          <w:p w14:paraId="2182B6D7" w14:textId="77777777" w:rsidR="000F0341" w:rsidRPr="00BF62A1" w:rsidRDefault="000F0341" w:rsidP="00E40B0D">
            <w:pPr>
              <w:spacing w:line="240" w:lineRule="auto"/>
              <w:jc w:val="left"/>
              <w:rPr>
                <w:color w:val="000000"/>
                <w:sz w:val="14"/>
                <w:szCs w:val="14"/>
              </w:rPr>
            </w:pPr>
            <w:r w:rsidRPr="00BF62A1">
              <w:rPr>
                <w:color w:val="000000"/>
                <w:sz w:val="14"/>
                <w:szCs w:val="14"/>
              </w:rPr>
              <w:t>Technically major</w:t>
            </w:r>
            <w:r w:rsidRPr="00BF62A1">
              <w:rPr>
                <w:color w:val="000000"/>
                <w:sz w:val="14"/>
                <w:szCs w:val="14"/>
                <w:vertAlign w:val="superscript"/>
              </w:rPr>
              <w:t xml:space="preserve"> a</w:t>
            </w:r>
            <w:r w:rsidRPr="00BF62A1">
              <w:rPr>
                <w:color w:val="000000"/>
                <w:sz w:val="14"/>
                <w:szCs w:val="14"/>
              </w:rPr>
              <w:t>:</w:t>
            </w:r>
          </w:p>
        </w:tc>
        <w:tc>
          <w:tcPr>
            <w:tcW w:w="1984" w:type="dxa"/>
            <w:vMerge/>
          </w:tcPr>
          <w:p w14:paraId="2EAD28AE" w14:textId="77777777" w:rsidR="000F0341" w:rsidRPr="00BF62A1" w:rsidRDefault="000F0341" w:rsidP="00E40B0D">
            <w:pPr>
              <w:spacing w:line="240" w:lineRule="auto"/>
              <w:jc w:val="left"/>
              <w:rPr>
                <w:color w:val="000000"/>
                <w:sz w:val="14"/>
                <w:szCs w:val="14"/>
              </w:rPr>
            </w:pPr>
          </w:p>
        </w:tc>
        <w:tc>
          <w:tcPr>
            <w:tcW w:w="3119" w:type="dxa"/>
            <w:vMerge/>
          </w:tcPr>
          <w:p w14:paraId="43FE5521" w14:textId="77777777" w:rsidR="000F0341" w:rsidRPr="00BF62A1" w:rsidRDefault="000F0341" w:rsidP="00E40B0D">
            <w:pPr>
              <w:spacing w:line="240" w:lineRule="auto"/>
              <w:jc w:val="left"/>
              <w:rPr>
                <w:color w:val="000000"/>
                <w:sz w:val="14"/>
                <w:szCs w:val="14"/>
              </w:rPr>
            </w:pPr>
          </w:p>
        </w:tc>
        <w:tc>
          <w:tcPr>
            <w:tcW w:w="3234" w:type="dxa"/>
            <w:vMerge/>
          </w:tcPr>
          <w:p w14:paraId="0F14BC7E" w14:textId="77777777" w:rsidR="000F0341" w:rsidRPr="00BF62A1" w:rsidRDefault="000F0341" w:rsidP="00E40B0D">
            <w:pPr>
              <w:spacing w:line="240" w:lineRule="auto"/>
              <w:jc w:val="left"/>
              <w:rPr>
                <w:color w:val="000000"/>
                <w:sz w:val="14"/>
                <w:szCs w:val="14"/>
              </w:rPr>
            </w:pPr>
          </w:p>
        </w:tc>
      </w:tr>
      <w:tr w:rsidR="000F0341" w:rsidRPr="00BF62A1" w14:paraId="0169F181" w14:textId="77777777" w:rsidTr="00E40B0D">
        <w:trPr>
          <w:trHeight w:val="133"/>
        </w:trPr>
        <w:tc>
          <w:tcPr>
            <w:tcW w:w="1422" w:type="dxa"/>
            <w:vMerge/>
          </w:tcPr>
          <w:p w14:paraId="0E51367B" w14:textId="77777777" w:rsidR="000F0341" w:rsidRPr="00BF62A1" w:rsidRDefault="000F0341" w:rsidP="00E40B0D">
            <w:pPr>
              <w:spacing w:line="240" w:lineRule="auto"/>
              <w:jc w:val="left"/>
              <w:rPr>
                <w:color w:val="000000"/>
                <w:sz w:val="14"/>
                <w:szCs w:val="14"/>
              </w:rPr>
            </w:pPr>
          </w:p>
        </w:tc>
        <w:tc>
          <w:tcPr>
            <w:tcW w:w="2973" w:type="dxa"/>
          </w:tcPr>
          <w:p w14:paraId="5CA3B61E"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Wedge/non-anatomical </w:t>
            </w:r>
          </w:p>
        </w:tc>
        <w:tc>
          <w:tcPr>
            <w:tcW w:w="1843" w:type="dxa"/>
          </w:tcPr>
          <w:p w14:paraId="0F8E87E6" w14:textId="77777777" w:rsidR="000F0341" w:rsidRPr="00BF62A1" w:rsidRDefault="000F0341" w:rsidP="00E40B0D">
            <w:pPr>
              <w:spacing w:line="240" w:lineRule="auto"/>
              <w:jc w:val="left"/>
              <w:rPr>
                <w:color w:val="000000"/>
                <w:sz w:val="14"/>
                <w:szCs w:val="14"/>
              </w:rPr>
            </w:pPr>
            <w:r w:rsidRPr="00BF62A1">
              <w:rPr>
                <w:color w:val="000000"/>
                <w:sz w:val="14"/>
                <w:szCs w:val="14"/>
              </w:rPr>
              <w:t>439 (18.1)</w:t>
            </w:r>
          </w:p>
        </w:tc>
        <w:tc>
          <w:tcPr>
            <w:tcW w:w="1984" w:type="dxa"/>
            <w:vMerge/>
          </w:tcPr>
          <w:p w14:paraId="6A0044B7" w14:textId="77777777" w:rsidR="000F0341" w:rsidRPr="00BF62A1" w:rsidRDefault="000F0341" w:rsidP="00E40B0D">
            <w:pPr>
              <w:spacing w:line="240" w:lineRule="auto"/>
              <w:jc w:val="left"/>
              <w:rPr>
                <w:color w:val="000000"/>
                <w:sz w:val="14"/>
                <w:szCs w:val="14"/>
              </w:rPr>
            </w:pPr>
          </w:p>
        </w:tc>
        <w:tc>
          <w:tcPr>
            <w:tcW w:w="3119" w:type="dxa"/>
            <w:vMerge/>
          </w:tcPr>
          <w:p w14:paraId="2759093B" w14:textId="77777777" w:rsidR="000F0341" w:rsidRPr="00BF62A1" w:rsidRDefault="000F0341" w:rsidP="00E40B0D">
            <w:pPr>
              <w:spacing w:line="240" w:lineRule="auto"/>
              <w:jc w:val="left"/>
              <w:rPr>
                <w:color w:val="000000"/>
                <w:sz w:val="14"/>
                <w:szCs w:val="14"/>
              </w:rPr>
            </w:pPr>
          </w:p>
        </w:tc>
        <w:tc>
          <w:tcPr>
            <w:tcW w:w="3234" w:type="dxa"/>
            <w:vMerge/>
          </w:tcPr>
          <w:p w14:paraId="1DC3F3BA" w14:textId="77777777" w:rsidR="000F0341" w:rsidRPr="00BF62A1" w:rsidRDefault="000F0341" w:rsidP="00E40B0D">
            <w:pPr>
              <w:spacing w:line="240" w:lineRule="auto"/>
              <w:jc w:val="left"/>
              <w:rPr>
                <w:color w:val="000000"/>
                <w:sz w:val="14"/>
                <w:szCs w:val="14"/>
              </w:rPr>
            </w:pPr>
          </w:p>
        </w:tc>
      </w:tr>
      <w:tr w:rsidR="000F0341" w:rsidRPr="00BF62A1" w14:paraId="5033E8C7" w14:textId="77777777" w:rsidTr="00E40B0D">
        <w:trPr>
          <w:trHeight w:val="133"/>
        </w:trPr>
        <w:tc>
          <w:tcPr>
            <w:tcW w:w="1422" w:type="dxa"/>
            <w:vMerge/>
          </w:tcPr>
          <w:p w14:paraId="5862878D" w14:textId="77777777" w:rsidR="000F0341" w:rsidRPr="00BF62A1" w:rsidRDefault="000F0341" w:rsidP="00E40B0D">
            <w:pPr>
              <w:spacing w:line="240" w:lineRule="auto"/>
              <w:jc w:val="left"/>
              <w:rPr>
                <w:color w:val="000000"/>
                <w:sz w:val="14"/>
                <w:szCs w:val="14"/>
              </w:rPr>
            </w:pPr>
          </w:p>
        </w:tc>
        <w:tc>
          <w:tcPr>
            <w:tcW w:w="2973" w:type="dxa"/>
          </w:tcPr>
          <w:p w14:paraId="56F71413" w14:textId="77777777" w:rsidR="000F0341" w:rsidRPr="00BF62A1" w:rsidRDefault="000F0341" w:rsidP="00E40B0D">
            <w:pPr>
              <w:spacing w:line="240" w:lineRule="auto"/>
              <w:jc w:val="left"/>
              <w:rPr>
                <w:color w:val="000000"/>
                <w:sz w:val="14"/>
                <w:szCs w:val="14"/>
              </w:rPr>
            </w:pPr>
            <w:r w:rsidRPr="00BF62A1">
              <w:rPr>
                <w:color w:val="000000"/>
                <w:sz w:val="14"/>
                <w:szCs w:val="14"/>
              </w:rPr>
              <w:t>Segmentectomy</w:t>
            </w:r>
          </w:p>
        </w:tc>
        <w:tc>
          <w:tcPr>
            <w:tcW w:w="1843" w:type="dxa"/>
          </w:tcPr>
          <w:p w14:paraId="5FC9F8C3" w14:textId="77777777" w:rsidR="000F0341" w:rsidRPr="00BF62A1" w:rsidRDefault="000F0341" w:rsidP="00E40B0D">
            <w:pPr>
              <w:spacing w:line="240" w:lineRule="auto"/>
              <w:jc w:val="left"/>
              <w:rPr>
                <w:color w:val="000000"/>
                <w:sz w:val="14"/>
                <w:szCs w:val="14"/>
              </w:rPr>
            </w:pPr>
            <w:r w:rsidRPr="00BF62A1">
              <w:rPr>
                <w:color w:val="000000"/>
                <w:sz w:val="14"/>
                <w:szCs w:val="14"/>
              </w:rPr>
              <w:t>106 (4.4)</w:t>
            </w:r>
          </w:p>
        </w:tc>
        <w:tc>
          <w:tcPr>
            <w:tcW w:w="1984" w:type="dxa"/>
            <w:vMerge/>
          </w:tcPr>
          <w:p w14:paraId="62594534" w14:textId="77777777" w:rsidR="000F0341" w:rsidRPr="00BF62A1" w:rsidRDefault="000F0341" w:rsidP="00E40B0D">
            <w:pPr>
              <w:spacing w:line="240" w:lineRule="auto"/>
              <w:jc w:val="left"/>
              <w:rPr>
                <w:color w:val="000000"/>
                <w:sz w:val="14"/>
                <w:szCs w:val="14"/>
              </w:rPr>
            </w:pPr>
          </w:p>
        </w:tc>
        <w:tc>
          <w:tcPr>
            <w:tcW w:w="3119" w:type="dxa"/>
            <w:vMerge/>
          </w:tcPr>
          <w:p w14:paraId="15C0B91B" w14:textId="77777777" w:rsidR="000F0341" w:rsidRPr="00BF62A1" w:rsidRDefault="000F0341" w:rsidP="00E40B0D">
            <w:pPr>
              <w:spacing w:line="240" w:lineRule="auto"/>
              <w:jc w:val="left"/>
              <w:rPr>
                <w:color w:val="000000"/>
                <w:sz w:val="14"/>
                <w:szCs w:val="14"/>
              </w:rPr>
            </w:pPr>
          </w:p>
        </w:tc>
        <w:tc>
          <w:tcPr>
            <w:tcW w:w="3234" w:type="dxa"/>
            <w:vMerge/>
          </w:tcPr>
          <w:p w14:paraId="1D89F2CA" w14:textId="77777777" w:rsidR="000F0341" w:rsidRPr="00BF62A1" w:rsidRDefault="000F0341" w:rsidP="00E40B0D">
            <w:pPr>
              <w:spacing w:line="240" w:lineRule="auto"/>
              <w:jc w:val="left"/>
              <w:rPr>
                <w:color w:val="000000"/>
                <w:sz w:val="14"/>
                <w:szCs w:val="14"/>
              </w:rPr>
            </w:pPr>
          </w:p>
        </w:tc>
      </w:tr>
      <w:tr w:rsidR="000F0341" w:rsidRPr="00BF62A1" w14:paraId="450CEA40" w14:textId="77777777" w:rsidTr="00E40B0D">
        <w:trPr>
          <w:trHeight w:val="133"/>
        </w:trPr>
        <w:tc>
          <w:tcPr>
            <w:tcW w:w="1422" w:type="dxa"/>
            <w:vMerge/>
          </w:tcPr>
          <w:p w14:paraId="7275F960" w14:textId="77777777" w:rsidR="000F0341" w:rsidRPr="00BF62A1" w:rsidRDefault="000F0341" w:rsidP="00E40B0D">
            <w:pPr>
              <w:spacing w:line="240" w:lineRule="auto"/>
              <w:jc w:val="left"/>
              <w:rPr>
                <w:color w:val="000000"/>
                <w:sz w:val="14"/>
                <w:szCs w:val="14"/>
              </w:rPr>
            </w:pPr>
          </w:p>
        </w:tc>
        <w:tc>
          <w:tcPr>
            <w:tcW w:w="2973" w:type="dxa"/>
          </w:tcPr>
          <w:p w14:paraId="32ECC4F9" w14:textId="77777777" w:rsidR="000F0341" w:rsidRPr="00BF62A1" w:rsidRDefault="000F0341" w:rsidP="00E40B0D">
            <w:pPr>
              <w:spacing w:line="240" w:lineRule="auto"/>
              <w:jc w:val="left"/>
              <w:rPr>
                <w:color w:val="000000"/>
                <w:sz w:val="14"/>
                <w:szCs w:val="14"/>
              </w:rPr>
            </w:pPr>
            <w:r w:rsidRPr="00BF62A1">
              <w:rPr>
                <w:color w:val="000000"/>
                <w:sz w:val="14"/>
                <w:szCs w:val="14"/>
              </w:rPr>
              <w:t>Bisgementectomy</w:t>
            </w:r>
          </w:p>
        </w:tc>
        <w:tc>
          <w:tcPr>
            <w:tcW w:w="1843" w:type="dxa"/>
          </w:tcPr>
          <w:p w14:paraId="404D49EA" w14:textId="77777777" w:rsidR="000F0341" w:rsidRPr="00BF62A1" w:rsidRDefault="000F0341" w:rsidP="00E40B0D">
            <w:pPr>
              <w:spacing w:line="240" w:lineRule="auto"/>
              <w:jc w:val="left"/>
              <w:rPr>
                <w:color w:val="000000"/>
                <w:sz w:val="14"/>
                <w:szCs w:val="14"/>
              </w:rPr>
            </w:pPr>
            <w:r w:rsidRPr="00BF62A1">
              <w:rPr>
                <w:color w:val="000000"/>
                <w:sz w:val="14"/>
                <w:szCs w:val="14"/>
              </w:rPr>
              <w:t>129 (5.3)</w:t>
            </w:r>
          </w:p>
        </w:tc>
        <w:tc>
          <w:tcPr>
            <w:tcW w:w="1984" w:type="dxa"/>
            <w:vMerge/>
          </w:tcPr>
          <w:p w14:paraId="70197E75" w14:textId="77777777" w:rsidR="000F0341" w:rsidRPr="00BF62A1" w:rsidRDefault="000F0341" w:rsidP="00E40B0D">
            <w:pPr>
              <w:spacing w:line="240" w:lineRule="auto"/>
              <w:jc w:val="left"/>
              <w:rPr>
                <w:color w:val="000000"/>
                <w:sz w:val="14"/>
                <w:szCs w:val="14"/>
              </w:rPr>
            </w:pPr>
          </w:p>
        </w:tc>
        <w:tc>
          <w:tcPr>
            <w:tcW w:w="3119" w:type="dxa"/>
            <w:vMerge/>
          </w:tcPr>
          <w:p w14:paraId="1D15304A" w14:textId="77777777" w:rsidR="000F0341" w:rsidRPr="00BF62A1" w:rsidRDefault="000F0341" w:rsidP="00E40B0D">
            <w:pPr>
              <w:spacing w:line="240" w:lineRule="auto"/>
              <w:jc w:val="left"/>
              <w:rPr>
                <w:color w:val="000000"/>
                <w:sz w:val="14"/>
                <w:szCs w:val="14"/>
              </w:rPr>
            </w:pPr>
          </w:p>
        </w:tc>
        <w:tc>
          <w:tcPr>
            <w:tcW w:w="3234" w:type="dxa"/>
            <w:vMerge/>
          </w:tcPr>
          <w:p w14:paraId="50EA3C02" w14:textId="77777777" w:rsidR="000F0341" w:rsidRPr="00BF62A1" w:rsidRDefault="000F0341" w:rsidP="00E40B0D">
            <w:pPr>
              <w:spacing w:line="240" w:lineRule="auto"/>
              <w:jc w:val="left"/>
              <w:rPr>
                <w:color w:val="000000"/>
                <w:sz w:val="14"/>
                <w:szCs w:val="14"/>
              </w:rPr>
            </w:pPr>
          </w:p>
        </w:tc>
      </w:tr>
      <w:tr w:rsidR="000F0341" w:rsidRPr="00BF62A1" w14:paraId="788ED7D5" w14:textId="77777777" w:rsidTr="00E40B0D">
        <w:trPr>
          <w:trHeight w:val="133"/>
        </w:trPr>
        <w:tc>
          <w:tcPr>
            <w:tcW w:w="1422" w:type="dxa"/>
            <w:vMerge/>
          </w:tcPr>
          <w:p w14:paraId="1B8364B5" w14:textId="77777777" w:rsidR="000F0341" w:rsidRPr="00BF62A1" w:rsidRDefault="000F0341" w:rsidP="00E40B0D">
            <w:pPr>
              <w:spacing w:line="240" w:lineRule="auto"/>
              <w:jc w:val="left"/>
              <w:rPr>
                <w:color w:val="000000"/>
                <w:sz w:val="14"/>
                <w:szCs w:val="14"/>
              </w:rPr>
            </w:pPr>
          </w:p>
        </w:tc>
        <w:tc>
          <w:tcPr>
            <w:tcW w:w="2973" w:type="dxa"/>
          </w:tcPr>
          <w:p w14:paraId="1ABB23DC" w14:textId="77777777" w:rsidR="000F0341" w:rsidRPr="00BF62A1" w:rsidRDefault="000F0341" w:rsidP="00E40B0D">
            <w:pPr>
              <w:spacing w:line="240" w:lineRule="auto"/>
              <w:jc w:val="left"/>
              <w:rPr>
                <w:color w:val="000000"/>
                <w:sz w:val="14"/>
                <w:szCs w:val="14"/>
              </w:rPr>
            </w:pPr>
            <w:r w:rsidRPr="00BF62A1">
              <w:rPr>
                <w:color w:val="000000"/>
                <w:sz w:val="14"/>
                <w:szCs w:val="14"/>
              </w:rPr>
              <w:t>Anatomically major:</w:t>
            </w:r>
          </w:p>
        </w:tc>
        <w:tc>
          <w:tcPr>
            <w:tcW w:w="1843" w:type="dxa"/>
          </w:tcPr>
          <w:p w14:paraId="185B79EE" w14:textId="77777777" w:rsidR="000F0341" w:rsidRPr="00BF62A1" w:rsidRDefault="000F0341" w:rsidP="00E40B0D">
            <w:pPr>
              <w:spacing w:line="240" w:lineRule="auto"/>
              <w:jc w:val="left"/>
              <w:rPr>
                <w:color w:val="000000"/>
                <w:sz w:val="14"/>
                <w:szCs w:val="14"/>
              </w:rPr>
            </w:pPr>
            <w:r w:rsidRPr="00BF62A1">
              <w:rPr>
                <w:color w:val="000000"/>
                <w:sz w:val="14"/>
                <w:szCs w:val="14"/>
              </w:rPr>
              <w:t>Anatomically major</w:t>
            </w:r>
            <w:r w:rsidRPr="00BF62A1">
              <w:rPr>
                <w:color w:val="000000"/>
                <w:sz w:val="14"/>
                <w:szCs w:val="14"/>
                <w:vertAlign w:val="superscript"/>
              </w:rPr>
              <w:t xml:space="preserve"> a</w:t>
            </w:r>
            <w:r w:rsidRPr="00BF62A1">
              <w:rPr>
                <w:color w:val="000000"/>
                <w:sz w:val="14"/>
                <w:szCs w:val="14"/>
              </w:rPr>
              <w:t>:</w:t>
            </w:r>
          </w:p>
        </w:tc>
        <w:tc>
          <w:tcPr>
            <w:tcW w:w="1984" w:type="dxa"/>
            <w:vMerge/>
          </w:tcPr>
          <w:p w14:paraId="08614C1F" w14:textId="77777777" w:rsidR="000F0341" w:rsidRPr="00BF62A1" w:rsidRDefault="000F0341" w:rsidP="00E40B0D">
            <w:pPr>
              <w:spacing w:line="240" w:lineRule="auto"/>
              <w:jc w:val="left"/>
              <w:rPr>
                <w:color w:val="000000"/>
                <w:sz w:val="14"/>
                <w:szCs w:val="14"/>
              </w:rPr>
            </w:pPr>
          </w:p>
        </w:tc>
        <w:tc>
          <w:tcPr>
            <w:tcW w:w="3119" w:type="dxa"/>
            <w:vMerge/>
          </w:tcPr>
          <w:p w14:paraId="17B1FEA1" w14:textId="77777777" w:rsidR="000F0341" w:rsidRPr="00BF62A1" w:rsidRDefault="000F0341" w:rsidP="00E40B0D">
            <w:pPr>
              <w:spacing w:line="240" w:lineRule="auto"/>
              <w:jc w:val="left"/>
              <w:rPr>
                <w:color w:val="000000"/>
                <w:sz w:val="14"/>
                <w:szCs w:val="14"/>
              </w:rPr>
            </w:pPr>
          </w:p>
        </w:tc>
        <w:tc>
          <w:tcPr>
            <w:tcW w:w="3234" w:type="dxa"/>
            <w:vMerge/>
          </w:tcPr>
          <w:p w14:paraId="22823743" w14:textId="77777777" w:rsidR="000F0341" w:rsidRPr="00BF62A1" w:rsidRDefault="000F0341" w:rsidP="00E40B0D">
            <w:pPr>
              <w:spacing w:line="240" w:lineRule="auto"/>
              <w:jc w:val="left"/>
              <w:rPr>
                <w:color w:val="000000"/>
                <w:sz w:val="14"/>
                <w:szCs w:val="14"/>
              </w:rPr>
            </w:pPr>
          </w:p>
        </w:tc>
      </w:tr>
      <w:tr w:rsidR="000F0341" w:rsidRPr="00BF62A1" w14:paraId="0D877BB8" w14:textId="77777777" w:rsidTr="00E40B0D">
        <w:trPr>
          <w:trHeight w:val="133"/>
        </w:trPr>
        <w:tc>
          <w:tcPr>
            <w:tcW w:w="1422" w:type="dxa"/>
            <w:vMerge/>
          </w:tcPr>
          <w:p w14:paraId="1AFB060F" w14:textId="77777777" w:rsidR="000F0341" w:rsidRPr="00BF62A1" w:rsidRDefault="000F0341" w:rsidP="00E40B0D">
            <w:pPr>
              <w:spacing w:line="240" w:lineRule="auto"/>
              <w:jc w:val="left"/>
              <w:rPr>
                <w:color w:val="000000"/>
                <w:sz w:val="14"/>
                <w:szCs w:val="14"/>
              </w:rPr>
            </w:pPr>
          </w:p>
        </w:tc>
        <w:tc>
          <w:tcPr>
            <w:tcW w:w="2973" w:type="dxa"/>
          </w:tcPr>
          <w:p w14:paraId="2B2434B5" w14:textId="77777777" w:rsidR="000F0341" w:rsidRPr="00BF62A1" w:rsidRDefault="000F0341" w:rsidP="00E40B0D">
            <w:pPr>
              <w:spacing w:line="240" w:lineRule="auto"/>
              <w:jc w:val="left"/>
              <w:rPr>
                <w:color w:val="000000"/>
                <w:sz w:val="14"/>
                <w:szCs w:val="14"/>
              </w:rPr>
            </w:pPr>
            <w:r w:rsidRPr="00BF62A1">
              <w:rPr>
                <w:color w:val="000000"/>
                <w:sz w:val="14"/>
                <w:szCs w:val="14"/>
              </w:rPr>
              <w:t>Trisegmentecotmy</w:t>
            </w:r>
          </w:p>
        </w:tc>
        <w:tc>
          <w:tcPr>
            <w:tcW w:w="1843" w:type="dxa"/>
          </w:tcPr>
          <w:p w14:paraId="2706D3A1" w14:textId="77777777" w:rsidR="000F0341" w:rsidRPr="00BF62A1" w:rsidRDefault="000F0341" w:rsidP="00E40B0D">
            <w:pPr>
              <w:spacing w:line="240" w:lineRule="auto"/>
              <w:jc w:val="left"/>
              <w:rPr>
                <w:color w:val="000000"/>
                <w:sz w:val="14"/>
                <w:szCs w:val="14"/>
              </w:rPr>
            </w:pPr>
            <w:r w:rsidRPr="00BF62A1">
              <w:rPr>
                <w:color w:val="000000"/>
                <w:sz w:val="14"/>
                <w:szCs w:val="14"/>
              </w:rPr>
              <w:t>33 (1.4)</w:t>
            </w:r>
          </w:p>
        </w:tc>
        <w:tc>
          <w:tcPr>
            <w:tcW w:w="1984" w:type="dxa"/>
            <w:vMerge/>
          </w:tcPr>
          <w:p w14:paraId="4BF19317" w14:textId="77777777" w:rsidR="000F0341" w:rsidRPr="00BF62A1" w:rsidRDefault="000F0341" w:rsidP="00E40B0D">
            <w:pPr>
              <w:spacing w:line="240" w:lineRule="auto"/>
              <w:jc w:val="left"/>
              <w:rPr>
                <w:color w:val="000000"/>
                <w:sz w:val="14"/>
                <w:szCs w:val="14"/>
              </w:rPr>
            </w:pPr>
          </w:p>
        </w:tc>
        <w:tc>
          <w:tcPr>
            <w:tcW w:w="3119" w:type="dxa"/>
            <w:vMerge/>
          </w:tcPr>
          <w:p w14:paraId="0DA4BDC3" w14:textId="77777777" w:rsidR="000F0341" w:rsidRPr="00BF62A1" w:rsidRDefault="000F0341" w:rsidP="00E40B0D">
            <w:pPr>
              <w:spacing w:line="240" w:lineRule="auto"/>
              <w:jc w:val="left"/>
              <w:rPr>
                <w:color w:val="000000"/>
                <w:sz w:val="14"/>
                <w:szCs w:val="14"/>
              </w:rPr>
            </w:pPr>
          </w:p>
        </w:tc>
        <w:tc>
          <w:tcPr>
            <w:tcW w:w="3234" w:type="dxa"/>
            <w:vMerge/>
          </w:tcPr>
          <w:p w14:paraId="0410A49B" w14:textId="77777777" w:rsidR="000F0341" w:rsidRPr="00BF62A1" w:rsidRDefault="000F0341" w:rsidP="00E40B0D">
            <w:pPr>
              <w:spacing w:line="240" w:lineRule="auto"/>
              <w:jc w:val="left"/>
              <w:rPr>
                <w:color w:val="000000"/>
                <w:sz w:val="14"/>
                <w:szCs w:val="14"/>
              </w:rPr>
            </w:pPr>
          </w:p>
        </w:tc>
      </w:tr>
      <w:tr w:rsidR="000F0341" w:rsidRPr="00BF62A1" w14:paraId="1CA52320" w14:textId="77777777" w:rsidTr="00E40B0D">
        <w:trPr>
          <w:trHeight w:val="133"/>
        </w:trPr>
        <w:tc>
          <w:tcPr>
            <w:tcW w:w="1422" w:type="dxa"/>
            <w:vMerge/>
          </w:tcPr>
          <w:p w14:paraId="21A1F82B" w14:textId="77777777" w:rsidR="000F0341" w:rsidRPr="00BF62A1" w:rsidRDefault="000F0341" w:rsidP="00E40B0D">
            <w:pPr>
              <w:spacing w:line="240" w:lineRule="auto"/>
              <w:jc w:val="left"/>
              <w:rPr>
                <w:color w:val="000000"/>
                <w:sz w:val="14"/>
                <w:szCs w:val="14"/>
              </w:rPr>
            </w:pPr>
          </w:p>
        </w:tc>
        <w:tc>
          <w:tcPr>
            <w:tcW w:w="2973" w:type="dxa"/>
          </w:tcPr>
          <w:p w14:paraId="5DBA578C" w14:textId="77777777" w:rsidR="000F0341" w:rsidRPr="00BF62A1" w:rsidRDefault="000F0341" w:rsidP="00E40B0D">
            <w:pPr>
              <w:spacing w:line="240" w:lineRule="auto"/>
              <w:jc w:val="left"/>
              <w:rPr>
                <w:color w:val="000000"/>
                <w:sz w:val="14"/>
                <w:szCs w:val="14"/>
              </w:rPr>
            </w:pPr>
            <w:r w:rsidRPr="00BF62A1">
              <w:rPr>
                <w:color w:val="000000"/>
                <w:sz w:val="14"/>
                <w:szCs w:val="14"/>
              </w:rPr>
              <w:t>Hemihepatectomy</w:t>
            </w:r>
          </w:p>
        </w:tc>
        <w:tc>
          <w:tcPr>
            <w:tcW w:w="1843" w:type="dxa"/>
          </w:tcPr>
          <w:p w14:paraId="50BD6C1A" w14:textId="77777777" w:rsidR="000F0341" w:rsidRPr="00BF62A1" w:rsidRDefault="000F0341" w:rsidP="00E40B0D">
            <w:pPr>
              <w:spacing w:line="240" w:lineRule="auto"/>
              <w:jc w:val="left"/>
              <w:rPr>
                <w:color w:val="000000"/>
                <w:sz w:val="14"/>
                <w:szCs w:val="14"/>
              </w:rPr>
            </w:pPr>
            <w:r w:rsidRPr="00BF62A1">
              <w:rPr>
                <w:color w:val="000000"/>
                <w:sz w:val="14"/>
                <w:szCs w:val="14"/>
              </w:rPr>
              <w:t>333 (13.7)</w:t>
            </w:r>
          </w:p>
        </w:tc>
        <w:tc>
          <w:tcPr>
            <w:tcW w:w="1984" w:type="dxa"/>
            <w:vMerge/>
          </w:tcPr>
          <w:p w14:paraId="0DE8FDE9" w14:textId="77777777" w:rsidR="000F0341" w:rsidRPr="00BF62A1" w:rsidRDefault="000F0341" w:rsidP="00E40B0D">
            <w:pPr>
              <w:spacing w:line="240" w:lineRule="auto"/>
              <w:jc w:val="left"/>
              <w:rPr>
                <w:color w:val="000000"/>
                <w:sz w:val="14"/>
                <w:szCs w:val="14"/>
              </w:rPr>
            </w:pPr>
          </w:p>
        </w:tc>
        <w:tc>
          <w:tcPr>
            <w:tcW w:w="3119" w:type="dxa"/>
            <w:vMerge/>
          </w:tcPr>
          <w:p w14:paraId="3E618CAA" w14:textId="77777777" w:rsidR="000F0341" w:rsidRPr="00BF62A1" w:rsidRDefault="000F0341" w:rsidP="00E40B0D">
            <w:pPr>
              <w:spacing w:line="240" w:lineRule="auto"/>
              <w:jc w:val="left"/>
              <w:rPr>
                <w:color w:val="000000"/>
                <w:sz w:val="14"/>
                <w:szCs w:val="14"/>
              </w:rPr>
            </w:pPr>
          </w:p>
        </w:tc>
        <w:tc>
          <w:tcPr>
            <w:tcW w:w="3234" w:type="dxa"/>
            <w:vMerge/>
          </w:tcPr>
          <w:p w14:paraId="3F5E385D" w14:textId="77777777" w:rsidR="000F0341" w:rsidRPr="00BF62A1" w:rsidRDefault="000F0341" w:rsidP="00E40B0D">
            <w:pPr>
              <w:spacing w:line="240" w:lineRule="auto"/>
              <w:jc w:val="left"/>
              <w:rPr>
                <w:color w:val="000000"/>
                <w:sz w:val="14"/>
                <w:szCs w:val="14"/>
              </w:rPr>
            </w:pPr>
          </w:p>
        </w:tc>
      </w:tr>
      <w:tr w:rsidR="000F0341" w:rsidRPr="00BF62A1" w14:paraId="761B91BB" w14:textId="77777777" w:rsidTr="00E40B0D">
        <w:trPr>
          <w:trHeight w:val="133"/>
        </w:trPr>
        <w:tc>
          <w:tcPr>
            <w:tcW w:w="1422" w:type="dxa"/>
            <w:vMerge/>
            <w:tcBorders>
              <w:bottom w:val="single" w:sz="8" w:space="0" w:color="auto"/>
            </w:tcBorders>
          </w:tcPr>
          <w:p w14:paraId="06414637"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112F5951" w14:textId="77777777" w:rsidR="000F0341" w:rsidRPr="00BF62A1" w:rsidRDefault="000F0341" w:rsidP="00E40B0D">
            <w:pPr>
              <w:spacing w:line="240" w:lineRule="auto"/>
              <w:jc w:val="left"/>
              <w:rPr>
                <w:color w:val="000000"/>
                <w:sz w:val="14"/>
                <w:szCs w:val="14"/>
              </w:rPr>
            </w:pPr>
            <w:r w:rsidRPr="00BF62A1">
              <w:rPr>
                <w:color w:val="000000"/>
                <w:sz w:val="14"/>
                <w:szCs w:val="14"/>
              </w:rPr>
              <w:t>Other major hepatectomy</w:t>
            </w:r>
          </w:p>
        </w:tc>
        <w:tc>
          <w:tcPr>
            <w:tcW w:w="1843" w:type="dxa"/>
            <w:tcBorders>
              <w:bottom w:val="single" w:sz="8" w:space="0" w:color="auto"/>
            </w:tcBorders>
          </w:tcPr>
          <w:p w14:paraId="608227C7" w14:textId="77777777" w:rsidR="000F0341" w:rsidRPr="00BF62A1" w:rsidRDefault="000F0341" w:rsidP="00E40B0D">
            <w:pPr>
              <w:spacing w:line="240" w:lineRule="auto"/>
              <w:jc w:val="left"/>
              <w:rPr>
                <w:color w:val="000000"/>
                <w:sz w:val="14"/>
                <w:szCs w:val="14"/>
              </w:rPr>
            </w:pPr>
            <w:r w:rsidRPr="00BF62A1">
              <w:rPr>
                <w:color w:val="000000"/>
                <w:sz w:val="14"/>
                <w:szCs w:val="14"/>
              </w:rPr>
              <w:t>9 (0.4)</w:t>
            </w:r>
          </w:p>
        </w:tc>
        <w:tc>
          <w:tcPr>
            <w:tcW w:w="1984" w:type="dxa"/>
            <w:vMerge/>
            <w:tcBorders>
              <w:bottom w:val="single" w:sz="8" w:space="0" w:color="auto"/>
            </w:tcBorders>
          </w:tcPr>
          <w:p w14:paraId="7C3CF5B3"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49AAD042"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3904541C" w14:textId="77777777" w:rsidR="000F0341" w:rsidRPr="00BF62A1" w:rsidRDefault="000F0341" w:rsidP="00E40B0D">
            <w:pPr>
              <w:spacing w:line="240" w:lineRule="auto"/>
              <w:jc w:val="left"/>
              <w:rPr>
                <w:color w:val="000000"/>
                <w:sz w:val="14"/>
                <w:szCs w:val="14"/>
              </w:rPr>
            </w:pPr>
          </w:p>
        </w:tc>
      </w:tr>
      <w:tr w:rsidR="000F0341" w:rsidRPr="00BF62A1" w14:paraId="0EF87689" w14:textId="77777777" w:rsidTr="00E40B0D">
        <w:trPr>
          <w:trHeight w:val="269"/>
        </w:trPr>
        <w:tc>
          <w:tcPr>
            <w:tcW w:w="1422" w:type="dxa"/>
            <w:vMerge w:val="restart"/>
            <w:tcBorders>
              <w:top w:val="single" w:sz="8" w:space="0" w:color="auto"/>
            </w:tcBorders>
            <w:hideMark/>
          </w:tcPr>
          <w:p w14:paraId="1AB2B1CA"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Hashimoto 2017 </w:t>
            </w:r>
            <w:r w:rsidRPr="00BF62A1">
              <w:rPr>
                <w:color w:val="000000"/>
                <w:sz w:val="14"/>
                <w:szCs w:val="14"/>
              </w:rPr>
              <w:fldChar w:fldCharType="begin"/>
            </w:r>
            <w:r>
              <w:rPr>
                <w:color w:val="000000"/>
                <w:sz w:val="14"/>
                <w:szCs w:val="14"/>
              </w:rPr>
              <w:instrText xml:space="preserve"> ADDIN ZOTERO_ITEM CSL_CITATION {"citationID":"9oUwBIGs","properties":{"formattedCitation":"[70]","plainCitation":"[70]","noteIndex":0},"citationItems":[{"id":14183,"uris":["http://zotero.org/groups/4983919/items/F79T2RVB"],"itemData":{"id":14183,"type":"article-journal","abstract":"OBJECTIVE: To investigate the effect of subspecialty practice and experience on the relationship between annual volume and inpatient mortality after hepatic resection. BACKGROUND: The impact of annual surgical volume on postoperative outcomes has been extensively examined. However, the impact of cumulative surgeon experience and specialty training on this relationship warrants investigation. METHODS: The New York Statewide Planning and Research Cooperative System inpatient database was queried for patients' ≥18 years who underwent wedge hepatectomy or lobectomy from 2000 to 2014. Primary exposures included annual surgeon volume, surgeon experience (early vs late career), and surgical specialization-categorized as general surgery (GS), surgical oncology (SO), and transplant (TS). Primary endpoint was inpatient mortality. Hierarchical logistic regression was performed accounting for correlation at the level of the surgeon and the hospital, and adjusting for patient demographics, comorbidities, presence of cirrhosis, and annual surgical hospital volume. RESULTS: A total of 13,467 cases were analyzed. Overall inpatient mortality was 2.35%. On unadjusted analysis, late career surgeons had a mortality rate of 2.62% versus 1.97% for early career surgeons. GS had a mortality rate of 2.98% compared with 1.68% for SO and 2.67% for TS. Once risk-adjusted, annual volume was associated with reduced mortality only among early-career surgeons (odds ratio 0.82, P = 0.001) and general surgeons (odds ratio 0.65, P = 0.002). No volume effect was seen among late-career or specialty-trained surgeons. CONCLUSIONS: Annual volume alone likely contributes only a partial assessment of the volume-outcome relationship. In patients undergoing hepatic resection, increased annual volume did not confer a mortality benefit on subspecialty surgeons or late career surgeons.","container-title":"Ann Surg","DOI":"10.1097/sla.0000000000002377","ISSN":"0003-4932 (Print) 0003-4932","issue":"4","language":"eng","note":"publisher-place: *Department of Surgery, Massachusetts General Hospital, Boston, MA †Codman Center for Clinical Effectiveness, Massachusetts General Hospital, Boston, MA.","page":"603-609","title":"Is Annual Volume Enough? The Role of Experience and Specialization on Inpatient Mortality After Hepatectomy","volume":"266","author":[{"family":"Hashimoto","given":"D. A."},{"family":"Bababekov","given":"Y. J."},{"family":"Mehtsun","given":"W. T."},{"family":"Stapleton","given":"S. M."},{"family":"Warshaw","given":"A. L."},{"family":"Lillemoe","given":"K. D."},{"family":"Chang","given":"D. C."},{"family":"Vagefi","given":"P. A."}],"issued":{"date-parts":[["2017",10]]}}}],"schema":"https://github.com/citation-style-language/schema/raw/master/csl-citation.json"} </w:instrText>
            </w:r>
            <w:r w:rsidRPr="00BF62A1">
              <w:rPr>
                <w:color w:val="000000"/>
                <w:sz w:val="14"/>
                <w:szCs w:val="14"/>
              </w:rPr>
              <w:fldChar w:fldCharType="separate"/>
            </w:r>
            <w:r w:rsidRPr="004125CE">
              <w:rPr>
                <w:sz w:val="14"/>
              </w:rPr>
              <w:t>[70]</w:t>
            </w:r>
            <w:r w:rsidRPr="00BF62A1">
              <w:rPr>
                <w:color w:val="000000"/>
                <w:sz w:val="14"/>
                <w:szCs w:val="14"/>
              </w:rPr>
              <w:fldChar w:fldCharType="end"/>
            </w:r>
          </w:p>
        </w:tc>
        <w:tc>
          <w:tcPr>
            <w:tcW w:w="2973" w:type="dxa"/>
            <w:tcBorders>
              <w:top w:val="single" w:sz="8" w:space="0" w:color="auto"/>
            </w:tcBorders>
            <w:hideMark/>
          </w:tcPr>
          <w:p w14:paraId="545B59CA" w14:textId="77777777" w:rsidR="000F0341" w:rsidRPr="00BF62A1" w:rsidRDefault="000F0341" w:rsidP="00E40B0D">
            <w:pPr>
              <w:spacing w:line="240" w:lineRule="auto"/>
              <w:jc w:val="left"/>
              <w:rPr>
                <w:color w:val="000000"/>
                <w:sz w:val="14"/>
                <w:szCs w:val="14"/>
              </w:rPr>
            </w:pPr>
            <w:r w:rsidRPr="00BF62A1">
              <w:rPr>
                <w:color w:val="000000"/>
                <w:sz w:val="14"/>
                <w:szCs w:val="14"/>
              </w:rPr>
              <w:t>Lobectomy</w:t>
            </w:r>
            <w:r w:rsidRPr="00BF62A1">
              <w:rPr>
                <w:color w:val="000000"/>
                <w:sz w:val="14"/>
                <w:szCs w:val="14"/>
              </w:rPr>
              <w:br/>
            </w:r>
          </w:p>
        </w:tc>
        <w:tc>
          <w:tcPr>
            <w:tcW w:w="1843" w:type="dxa"/>
            <w:vMerge w:val="restart"/>
            <w:tcBorders>
              <w:top w:val="single" w:sz="8" w:space="0" w:color="auto"/>
            </w:tcBorders>
            <w:hideMark/>
          </w:tcPr>
          <w:p w14:paraId="4F907831" w14:textId="77777777" w:rsidR="000F0341" w:rsidRPr="00BF62A1" w:rsidRDefault="000F0341" w:rsidP="00E40B0D">
            <w:pPr>
              <w:spacing w:line="240" w:lineRule="auto"/>
              <w:jc w:val="left"/>
              <w:rPr>
                <w:color w:val="000000"/>
                <w:sz w:val="14"/>
                <w:szCs w:val="14"/>
              </w:rPr>
            </w:pPr>
            <w:r w:rsidRPr="00BF62A1">
              <w:rPr>
                <w:color w:val="000000"/>
                <w:sz w:val="14"/>
                <w:szCs w:val="14"/>
              </w:rPr>
              <w:t>-</w:t>
            </w:r>
          </w:p>
        </w:tc>
        <w:tc>
          <w:tcPr>
            <w:tcW w:w="1984" w:type="dxa"/>
            <w:vMerge w:val="restart"/>
            <w:tcBorders>
              <w:top w:val="single" w:sz="8" w:space="0" w:color="auto"/>
            </w:tcBorders>
            <w:hideMark/>
          </w:tcPr>
          <w:p w14:paraId="745FD986" w14:textId="77777777" w:rsidR="000F0341" w:rsidRPr="00BF62A1" w:rsidRDefault="000F0341" w:rsidP="00E40B0D">
            <w:pPr>
              <w:spacing w:line="240" w:lineRule="auto"/>
              <w:jc w:val="left"/>
              <w:rPr>
                <w:color w:val="000000"/>
                <w:sz w:val="14"/>
                <w:szCs w:val="14"/>
              </w:rPr>
            </w:pPr>
            <w:r w:rsidRPr="00BF62A1">
              <w:rPr>
                <w:color w:val="000000"/>
                <w:sz w:val="14"/>
                <w:szCs w:val="14"/>
              </w:rPr>
              <w:t>ICD-9-CM: 50.3, 50.22</w:t>
            </w:r>
          </w:p>
        </w:tc>
        <w:tc>
          <w:tcPr>
            <w:tcW w:w="3119" w:type="dxa"/>
            <w:vMerge w:val="restart"/>
            <w:tcBorders>
              <w:top w:val="single" w:sz="8" w:space="0" w:color="auto"/>
            </w:tcBorders>
            <w:hideMark/>
          </w:tcPr>
          <w:p w14:paraId="1C28CED6" w14:textId="77777777" w:rsidR="000F0341" w:rsidRPr="00BF62A1" w:rsidRDefault="000F0341" w:rsidP="00E40B0D">
            <w:pPr>
              <w:spacing w:line="240" w:lineRule="auto"/>
              <w:jc w:val="left"/>
              <w:rPr>
                <w:color w:val="000000"/>
                <w:sz w:val="14"/>
                <w:szCs w:val="14"/>
              </w:rPr>
            </w:pPr>
            <w:r>
              <w:rPr>
                <w:color w:val="000000"/>
                <w:sz w:val="14"/>
                <w:szCs w:val="14"/>
              </w:rPr>
              <w:t>T</w:t>
            </w:r>
            <w:r w:rsidRPr="00BF62A1">
              <w:rPr>
                <w:color w:val="000000"/>
                <w:sz w:val="14"/>
                <w:szCs w:val="14"/>
              </w:rPr>
              <w:t>rauma or recipient (i.e. transplant) hepatectomy</w:t>
            </w:r>
          </w:p>
        </w:tc>
        <w:tc>
          <w:tcPr>
            <w:tcW w:w="3234" w:type="dxa"/>
            <w:vMerge w:val="restart"/>
            <w:tcBorders>
              <w:top w:val="single" w:sz="8" w:space="0" w:color="auto"/>
            </w:tcBorders>
            <w:hideMark/>
          </w:tcPr>
          <w:p w14:paraId="6493A39C" w14:textId="77777777" w:rsidR="000F0341" w:rsidRPr="00BF62A1" w:rsidRDefault="000F0341" w:rsidP="00E40B0D">
            <w:pPr>
              <w:spacing w:line="240" w:lineRule="auto"/>
              <w:jc w:val="left"/>
              <w:rPr>
                <w:color w:val="000000"/>
                <w:sz w:val="14"/>
                <w:szCs w:val="14"/>
              </w:rPr>
            </w:pPr>
            <w:r>
              <w:rPr>
                <w:color w:val="000000"/>
                <w:sz w:val="14"/>
                <w:szCs w:val="14"/>
              </w:rPr>
              <w:t>A</w:t>
            </w:r>
            <w:r w:rsidRPr="00BF62A1">
              <w:rPr>
                <w:color w:val="000000"/>
                <w:sz w:val="14"/>
                <w:szCs w:val="14"/>
              </w:rPr>
              <w:t>ge, CCI, complications, hepatic necrosis, insurance, need for biliaryenteric reconstruction, presence of hepatic malignancy (primary vs. secondary tumor), race, year of surgery</w:t>
            </w:r>
          </w:p>
        </w:tc>
      </w:tr>
      <w:tr w:rsidR="000F0341" w:rsidRPr="00BF62A1" w14:paraId="20F32C01" w14:textId="77777777" w:rsidTr="00E40B0D">
        <w:trPr>
          <w:trHeight w:val="229"/>
        </w:trPr>
        <w:tc>
          <w:tcPr>
            <w:tcW w:w="1422" w:type="dxa"/>
            <w:vMerge/>
            <w:tcBorders>
              <w:bottom w:val="single" w:sz="8" w:space="0" w:color="auto"/>
            </w:tcBorders>
          </w:tcPr>
          <w:p w14:paraId="6CE81798"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1EDE1A68" w14:textId="77777777" w:rsidR="000F0341" w:rsidRPr="00BF62A1" w:rsidRDefault="000F0341" w:rsidP="00E40B0D">
            <w:pPr>
              <w:spacing w:line="240" w:lineRule="auto"/>
              <w:jc w:val="left"/>
              <w:rPr>
                <w:color w:val="000000"/>
                <w:sz w:val="14"/>
                <w:szCs w:val="14"/>
              </w:rPr>
            </w:pPr>
            <w:r w:rsidRPr="00BF62A1">
              <w:rPr>
                <w:color w:val="000000"/>
                <w:sz w:val="14"/>
                <w:szCs w:val="14"/>
              </w:rPr>
              <w:t>Wedge hepatectomy</w:t>
            </w:r>
          </w:p>
        </w:tc>
        <w:tc>
          <w:tcPr>
            <w:tcW w:w="1843" w:type="dxa"/>
            <w:vMerge/>
            <w:tcBorders>
              <w:bottom w:val="single" w:sz="8" w:space="0" w:color="auto"/>
            </w:tcBorders>
          </w:tcPr>
          <w:p w14:paraId="49A7C8BE" w14:textId="77777777" w:rsidR="000F0341" w:rsidRPr="00BF62A1" w:rsidRDefault="000F0341" w:rsidP="00E40B0D">
            <w:pPr>
              <w:spacing w:line="240" w:lineRule="auto"/>
              <w:jc w:val="left"/>
              <w:rPr>
                <w:color w:val="000000"/>
                <w:sz w:val="14"/>
                <w:szCs w:val="14"/>
              </w:rPr>
            </w:pPr>
          </w:p>
        </w:tc>
        <w:tc>
          <w:tcPr>
            <w:tcW w:w="1984" w:type="dxa"/>
            <w:vMerge/>
            <w:tcBorders>
              <w:bottom w:val="single" w:sz="8" w:space="0" w:color="auto"/>
            </w:tcBorders>
          </w:tcPr>
          <w:p w14:paraId="44CD0D5F"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0986C204"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11CDD864" w14:textId="77777777" w:rsidR="000F0341" w:rsidRPr="00BF62A1" w:rsidRDefault="000F0341" w:rsidP="00E40B0D">
            <w:pPr>
              <w:spacing w:line="240" w:lineRule="auto"/>
              <w:jc w:val="left"/>
              <w:rPr>
                <w:color w:val="000000"/>
                <w:sz w:val="14"/>
                <w:szCs w:val="14"/>
              </w:rPr>
            </w:pPr>
          </w:p>
        </w:tc>
      </w:tr>
      <w:tr w:rsidR="000F0341" w:rsidRPr="00BF62A1" w14:paraId="679E96BD" w14:textId="77777777" w:rsidTr="00E40B0D">
        <w:trPr>
          <w:trHeight w:val="213"/>
        </w:trPr>
        <w:tc>
          <w:tcPr>
            <w:tcW w:w="1422" w:type="dxa"/>
            <w:vMerge w:val="restart"/>
            <w:tcBorders>
              <w:top w:val="single" w:sz="8" w:space="0" w:color="auto"/>
            </w:tcBorders>
            <w:hideMark/>
          </w:tcPr>
          <w:p w14:paraId="2BEBD444" w14:textId="168C0773" w:rsidR="000F0341" w:rsidRPr="00BF62A1" w:rsidRDefault="000F0341" w:rsidP="00E40B0D">
            <w:pPr>
              <w:spacing w:line="240" w:lineRule="auto"/>
              <w:jc w:val="left"/>
              <w:rPr>
                <w:color w:val="000000"/>
                <w:sz w:val="14"/>
                <w:szCs w:val="14"/>
              </w:rPr>
            </w:pPr>
            <w:r w:rsidRPr="00BF62A1">
              <w:rPr>
                <w:color w:val="000000"/>
                <w:sz w:val="14"/>
                <w:szCs w:val="14"/>
              </w:rPr>
              <w:t xml:space="preserve">Hoerger 2023 </w:t>
            </w:r>
            <w:r w:rsidRPr="00BF62A1">
              <w:rPr>
                <w:color w:val="000000"/>
                <w:sz w:val="14"/>
                <w:szCs w:val="14"/>
              </w:rPr>
              <w:fldChar w:fldCharType="begin"/>
            </w:r>
            <w:r>
              <w:rPr>
                <w:color w:val="000000"/>
                <w:sz w:val="14"/>
                <w:szCs w:val="14"/>
              </w:rPr>
              <w:instrText xml:space="preserve"> ADDIN ZOTERO_ITEM CSL_CITATION {"citationID":"NCxYKvrX","properties":{"formattedCitation":"[83]","plainCitation":"[83]","noteIndex":0},"citationItems":[{"id":14273,"uris":["http://zotero.org/groups/4983919/items/6PMFLYW9"],"itemData":{"id":14273,"type":"article-journal","abstract":"BACKGROUND: Volume-outcome relationships have been described for a variety of surgical procedures. We aimed to define the facility volume threshold at which postoperative mortality after hepatectomy was optimal. METHODS: We determined volume percentiles for institutions performing hepatectomy for any primary liver tumor within the National Cancer Database (2004-2017). Marginal structural logistic regression defined the volume percentile (Vmin) at which the odds of 90-day mortality were optimally reduced in patients with hepatocellular carcinoma (HCC) or intrahepatic cholangiocarcinoma (ICC). Short-term postoperative and survival outcomes were compared between patients treated at facilities above and below Vmin. RESULTS: Thresholds for the 10(th)/25(th)/50(th)/75(th)/90(th) percentiles were 2/7/26/46/59 hepatectomies/year. A total of 17,833 patients underwent resection of HCC or ICC. The 90-day postoperative mortality was optimized at the 75(th) percentile for all hepatectomies (IP-weighted OR = 0.67, 95% CI = 0.52-0.87) and major hepatectomy (IP-weighted OR = 0.62, 95% CI = 0.49-0.80). Seven of 446 facilities met the Vmin threshold. The odds of 30-day mortality were also reduced for all hepatectomies (IP-weighted OR = 0.55, 95% CI = 0.42-0.73) and major hepatectomy (IP-weighted OR = 0.58, 95% CI = 0.41-0.75). There were no differences in length of stay or 30-day readmission rate. Patients with HCC or ICC treated at facilities ≥ 10(th) percentile had an associated improvement in overall survival. CONCLUSIONS: Resection of HCC and ICC is performed at a large number of facilities. Postoperative mortality is optimally reduced at facilities performing at least 46 liver operations annually. Regionalization of surgical care among patients with primary liver malignancies to high-volume centers may result in improved outcomes.","container-title":"Journal of gastrointestinal surgery : official journal of the Society for Surgery of the Alimentary Tract","DOI":"10.1007/s11605-022-05541-4","ISSN":"1873-4626 (Electronic)","issue":"2","language":"eng","page":"273-282","title":"Facility Volume Thresholds for Optimization of Short- and Long-Term Outcomes in Patients Undergoing Hepatectomy for Primary Liver Tumors.","URL":"https://pubmed.ncbi.nlm.nih.gov/36443556/","volume":"27","author":[{"family":"Hoerger","given":"Kelly"},{"family":"Hue","given":"Jonathan J"},{"family":"Elshami","given":"Mohamaedraed"},{"family":"Ammori","given":"John B"},{"family":"Hardacre","given":"Jeffrey M"},{"family":"Winter","given":"Jordan M"},{"family":"Ocuin","given":"Lee M"}],"issued":{"date-parts":[["2023",2]]}}}],"schema":"https://github.com/citation-style-language/schema/raw/master/csl-citation.json"} </w:instrText>
            </w:r>
            <w:r w:rsidRPr="00BF62A1">
              <w:rPr>
                <w:color w:val="000000"/>
                <w:sz w:val="14"/>
                <w:szCs w:val="14"/>
              </w:rPr>
              <w:fldChar w:fldCharType="separate"/>
            </w:r>
            <w:r w:rsidRPr="004125CE">
              <w:rPr>
                <w:sz w:val="14"/>
              </w:rPr>
              <w:t>[8</w:t>
            </w:r>
            <w:r w:rsidR="00D03F0D">
              <w:rPr>
                <w:sz w:val="14"/>
              </w:rPr>
              <w:t>9</w:t>
            </w:r>
            <w:r w:rsidRPr="004125CE">
              <w:rPr>
                <w:sz w:val="14"/>
              </w:rPr>
              <w:t>]</w:t>
            </w:r>
            <w:r w:rsidRPr="00BF62A1">
              <w:rPr>
                <w:color w:val="000000"/>
                <w:sz w:val="14"/>
                <w:szCs w:val="14"/>
              </w:rPr>
              <w:fldChar w:fldCharType="end"/>
            </w:r>
          </w:p>
        </w:tc>
        <w:tc>
          <w:tcPr>
            <w:tcW w:w="2973" w:type="dxa"/>
            <w:tcBorders>
              <w:top w:val="single" w:sz="8" w:space="0" w:color="auto"/>
            </w:tcBorders>
            <w:hideMark/>
          </w:tcPr>
          <w:p w14:paraId="113B0D7F" w14:textId="77777777" w:rsidR="000F0341" w:rsidRPr="00BF62A1" w:rsidRDefault="000F0341" w:rsidP="00E40B0D">
            <w:pPr>
              <w:spacing w:line="240" w:lineRule="auto"/>
              <w:jc w:val="left"/>
              <w:rPr>
                <w:color w:val="000000"/>
                <w:sz w:val="14"/>
                <w:szCs w:val="14"/>
              </w:rPr>
            </w:pPr>
            <w:r w:rsidRPr="00BF62A1">
              <w:rPr>
                <w:color w:val="000000"/>
                <w:sz w:val="14"/>
                <w:szCs w:val="14"/>
              </w:rPr>
              <w:t>Major hepatectomy (Lobectomy; Extended Lobectomy)</w:t>
            </w:r>
            <w:r w:rsidRPr="00BF62A1">
              <w:rPr>
                <w:color w:val="000000"/>
                <w:sz w:val="14"/>
                <w:szCs w:val="14"/>
              </w:rPr>
              <w:br/>
            </w:r>
          </w:p>
        </w:tc>
        <w:tc>
          <w:tcPr>
            <w:tcW w:w="1843" w:type="dxa"/>
            <w:tcBorders>
              <w:top w:val="single" w:sz="8" w:space="0" w:color="auto"/>
            </w:tcBorders>
            <w:hideMark/>
          </w:tcPr>
          <w:p w14:paraId="21817DFB" w14:textId="77777777" w:rsidR="000F0341" w:rsidRPr="00BF62A1" w:rsidRDefault="000F0341" w:rsidP="00E40B0D">
            <w:pPr>
              <w:spacing w:line="240" w:lineRule="auto"/>
              <w:jc w:val="left"/>
              <w:rPr>
                <w:color w:val="000000"/>
                <w:sz w:val="14"/>
                <w:szCs w:val="14"/>
              </w:rPr>
            </w:pPr>
            <w:r w:rsidRPr="00BF62A1">
              <w:rPr>
                <w:color w:val="000000"/>
                <w:sz w:val="14"/>
                <w:szCs w:val="14"/>
              </w:rPr>
              <w:br/>
              <w:t>7528 (42.2)</w:t>
            </w:r>
            <w:r w:rsidRPr="00BF62A1">
              <w:rPr>
                <w:color w:val="000000"/>
                <w:sz w:val="14"/>
                <w:szCs w:val="14"/>
                <w:vertAlign w:val="superscript"/>
              </w:rPr>
              <w:t xml:space="preserve"> a</w:t>
            </w:r>
            <w:r w:rsidRPr="00BF62A1">
              <w:rPr>
                <w:color w:val="000000"/>
                <w:sz w:val="14"/>
                <w:szCs w:val="14"/>
              </w:rPr>
              <w:br/>
            </w:r>
          </w:p>
        </w:tc>
        <w:tc>
          <w:tcPr>
            <w:tcW w:w="1984" w:type="dxa"/>
            <w:vMerge w:val="restart"/>
            <w:tcBorders>
              <w:top w:val="single" w:sz="8" w:space="0" w:color="auto"/>
            </w:tcBorders>
            <w:noWrap/>
            <w:hideMark/>
          </w:tcPr>
          <w:p w14:paraId="7FCACC8A" w14:textId="77777777" w:rsidR="000F0341" w:rsidRPr="00BF62A1" w:rsidRDefault="000F0341" w:rsidP="00E40B0D">
            <w:pPr>
              <w:spacing w:line="240" w:lineRule="auto"/>
              <w:jc w:val="left"/>
              <w:rPr>
                <w:color w:val="000000"/>
                <w:sz w:val="14"/>
                <w:szCs w:val="14"/>
              </w:rPr>
            </w:pPr>
            <w:r w:rsidRPr="00BF62A1">
              <w:rPr>
                <w:color w:val="000000"/>
                <w:sz w:val="14"/>
                <w:szCs w:val="14"/>
              </w:rPr>
              <w:t>STORE codes: 20-59</w:t>
            </w:r>
          </w:p>
        </w:tc>
        <w:tc>
          <w:tcPr>
            <w:tcW w:w="3119" w:type="dxa"/>
            <w:vMerge w:val="restart"/>
            <w:tcBorders>
              <w:top w:val="single" w:sz="8" w:space="0" w:color="auto"/>
            </w:tcBorders>
            <w:hideMark/>
          </w:tcPr>
          <w:p w14:paraId="2215B97A" w14:textId="77777777" w:rsidR="000F0341" w:rsidRPr="00BF62A1" w:rsidRDefault="000F0341" w:rsidP="00E40B0D">
            <w:pPr>
              <w:spacing w:line="240" w:lineRule="auto"/>
              <w:jc w:val="left"/>
              <w:rPr>
                <w:color w:val="000000"/>
                <w:sz w:val="14"/>
                <w:szCs w:val="14"/>
              </w:rPr>
            </w:pPr>
            <w:r>
              <w:rPr>
                <w:color w:val="000000"/>
                <w:sz w:val="14"/>
                <w:szCs w:val="14"/>
              </w:rPr>
              <w:t>T</w:t>
            </w:r>
            <w:r w:rsidRPr="00BF62A1">
              <w:rPr>
                <w:color w:val="000000"/>
                <w:sz w:val="14"/>
                <w:szCs w:val="14"/>
              </w:rPr>
              <w:t xml:space="preserve">ransplantation, ablation or unclear; patients with unknown 90-day mortality, 30-day readmission, </w:t>
            </w:r>
            <w:r w:rsidRPr="00BF62A1">
              <w:rPr>
                <w:color w:val="000000"/>
                <w:sz w:val="14"/>
                <w:szCs w:val="14"/>
              </w:rPr>
              <w:lastRenderedPageBreak/>
              <w:t>facility type, education level, income level, and unknown insurance status</w:t>
            </w:r>
          </w:p>
        </w:tc>
        <w:tc>
          <w:tcPr>
            <w:tcW w:w="3234" w:type="dxa"/>
            <w:vMerge w:val="restart"/>
            <w:tcBorders>
              <w:top w:val="single" w:sz="8" w:space="0" w:color="auto"/>
            </w:tcBorders>
            <w:hideMark/>
          </w:tcPr>
          <w:p w14:paraId="3679542A" w14:textId="77777777" w:rsidR="000F0341" w:rsidRPr="00BF62A1" w:rsidRDefault="000F0341" w:rsidP="00E40B0D">
            <w:pPr>
              <w:spacing w:line="240" w:lineRule="auto"/>
              <w:jc w:val="left"/>
              <w:rPr>
                <w:color w:val="000000"/>
                <w:sz w:val="14"/>
                <w:szCs w:val="14"/>
              </w:rPr>
            </w:pPr>
            <w:r>
              <w:rPr>
                <w:color w:val="000000"/>
                <w:sz w:val="14"/>
                <w:szCs w:val="14"/>
              </w:rPr>
              <w:lastRenderedPageBreak/>
              <w:t>A</w:t>
            </w:r>
            <w:r w:rsidRPr="00BF62A1">
              <w:rPr>
                <w:color w:val="000000"/>
                <w:sz w:val="14"/>
                <w:szCs w:val="14"/>
              </w:rPr>
              <w:t>ge, CCI, education, facility distance, income, insurance, race, gender, year of diagnosis</w:t>
            </w:r>
          </w:p>
        </w:tc>
      </w:tr>
      <w:tr w:rsidR="000F0341" w:rsidRPr="00BF62A1" w14:paraId="0AEE9581" w14:textId="77777777" w:rsidTr="00E40B0D">
        <w:trPr>
          <w:trHeight w:val="92"/>
        </w:trPr>
        <w:tc>
          <w:tcPr>
            <w:tcW w:w="1422" w:type="dxa"/>
            <w:vMerge/>
            <w:tcBorders>
              <w:bottom w:val="single" w:sz="8" w:space="0" w:color="auto"/>
            </w:tcBorders>
          </w:tcPr>
          <w:p w14:paraId="4A09B570"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71826F4A" w14:textId="77777777" w:rsidR="000F0341" w:rsidRPr="00BF62A1" w:rsidRDefault="000F0341" w:rsidP="00E40B0D">
            <w:pPr>
              <w:spacing w:line="240" w:lineRule="auto"/>
              <w:jc w:val="left"/>
              <w:rPr>
                <w:color w:val="000000"/>
                <w:sz w:val="14"/>
                <w:szCs w:val="14"/>
              </w:rPr>
            </w:pPr>
            <w:r w:rsidRPr="00BF62A1">
              <w:rPr>
                <w:color w:val="000000"/>
                <w:sz w:val="14"/>
                <w:szCs w:val="14"/>
              </w:rPr>
              <w:t>Minor hepatectomy (Wedge resection)</w:t>
            </w:r>
          </w:p>
        </w:tc>
        <w:tc>
          <w:tcPr>
            <w:tcW w:w="1843" w:type="dxa"/>
            <w:tcBorders>
              <w:bottom w:val="single" w:sz="8" w:space="0" w:color="auto"/>
            </w:tcBorders>
          </w:tcPr>
          <w:p w14:paraId="33F44F69" w14:textId="77777777" w:rsidR="000F0341" w:rsidRPr="00BF62A1" w:rsidRDefault="000F0341" w:rsidP="00E40B0D">
            <w:pPr>
              <w:spacing w:line="240" w:lineRule="auto"/>
              <w:jc w:val="left"/>
              <w:rPr>
                <w:color w:val="000000"/>
                <w:sz w:val="14"/>
                <w:szCs w:val="14"/>
              </w:rPr>
            </w:pPr>
            <w:r w:rsidRPr="00BF62A1">
              <w:rPr>
                <w:color w:val="000000"/>
                <w:sz w:val="14"/>
                <w:szCs w:val="14"/>
              </w:rPr>
              <w:t>10305 (57.8)</w:t>
            </w:r>
            <w:r w:rsidRPr="00BF62A1">
              <w:rPr>
                <w:color w:val="000000"/>
                <w:sz w:val="14"/>
                <w:szCs w:val="14"/>
                <w:vertAlign w:val="superscript"/>
              </w:rPr>
              <w:t>a</w:t>
            </w:r>
          </w:p>
        </w:tc>
        <w:tc>
          <w:tcPr>
            <w:tcW w:w="1984" w:type="dxa"/>
            <w:vMerge/>
            <w:tcBorders>
              <w:bottom w:val="single" w:sz="8" w:space="0" w:color="auto"/>
            </w:tcBorders>
            <w:noWrap/>
          </w:tcPr>
          <w:p w14:paraId="3E974DC8"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4D8FB4F1"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1D1D5FBD" w14:textId="77777777" w:rsidR="000F0341" w:rsidRPr="00BF62A1" w:rsidRDefault="000F0341" w:rsidP="00E40B0D">
            <w:pPr>
              <w:spacing w:line="240" w:lineRule="auto"/>
              <w:jc w:val="left"/>
              <w:rPr>
                <w:color w:val="000000"/>
                <w:sz w:val="14"/>
                <w:szCs w:val="14"/>
              </w:rPr>
            </w:pPr>
          </w:p>
        </w:tc>
      </w:tr>
      <w:tr w:rsidR="000F0341" w:rsidRPr="00BF62A1" w14:paraId="76AF5D53" w14:textId="77777777" w:rsidTr="00E40B0D">
        <w:trPr>
          <w:trHeight w:val="123"/>
        </w:trPr>
        <w:tc>
          <w:tcPr>
            <w:tcW w:w="1422" w:type="dxa"/>
            <w:vMerge w:val="restart"/>
            <w:tcBorders>
              <w:top w:val="single" w:sz="8" w:space="0" w:color="auto"/>
            </w:tcBorders>
            <w:hideMark/>
          </w:tcPr>
          <w:p w14:paraId="7DEA200B"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Hunger 2019 </w:t>
            </w:r>
            <w:r w:rsidRPr="00BF62A1">
              <w:rPr>
                <w:color w:val="000000"/>
                <w:sz w:val="14"/>
                <w:szCs w:val="14"/>
              </w:rPr>
              <w:fldChar w:fldCharType="begin"/>
            </w:r>
            <w:r>
              <w:rPr>
                <w:color w:val="000000"/>
                <w:sz w:val="14"/>
                <w:szCs w:val="14"/>
              </w:rPr>
              <w:instrText xml:space="preserve"> ADDIN ZOTERO_ITEM CSL_CITATION {"citationID":"ss8TlVzM","properties":{"formattedCitation":"[73]","plainCitation":"[73]","noteIndex":0},"citationItems":[{"id":14233,"uris":["http://zotero.org/groups/4983919/items/V82UQ8T4"],"itemData":{"id":14233,"type":"article-journal","abstract":"BACKGROUND: Approximately one-quarter of patients with colorectal carcinoma develop colorectal liver metastases (CRLM). Surgical treatment with curative intent by hepatic resection is the standard medical care. While some studies with small sample sizes have investigated the relationship between hospital procedure volume and in-hospital mortality for this diagnosis, no population-based study has been conducted. The present study was aimed at closing this gap. METHODS: Based on administrative population-based hospital discharge data (Diagnosis Related Group Statistic), patients diagnosed with CRLM and treated with hepatic resection from 2011 to 2015 were identified. The hospital operation-volume effect on risk-adjusted in-hospital mortality was examined by logistic regression models. RESULTS: During the study period, 5900 patients with CRLM were treated with hepatic resection, of whom 189 (3.2%) died before hospital discharge. Hospitals of different operation-volume quartiles did not differ in terms of mortality rates. Sensitivity analysis investigating the volume-mortality relationship separately for every resection procedure showed no clear result. Procedure frequencies vary among hospitals of different volume quartiles, with low-volume hospitals performing systematically more low-risk procedures (in terms of reduced mortality rate), than high-volume hospitals. CONCLUSION: Based on almost complete German hospital discharge data, the results did not confirm unconditional volume-outcome relationship for CRLM patients.","container-title":"J Hepatobiliary Pancreat Sci","DOI":"10.1002/jhbp.680","ISSN":"1868-6974","issue":"12","language":"eng","note":"publisher-place: Department of General and Visceral Surgery, Brandenburg Medical School Theodor Fontane, Municipal Hospital Brandenburg, Brandenburg a. d. Havel, Germany.","page":"548-556","title":"Hospital volume and mortality in liver resections for colorectal metastasis using population-based administrative data","volume":"26","author":[{"family":"Hunger","given":"R."},{"family":"Mantke","given":"A."},{"family":"Herrmann","given":"C."},{"family":"Grimm","given":"A. L."},{"family":"Ludwig","given":"J."},{"family":"Mantke","given":"R."}],"issued":{"date-parts":[["2019",12]]}}}],"schema":"https://github.com/citation-style-language/schema/raw/master/csl-citation.json"} </w:instrText>
            </w:r>
            <w:r w:rsidRPr="00BF62A1">
              <w:rPr>
                <w:color w:val="000000"/>
                <w:sz w:val="14"/>
                <w:szCs w:val="14"/>
              </w:rPr>
              <w:fldChar w:fldCharType="separate"/>
            </w:r>
            <w:r w:rsidRPr="004125CE">
              <w:rPr>
                <w:sz w:val="14"/>
              </w:rPr>
              <w:t>[73]</w:t>
            </w:r>
            <w:r w:rsidRPr="00BF62A1">
              <w:rPr>
                <w:color w:val="000000"/>
                <w:sz w:val="14"/>
                <w:szCs w:val="14"/>
              </w:rPr>
              <w:fldChar w:fldCharType="end"/>
            </w:r>
          </w:p>
        </w:tc>
        <w:tc>
          <w:tcPr>
            <w:tcW w:w="2973" w:type="dxa"/>
            <w:tcBorders>
              <w:top w:val="single" w:sz="8" w:space="0" w:color="auto"/>
            </w:tcBorders>
            <w:hideMark/>
          </w:tcPr>
          <w:p w14:paraId="19DC5051" w14:textId="77777777" w:rsidR="000F0341" w:rsidRPr="00BF62A1" w:rsidRDefault="000F0341" w:rsidP="00E40B0D">
            <w:pPr>
              <w:spacing w:line="240" w:lineRule="auto"/>
              <w:jc w:val="left"/>
              <w:rPr>
                <w:color w:val="000000"/>
                <w:sz w:val="14"/>
                <w:szCs w:val="14"/>
              </w:rPr>
            </w:pPr>
            <w:r w:rsidRPr="00BF62A1">
              <w:rPr>
                <w:color w:val="000000"/>
                <w:sz w:val="14"/>
                <w:szCs w:val="14"/>
              </w:rPr>
              <w:t>Single segment resection</w:t>
            </w:r>
          </w:p>
        </w:tc>
        <w:tc>
          <w:tcPr>
            <w:tcW w:w="1843" w:type="dxa"/>
            <w:tcBorders>
              <w:top w:val="single" w:sz="8" w:space="0" w:color="auto"/>
            </w:tcBorders>
            <w:hideMark/>
          </w:tcPr>
          <w:p w14:paraId="3401F2E4" w14:textId="77777777" w:rsidR="000F0341" w:rsidRPr="00BF62A1" w:rsidRDefault="000F0341" w:rsidP="00E40B0D">
            <w:pPr>
              <w:spacing w:line="240" w:lineRule="auto"/>
              <w:jc w:val="left"/>
              <w:rPr>
                <w:color w:val="000000"/>
                <w:sz w:val="14"/>
                <w:szCs w:val="14"/>
              </w:rPr>
            </w:pPr>
            <w:r w:rsidRPr="00BF62A1">
              <w:rPr>
                <w:color w:val="000000"/>
                <w:sz w:val="14"/>
                <w:szCs w:val="14"/>
              </w:rPr>
              <w:t>1752</w:t>
            </w:r>
            <w:r w:rsidRPr="00BF62A1">
              <w:rPr>
                <w:color w:val="000000"/>
                <w:sz w:val="14"/>
                <w:szCs w:val="14"/>
              </w:rPr>
              <w:br/>
            </w:r>
          </w:p>
        </w:tc>
        <w:tc>
          <w:tcPr>
            <w:tcW w:w="1984" w:type="dxa"/>
            <w:vMerge w:val="restart"/>
            <w:tcBorders>
              <w:top w:val="single" w:sz="8" w:space="0" w:color="auto"/>
            </w:tcBorders>
            <w:hideMark/>
          </w:tcPr>
          <w:p w14:paraId="49CFE8E6" w14:textId="77777777" w:rsidR="000F0341" w:rsidRPr="00864538" w:rsidRDefault="000F0341" w:rsidP="00E40B0D">
            <w:pPr>
              <w:spacing w:line="240" w:lineRule="auto"/>
              <w:jc w:val="left"/>
              <w:rPr>
                <w:color w:val="000000"/>
                <w:sz w:val="14"/>
                <w:szCs w:val="14"/>
                <w:lang w:val="fr-FR"/>
              </w:rPr>
            </w:pPr>
            <w:r w:rsidRPr="00864538">
              <w:rPr>
                <w:color w:val="000000"/>
                <w:sz w:val="14"/>
                <w:szCs w:val="14"/>
                <w:lang w:val="fr-FR"/>
              </w:rPr>
              <w:t>OPS-Codes 5-502.0-5 / ICD-9 CM C78.7, C18.0</w:t>
            </w:r>
          </w:p>
        </w:tc>
        <w:tc>
          <w:tcPr>
            <w:tcW w:w="3119" w:type="dxa"/>
            <w:vMerge w:val="restart"/>
            <w:tcBorders>
              <w:top w:val="single" w:sz="8" w:space="0" w:color="auto"/>
            </w:tcBorders>
            <w:hideMark/>
          </w:tcPr>
          <w:p w14:paraId="482691C0" w14:textId="77777777" w:rsidR="000F0341" w:rsidRPr="00BF62A1" w:rsidRDefault="000F0341" w:rsidP="00E40B0D">
            <w:pPr>
              <w:spacing w:line="240" w:lineRule="auto"/>
              <w:jc w:val="left"/>
              <w:rPr>
                <w:color w:val="000000"/>
                <w:sz w:val="14"/>
                <w:szCs w:val="14"/>
              </w:rPr>
            </w:pPr>
            <w:r w:rsidRPr="00BF62A1">
              <w:rPr>
                <w:color w:val="000000"/>
                <w:sz w:val="14"/>
                <w:szCs w:val="14"/>
              </w:rPr>
              <w:t>OPS code</w:t>
            </w:r>
            <w:r>
              <w:rPr>
                <w:color w:val="000000"/>
                <w:sz w:val="14"/>
                <w:szCs w:val="14"/>
              </w:rPr>
              <w:t>:</w:t>
            </w:r>
            <w:r w:rsidRPr="00BF62A1">
              <w:rPr>
                <w:color w:val="000000"/>
                <w:sz w:val="14"/>
                <w:szCs w:val="14"/>
              </w:rPr>
              <w:t xml:space="preserve"> 5-502.6</w:t>
            </w:r>
          </w:p>
        </w:tc>
        <w:tc>
          <w:tcPr>
            <w:tcW w:w="3234" w:type="dxa"/>
            <w:vMerge w:val="restart"/>
            <w:tcBorders>
              <w:top w:val="single" w:sz="8" w:space="0" w:color="auto"/>
            </w:tcBorders>
            <w:hideMark/>
          </w:tcPr>
          <w:p w14:paraId="0AB2568F" w14:textId="77777777" w:rsidR="000F0341" w:rsidRPr="00BF62A1" w:rsidRDefault="000F0341" w:rsidP="00E40B0D">
            <w:pPr>
              <w:spacing w:line="240" w:lineRule="auto"/>
              <w:jc w:val="left"/>
              <w:rPr>
                <w:color w:val="000000"/>
                <w:sz w:val="14"/>
                <w:szCs w:val="14"/>
              </w:rPr>
            </w:pPr>
            <w:r>
              <w:rPr>
                <w:color w:val="000000"/>
                <w:sz w:val="14"/>
                <w:szCs w:val="14"/>
              </w:rPr>
              <w:t>A</w:t>
            </w:r>
            <w:r w:rsidRPr="00BF62A1">
              <w:rPr>
                <w:color w:val="000000"/>
                <w:sz w:val="14"/>
                <w:szCs w:val="14"/>
              </w:rPr>
              <w:t>ge (5-year groups), admission source, clustering, ECI, patient characteristics, gender</w:t>
            </w:r>
          </w:p>
        </w:tc>
      </w:tr>
      <w:tr w:rsidR="000F0341" w:rsidRPr="00BF62A1" w14:paraId="3B5B4050" w14:textId="77777777" w:rsidTr="00E40B0D">
        <w:trPr>
          <w:trHeight w:val="123"/>
        </w:trPr>
        <w:tc>
          <w:tcPr>
            <w:tcW w:w="1422" w:type="dxa"/>
            <w:vMerge/>
          </w:tcPr>
          <w:p w14:paraId="409C2DE4" w14:textId="77777777" w:rsidR="000F0341" w:rsidRPr="00BF62A1" w:rsidRDefault="000F0341" w:rsidP="00E40B0D">
            <w:pPr>
              <w:spacing w:line="240" w:lineRule="auto"/>
              <w:jc w:val="left"/>
              <w:rPr>
                <w:color w:val="000000"/>
                <w:sz w:val="14"/>
                <w:szCs w:val="14"/>
              </w:rPr>
            </w:pPr>
          </w:p>
        </w:tc>
        <w:tc>
          <w:tcPr>
            <w:tcW w:w="2973" w:type="dxa"/>
          </w:tcPr>
          <w:p w14:paraId="42995DAB" w14:textId="77777777" w:rsidR="000F0341" w:rsidRPr="00BF62A1" w:rsidRDefault="000F0341" w:rsidP="00E40B0D">
            <w:pPr>
              <w:spacing w:line="240" w:lineRule="auto"/>
              <w:jc w:val="left"/>
              <w:rPr>
                <w:color w:val="000000"/>
                <w:sz w:val="14"/>
                <w:szCs w:val="14"/>
              </w:rPr>
            </w:pPr>
            <w:r w:rsidRPr="00BF62A1">
              <w:rPr>
                <w:color w:val="000000"/>
                <w:sz w:val="14"/>
                <w:szCs w:val="14"/>
              </w:rPr>
              <w:t>Left hepatectomy</w:t>
            </w:r>
          </w:p>
        </w:tc>
        <w:tc>
          <w:tcPr>
            <w:tcW w:w="1843" w:type="dxa"/>
          </w:tcPr>
          <w:p w14:paraId="10AB3ACC" w14:textId="77777777" w:rsidR="000F0341" w:rsidRPr="00BF62A1" w:rsidRDefault="000F0341" w:rsidP="00E40B0D">
            <w:pPr>
              <w:spacing w:line="240" w:lineRule="auto"/>
              <w:jc w:val="left"/>
              <w:rPr>
                <w:color w:val="000000"/>
                <w:sz w:val="14"/>
                <w:szCs w:val="14"/>
              </w:rPr>
            </w:pPr>
            <w:r w:rsidRPr="00BF62A1">
              <w:rPr>
                <w:color w:val="000000"/>
                <w:sz w:val="14"/>
                <w:szCs w:val="14"/>
              </w:rPr>
              <w:t>514</w:t>
            </w:r>
          </w:p>
        </w:tc>
        <w:tc>
          <w:tcPr>
            <w:tcW w:w="1984" w:type="dxa"/>
            <w:vMerge/>
          </w:tcPr>
          <w:p w14:paraId="13FB5723" w14:textId="77777777" w:rsidR="000F0341" w:rsidRPr="00BF62A1" w:rsidRDefault="000F0341" w:rsidP="00E40B0D">
            <w:pPr>
              <w:spacing w:line="240" w:lineRule="auto"/>
              <w:jc w:val="left"/>
              <w:rPr>
                <w:color w:val="000000"/>
                <w:sz w:val="14"/>
                <w:szCs w:val="14"/>
              </w:rPr>
            </w:pPr>
          </w:p>
        </w:tc>
        <w:tc>
          <w:tcPr>
            <w:tcW w:w="3119" w:type="dxa"/>
            <w:vMerge/>
          </w:tcPr>
          <w:p w14:paraId="2C4AA7F1" w14:textId="77777777" w:rsidR="000F0341" w:rsidRPr="00BF62A1" w:rsidRDefault="000F0341" w:rsidP="00E40B0D">
            <w:pPr>
              <w:spacing w:line="240" w:lineRule="auto"/>
              <w:jc w:val="left"/>
              <w:rPr>
                <w:color w:val="000000"/>
                <w:sz w:val="14"/>
                <w:szCs w:val="14"/>
              </w:rPr>
            </w:pPr>
          </w:p>
        </w:tc>
        <w:tc>
          <w:tcPr>
            <w:tcW w:w="3234" w:type="dxa"/>
            <w:vMerge/>
          </w:tcPr>
          <w:p w14:paraId="4719944E" w14:textId="77777777" w:rsidR="000F0341" w:rsidRPr="00BF62A1" w:rsidRDefault="000F0341" w:rsidP="00E40B0D">
            <w:pPr>
              <w:spacing w:line="240" w:lineRule="auto"/>
              <w:jc w:val="left"/>
              <w:rPr>
                <w:color w:val="000000"/>
                <w:sz w:val="14"/>
                <w:szCs w:val="14"/>
              </w:rPr>
            </w:pPr>
          </w:p>
        </w:tc>
      </w:tr>
      <w:tr w:rsidR="000F0341" w:rsidRPr="00BF62A1" w14:paraId="4F46571B" w14:textId="77777777" w:rsidTr="00E40B0D">
        <w:trPr>
          <w:trHeight w:val="123"/>
        </w:trPr>
        <w:tc>
          <w:tcPr>
            <w:tcW w:w="1422" w:type="dxa"/>
            <w:vMerge/>
          </w:tcPr>
          <w:p w14:paraId="36BF1DF2" w14:textId="77777777" w:rsidR="000F0341" w:rsidRPr="00BF62A1" w:rsidRDefault="000F0341" w:rsidP="00E40B0D">
            <w:pPr>
              <w:spacing w:line="240" w:lineRule="auto"/>
              <w:jc w:val="left"/>
              <w:rPr>
                <w:color w:val="000000"/>
                <w:sz w:val="14"/>
                <w:szCs w:val="14"/>
              </w:rPr>
            </w:pPr>
          </w:p>
        </w:tc>
        <w:tc>
          <w:tcPr>
            <w:tcW w:w="2973" w:type="dxa"/>
          </w:tcPr>
          <w:p w14:paraId="5CECA16F" w14:textId="77777777" w:rsidR="000F0341" w:rsidRPr="00BF62A1" w:rsidRDefault="000F0341" w:rsidP="00E40B0D">
            <w:pPr>
              <w:spacing w:line="240" w:lineRule="auto"/>
              <w:jc w:val="left"/>
              <w:rPr>
                <w:color w:val="000000"/>
                <w:sz w:val="14"/>
                <w:szCs w:val="14"/>
              </w:rPr>
            </w:pPr>
            <w:r w:rsidRPr="00BF62A1">
              <w:rPr>
                <w:color w:val="000000"/>
                <w:sz w:val="14"/>
                <w:szCs w:val="14"/>
              </w:rPr>
              <w:t>Right hepatectomy</w:t>
            </w:r>
          </w:p>
        </w:tc>
        <w:tc>
          <w:tcPr>
            <w:tcW w:w="1843" w:type="dxa"/>
          </w:tcPr>
          <w:p w14:paraId="7CF9F4F7" w14:textId="77777777" w:rsidR="000F0341" w:rsidRPr="00BF62A1" w:rsidRDefault="000F0341" w:rsidP="00E40B0D">
            <w:pPr>
              <w:spacing w:line="240" w:lineRule="auto"/>
              <w:jc w:val="left"/>
              <w:rPr>
                <w:color w:val="000000"/>
                <w:sz w:val="14"/>
                <w:szCs w:val="14"/>
              </w:rPr>
            </w:pPr>
            <w:r w:rsidRPr="00BF62A1">
              <w:rPr>
                <w:color w:val="000000"/>
                <w:sz w:val="14"/>
                <w:szCs w:val="14"/>
              </w:rPr>
              <w:t>1533</w:t>
            </w:r>
          </w:p>
        </w:tc>
        <w:tc>
          <w:tcPr>
            <w:tcW w:w="1984" w:type="dxa"/>
            <w:vMerge/>
          </w:tcPr>
          <w:p w14:paraId="1C37992D" w14:textId="77777777" w:rsidR="000F0341" w:rsidRPr="00BF62A1" w:rsidRDefault="000F0341" w:rsidP="00E40B0D">
            <w:pPr>
              <w:spacing w:line="240" w:lineRule="auto"/>
              <w:jc w:val="left"/>
              <w:rPr>
                <w:color w:val="000000"/>
                <w:sz w:val="14"/>
                <w:szCs w:val="14"/>
              </w:rPr>
            </w:pPr>
          </w:p>
        </w:tc>
        <w:tc>
          <w:tcPr>
            <w:tcW w:w="3119" w:type="dxa"/>
            <w:vMerge/>
          </w:tcPr>
          <w:p w14:paraId="1BFC0720" w14:textId="77777777" w:rsidR="000F0341" w:rsidRPr="00BF62A1" w:rsidRDefault="000F0341" w:rsidP="00E40B0D">
            <w:pPr>
              <w:spacing w:line="240" w:lineRule="auto"/>
              <w:jc w:val="left"/>
              <w:rPr>
                <w:color w:val="000000"/>
                <w:sz w:val="14"/>
                <w:szCs w:val="14"/>
              </w:rPr>
            </w:pPr>
          </w:p>
        </w:tc>
        <w:tc>
          <w:tcPr>
            <w:tcW w:w="3234" w:type="dxa"/>
            <w:vMerge/>
          </w:tcPr>
          <w:p w14:paraId="2EAA1DCF" w14:textId="77777777" w:rsidR="000F0341" w:rsidRPr="00BF62A1" w:rsidRDefault="000F0341" w:rsidP="00E40B0D">
            <w:pPr>
              <w:spacing w:line="240" w:lineRule="auto"/>
              <w:jc w:val="left"/>
              <w:rPr>
                <w:color w:val="000000"/>
                <w:sz w:val="14"/>
                <w:szCs w:val="14"/>
              </w:rPr>
            </w:pPr>
          </w:p>
        </w:tc>
      </w:tr>
      <w:tr w:rsidR="000F0341" w:rsidRPr="00BF62A1" w14:paraId="6FFB239A" w14:textId="77777777" w:rsidTr="00E40B0D">
        <w:trPr>
          <w:trHeight w:val="123"/>
        </w:trPr>
        <w:tc>
          <w:tcPr>
            <w:tcW w:w="1422" w:type="dxa"/>
            <w:vMerge/>
          </w:tcPr>
          <w:p w14:paraId="58887688" w14:textId="77777777" w:rsidR="000F0341" w:rsidRPr="00BF62A1" w:rsidRDefault="000F0341" w:rsidP="00E40B0D">
            <w:pPr>
              <w:spacing w:line="240" w:lineRule="auto"/>
              <w:jc w:val="left"/>
              <w:rPr>
                <w:color w:val="000000"/>
                <w:sz w:val="14"/>
                <w:szCs w:val="14"/>
              </w:rPr>
            </w:pPr>
          </w:p>
        </w:tc>
        <w:tc>
          <w:tcPr>
            <w:tcW w:w="2973" w:type="dxa"/>
          </w:tcPr>
          <w:p w14:paraId="06382370" w14:textId="77777777" w:rsidR="000F0341" w:rsidRPr="00BF62A1" w:rsidRDefault="000F0341" w:rsidP="00E40B0D">
            <w:pPr>
              <w:spacing w:line="240" w:lineRule="auto"/>
              <w:jc w:val="left"/>
              <w:rPr>
                <w:color w:val="000000"/>
                <w:sz w:val="14"/>
                <w:szCs w:val="14"/>
              </w:rPr>
            </w:pPr>
            <w:r w:rsidRPr="00BF62A1">
              <w:rPr>
                <w:color w:val="000000"/>
                <w:sz w:val="14"/>
                <w:szCs w:val="14"/>
              </w:rPr>
              <w:t>Right tresectionectomy</w:t>
            </w:r>
          </w:p>
        </w:tc>
        <w:tc>
          <w:tcPr>
            <w:tcW w:w="1843" w:type="dxa"/>
          </w:tcPr>
          <w:p w14:paraId="32B445F9" w14:textId="77777777" w:rsidR="000F0341" w:rsidRPr="00BF62A1" w:rsidRDefault="000F0341" w:rsidP="00E40B0D">
            <w:pPr>
              <w:spacing w:line="240" w:lineRule="auto"/>
              <w:jc w:val="left"/>
              <w:rPr>
                <w:color w:val="000000"/>
                <w:sz w:val="14"/>
                <w:szCs w:val="14"/>
              </w:rPr>
            </w:pPr>
            <w:r w:rsidRPr="00BF62A1">
              <w:rPr>
                <w:color w:val="000000"/>
                <w:sz w:val="14"/>
                <w:szCs w:val="14"/>
              </w:rPr>
              <w:t>408</w:t>
            </w:r>
          </w:p>
        </w:tc>
        <w:tc>
          <w:tcPr>
            <w:tcW w:w="1984" w:type="dxa"/>
            <w:vMerge/>
          </w:tcPr>
          <w:p w14:paraId="48ED2378" w14:textId="77777777" w:rsidR="000F0341" w:rsidRPr="00BF62A1" w:rsidRDefault="000F0341" w:rsidP="00E40B0D">
            <w:pPr>
              <w:spacing w:line="240" w:lineRule="auto"/>
              <w:jc w:val="left"/>
              <w:rPr>
                <w:color w:val="000000"/>
                <w:sz w:val="14"/>
                <w:szCs w:val="14"/>
              </w:rPr>
            </w:pPr>
          </w:p>
        </w:tc>
        <w:tc>
          <w:tcPr>
            <w:tcW w:w="3119" w:type="dxa"/>
            <w:vMerge/>
          </w:tcPr>
          <w:p w14:paraId="4C768D68" w14:textId="77777777" w:rsidR="000F0341" w:rsidRPr="00BF62A1" w:rsidRDefault="000F0341" w:rsidP="00E40B0D">
            <w:pPr>
              <w:spacing w:line="240" w:lineRule="auto"/>
              <w:jc w:val="left"/>
              <w:rPr>
                <w:color w:val="000000"/>
                <w:sz w:val="14"/>
                <w:szCs w:val="14"/>
              </w:rPr>
            </w:pPr>
          </w:p>
        </w:tc>
        <w:tc>
          <w:tcPr>
            <w:tcW w:w="3234" w:type="dxa"/>
            <w:vMerge/>
          </w:tcPr>
          <w:p w14:paraId="7B1BAE50" w14:textId="77777777" w:rsidR="000F0341" w:rsidRPr="00BF62A1" w:rsidRDefault="000F0341" w:rsidP="00E40B0D">
            <w:pPr>
              <w:spacing w:line="240" w:lineRule="auto"/>
              <w:jc w:val="left"/>
              <w:rPr>
                <w:color w:val="000000"/>
                <w:sz w:val="14"/>
                <w:szCs w:val="14"/>
              </w:rPr>
            </w:pPr>
          </w:p>
        </w:tc>
      </w:tr>
      <w:tr w:rsidR="000F0341" w:rsidRPr="00BF62A1" w14:paraId="0B20F446" w14:textId="77777777" w:rsidTr="00E40B0D">
        <w:trPr>
          <w:trHeight w:val="123"/>
        </w:trPr>
        <w:tc>
          <w:tcPr>
            <w:tcW w:w="1422" w:type="dxa"/>
            <w:vMerge/>
          </w:tcPr>
          <w:p w14:paraId="1091C48F" w14:textId="77777777" w:rsidR="000F0341" w:rsidRPr="00BF62A1" w:rsidRDefault="000F0341" w:rsidP="00E40B0D">
            <w:pPr>
              <w:spacing w:line="240" w:lineRule="auto"/>
              <w:jc w:val="left"/>
              <w:rPr>
                <w:color w:val="000000"/>
                <w:sz w:val="14"/>
                <w:szCs w:val="14"/>
              </w:rPr>
            </w:pPr>
          </w:p>
        </w:tc>
        <w:tc>
          <w:tcPr>
            <w:tcW w:w="2973" w:type="dxa"/>
          </w:tcPr>
          <w:p w14:paraId="432E4DEF" w14:textId="77777777" w:rsidR="000F0341" w:rsidRPr="00BF62A1" w:rsidRDefault="000F0341" w:rsidP="00E40B0D">
            <w:pPr>
              <w:spacing w:line="240" w:lineRule="auto"/>
              <w:jc w:val="left"/>
              <w:rPr>
                <w:color w:val="000000"/>
                <w:sz w:val="14"/>
                <w:szCs w:val="14"/>
              </w:rPr>
            </w:pPr>
            <w:r w:rsidRPr="00BF62A1">
              <w:rPr>
                <w:color w:val="000000"/>
                <w:sz w:val="14"/>
                <w:szCs w:val="14"/>
              </w:rPr>
              <w:t>Resection of other segment combination</w:t>
            </w:r>
          </w:p>
        </w:tc>
        <w:tc>
          <w:tcPr>
            <w:tcW w:w="1843" w:type="dxa"/>
          </w:tcPr>
          <w:p w14:paraId="62709533" w14:textId="77777777" w:rsidR="000F0341" w:rsidRPr="00BF62A1" w:rsidRDefault="000F0341" w:rsidP="00E40B0D">
            <w:pPr>
              <w:spacing w:line="240" w:lineRule="auto"/>
              <w:jc w:val="left"/>
              <w:rPr>
                <w:color w:val="000000"/>
                <w:sz w:val="14"/>
                <w:szCs w:val="14"/>
              </w:rPr>
            </w:pPr>
            <w:r w:rsidRPr="00BF62A1">
              <w:rPr>
                <w:color w:val="000000"/>
                <w:sz w:val="14"/>
                <w:szCs w:val="14"/>
              </w:rPr>
              <w:t>1319</w:t>
            </w:r>
          </w:p>
        </w:tc>
        <w:tc>
          <w:tcPr>
            <w:tcW w:w="1984" w:type="dxa"/>
            <w:vMerge/>
          </w:tcPr>
          <w:p w14:paraId="1418BB64" w14:textId="77777777" w:rsidR="000F0341" w:rsidRPr="00BF62A1" w:rsidRDefault="000F0341" w:rsidP="00E40B0D">
            <w:pPr>
              <w:spacing w:line="240" w:lineRule="auto"/>
              <w:jc w:val="left"/>
              <w:rPr>
                <w:color w:val="000000"/>
                <w:sz w:val="14"/>
                <w:szCs w:val="14"/>
              </w:rPr>
            </w:pPr>
          </w:p>
        </w:tc>
        <w:tc>
          <w:tcPr>
            <w:tcW w:w="3119" w:type="dxa"/>
            <w:vMerge/>
          </w:tcPr>
          <w:p w14:paraId="13D9BA75" w14:textId="77777777" w:rsidR="000F0341" w:rsidRPr="00BF62A1" w:rsidRDefault="000F0341" w:rsidP="00E40B0D">
            <w:pPr>
              <w:spacing w:line="240" w:lineRule="auto"/>
              <w:jc w:val="left"/>
              <w:rPr>
                <w:color w:val="000000"/>
                <w:sz w:val="14"/>
                <w:szCs w:val="14"/>
              </w:rPr>
            </w:pPr>
          </w:p>
        </w:tc>
        <w:tc>
          <w:tcPr>
            <w:tcW w:w="3234" w:type="dxa"/>
            <w:vMerge/>
          </w:tcPr>
          <w:p w14:paraId="22D2C6CA" w14:textId="77777777" w:rsidR="000F0341" w:rsidRPr="00BF62A1" w:rsidRDefault="000F0341" w:rsidP="00E40B0D">
            <w:pPr>
              <w:spacing w:line="240" w:lineRule="auto"/>
              <w:jc w:val="left"/>
              <w:rPr>
                <w:color w:val="000000"/>
                <w:sz w:val="14"/>
                <w:szCs w:val="14"/>
              </w:rPr>
            </w:pPr>
          </w:p>
        </w:tc>
      </w:tr>
      <w:tr w:rsidR="000F0341" w:rsidRPr="00BF62A1" w14:paraId="4F47E71F" w14:textId="77777777" w:rsidTr="00E40B0D">
        <w:trPr>
          <w:trHeight w:val="123"/>
        </w:trPr>
        <w:tc>
          <w:tcPr>
            <w:tcW w:w="1422" w:type="dxa"/>
            <w:vMerge/>
          </w:tcPr>
          <w:p w14:paraId="0A47E073" w14:textId="77777777" w:rsidR="000F0341" w:rsidRPr="00BF62A1" w:rsidRDefault="000F0341" w:rsidP="00E40B0D">
            <w:pPr>
              <w:spacing w:line="240" w:lineRule="auto"/>
              <w:jc w:val="left"/>
              <w:rPr>
                <w:color w:val="000000"/>
                <w:sz w:val="14"/>
                <w:szCs w:val="14"/>
              </w:rPr>
            </w:pPr>
          </w:p>
        </w:tc>
        <w:tc>
          <w:tcPr>
            <w:tcW w:w="2973" w:type="dxa"/>
          </w:tcPr>
          <w:p w14:paraId="027A460A" w14:textId="77777777" w:rsidR="000F0341" w:rsidRPr="00BF62A1" w:rsidRDefault="000F0341" w:rsidP="00E40B0D">
            <w:pPr>
              <w:spacing w:line="240" w:lineRule="auto"/>
              <w:jc w:val="left"/>
              <w:rPr>
                <w:color w:val="000000"/>
                <w:sz w:val="14"/>
                <w:szCs w:val="14"/>
              </w:rPr>
            </w:pPr>
            <w:r w:rsidRPr="00BF62A1">
              <w:rPr>
                <w:color w:val="000000"/>
                <w:sz w:val="14"/>
                <w:szCs w:val="14"/>
              </w:rPr>
              <w:t>Left lateral sectionectomy</w:t>
            </w:r>
          </w:p>
        </w:tc>
        <w:tc>
          <w:tcPr>
            <w:tcW w:w="1843" w:type="dxa"/>
          </w:tcPr>
          <w:p w14:paraId="27DDB232" w14:textId="77777777" w:rsidR="000F0341" w:rsidRPr="00BF62A1" w:rsidRDefault="000F0341" w:rsidP="00E40B0D">
            <w:pPr>
              <w:spacing w:line="240" w:lineRule="auto"/>
              <w:jc w:val="left"/>
              <w:rPr>
                <w:color w:val="000000"/>
                <w:sz w:val="14"/>
                <w:szCs w:val="14"/>
              </w:rPr>
            </w:pPr>
            <w:r w:rsidRPr="00BF62A1">
              <w:rPr>
                <w:color w:val="000000"/>
                <w:sz w:val="14"/>
                <w:szCs w:val="14"/>
              </w:rPr>
              <w:t>730</w:t>
            </w:r>
          </w:p>
        </w:tc>
        <w:tc>
          <w:tcPr>
            <w:tcW w:w="1984" w:type="dxa"/>
            <w:vMerge/>
          </w:tcPr>
          <w:p w14:paraId="7F09E35B" w14:textId="77777777" w:rsidR="000F0341" w:rsidRPr="00BF62A1" w:rsidRDefault="000F0341" w:rsidP="00E40B0D">
            <w:pPr>
              <w:spacing w:line="240" w:lineRule="auto"/>
              <w:jc w:val="left"/>
              <w:rPr>
                <w:color w:val="000000"/>
                <w:sz w:val="14"/>
                <w:szCs w:val="14"/>
              </w:rPr>
            </w:pPr>
          </w:p>
        </w:tc>
        <w:tc>
          <w:tcPr>
            <w:tcW w:w="3119" w:type="dxa"/>
            <w:vMerge/>
          </w:tcPr>
          <w:p w14:paraId="39641DEF" w14:textId="77777777" w:rsidR="000F0341" w:rsidRPr="00BF62A1" w:rsidRDefault="000F0341" w:rsidP="00E40B0D">
            <w:pPr>
              <w:spacing w:line="240" w:lineRule="auto"/>
              <w:jc w:val="left"/>
              <w:rPr>
                <w:color w:val="000000"/>
                <w:sz w:val="14"/>
                <w:szCs w:val="14"/>
              </w:rPr>
            </w:pPr>
          </w:p>
        </w:tc>
        <w:tc>
          <w:tcPr>
            <w:tcW w:w="3234" w:type="dxa"/>
            <w:vMerge/>
          </w:tcPr>
          <w:p w14:paraId="50DD27AD" w14:textId="77777777" w:rsidR="000F0341" w:rsidRPr="00BF62A1" w:rsidRDefault="000F0341" w:rsidP="00E40B0D">
            <w:pPr>
              <w:spacing w:line="240" w:lineRule="auto"/>
              <w:jc w:val="left"/>
              <w:rPr>
                <w:color w:val="000000"/>
                <w:sz w:val="14"/>
                <w:szCs w:val="14"/>
              </w:rPr>
            </w:pPr>
          </w:p>
        </w:tc>
      </w:tr>
      <w:tr w:rsidR="000F0341" w:rsidRPr="00BF62A1" w14:paraId="3ECA12B0" w14:textId="77777777" w:rsidTr="00E40B0D">
        <w:trPr>
          <w:trHeight w:val="125"/>
        </w:trPr>
        <w:tc>
          <w:tcPr>
            <w:tcW w:w="1422" w:type="dxa"/>
            <w:vMerge w:val="restart"/>
            <w:hideMark/>
          </w:tcPr>
          <w:p w14:paraId="147A70D9"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Idrees 2018 </w:t>
            </w:r>
            <w:r w:rsidRPr="00BF62A1">
              <w:rPr>
                <w:color w:val="000000"/>
                <w:sz w:val="14"/>
                <w:szCs w:val="14"/>
              </w:rPr>
              <w:fldChar w:fldCharType="begin"/>
            </w:r>
            <w:r>
              <w:rPr>
                <w:color w:val="000000"/>
                <w:sz w:val="14"/>
                <w:szCs w:val="14"/>
              </w:rPr>
              <w:instrText xml:space="preserve"> ADDIN ZOTERO_ITEM CSL_CITATION {"citationID":"FvDbB1ZA","properties":{"formattedCitation":"[51]","plainCitation":"[51]","noteIndex":0},"citationItems":[{"id":14028,"uris":["http://zotero.org/groups/4983919/items/ZNE4B3X4"],"itemData":{"id":14028,"type":"article-journal","abstract":"OBJECTIVE: To estimate the cost of rescue and cost of failure and determine cost-effectiveness of rescue from major complications at high-volume (HV) and low-volume (LV) centers METHODS: Ninety-six thousand one hundred seven patients undergoing liver resection were identified from the Nationwide Inpatient Sample (NIS) between 2002 and 2011. The incremental cost of rescue and cost of FTR were calculated. Using propensity-matched cohorts, a cost-effectiveness analysis was performed to determine the incremental cost-effectiveness ratio (ICER) between HV and LV hospitals. RESULTS: Ninety-six thousand one hundred seven patients were identified in NIS. The overall mortality was 2.3% and was lowest in HV centers (HV 1.4% vs. MV 2.1% vs. LV 2.6%; p &lt; 0.001). Major complications occurred in 14.9% of hepatectomies and were comparable regardless of volume (HV 14.2% vs. MV 14.3% vs. LV 15.4%; p &lt; 0.001). The FTR rate was substantially lower among HV centers (HV 7.7%, MV 11%, LV 12%; p &lt; 0.001). At a willingness to pay benchmark of $50,000 per year of life saved, both HV (ICER = $3296) and MV (ICER = $4182) centers were cost-effective at rescuing patients from a major complication compared to LV hospitals. CONCLUSION: Not only was FTR less common at HV hospitals, but the management of most major complications was cost-effective at higher volume centers.","container-title":"J Gastrointest Surg","DOI":"10.1007/s11605-018-3826-6","ISSN":"1091-255x","issue":"10","language":"eng","page":"1688-1696","title":"The Cost of Failure: Assessing the Cost-Effectiveness of Rescuing Patients from Major Complications After Liver Resection Using the National Inpatient Sample","volume":"22","author":[{"family":"Idrees","given":"J. J."},{"family":"Kimbrough","given":"C. W."},{"family":"Rosinski","given":"B. F."},{"family":"Schmidt","given":"C."},{"family":"Dillhoff","given":"M. E."},{"family":"Beal","given":"E. W."},{"family":"Bagante","given":"F."},{"family":"Merath","given":"K."},{"family":"Chen","given":"Q."},{"family":"Cloyd","given":"J. M."},{"family":"Ellison","given":"E. C."},{"family":"Pawlik","given":"T. M."}],"issued":{"date-parts":[["2018",10]]}}}],"schema":"https://github.com/citation-style-language/schema/raw/master/csl-citation.json"} </w:instrText>
            </w:r>
            <w:r w:rsidRPr="00BF62A1">
              <w:rPr>
                <w:color w:val="000000"/>
                <w:sz w:val="14"/>
                <w:szCs w:val="14"/>
              </w:rPr>
              <w:fldChar w:fldCharType="separate"/>
            </w:r>
            <w:r w:rsidRPr="004125CE">
              <w:rPr>
                <w:sz w:val="14"/>
              </w:rPr>
              <w:t>[51]</w:t>
            </w:r>
            <w:r w:rsidRPr="00BF62A1">
              <w:rPr>
                <w:color w:val="000000"/>
                <w:sz w:val="14"/>
                <w:szCs w:val="14"/>
              </w:rPr>
              <w:fldChar w:fldCharType="end"/>
            </w:r>
          </w:p>
        </w:tc>
        <w:tc>
          <w:tcPr>
            <w:tcW w:w="2973" w:type="dxa"/>
            <w:hideMark/>
          </w:tcPr>
          <w:p w14:paraId="3847ED7B" w14:textId="77777777" w:rsidR="000F0341" w:rsidRPr="00BF62A1" w:rsidRDefault="000F0341" w:rsidP="00E40B0D">
            <w:pPr>
              <w:spacing w:line="240" w:lineRule="auto"/>
              <w:jc w:val="left"/>
              <w:rPr>
                <w:color w:val="000000"/>
                <w:sz w:val="14"/>
                <w:szCs w:val="14"/>
              </w:rPr>
            </w:pPr>
            <w:r w:rsidRPr="00BF62A1">
              <w:rPr>
                <w:color w:val="000000"/>
                <w:sz w:val="14"/>
                <w:szCs w:val="14"/>
              </w:rPr>
              <w:t>Lobectomy</w:t>
            </w:r>
            <w:r w:rsidRPr="00BF62A1">
              <w:rPr>
                <w:color w:val="000000"/>
                <w:sz w:val="14"/>
                <w:szCs w:val="14"/>
              </w:rPr>
              <w:br/>
            </w:r>
          </w:p>
        </w:tc>
        <w:tc>
          <w:tcPr>
            <w:tcW w:w="1843" w:type="dxa"/>
            <w:hideMark/>
          </w:tcPr>
          <w:p w14:paraId="3A6E4773" w14:textId="77777777" w:rsidR="000F0341" w:rsidRPr="00BF62A1" w:rsidRDefault="000F0341" w:rsidP="00E40B0D">
            <w:pPr>
              <w:spacing w:line="240" w:lineRule="auto"/>
              <w:jc w:val="left"/>
              <w:rPr>
                <w:color w:val="000000"/>
                <w:sz w:val="14"/>
                <w:szCs w:val="14"/>
              </w:rPr>
            </w:pPr>
            <w:r w:rsidRPr="00BF62A1">
              <w:rPr>
                <w:color w:val="000000"/>
                <w:sz w:val="14"/>
                <w:szCs w:val="14"/>
              </w:rPr>
              <w:t>29697</w:t>
            </w:r>
            <w:r w:rsidRPr="00BF62A1">
              <w:rPr>
                <w:color w:val="000000"/>
                <w:sz w:val="14"/>
                <w:szCs w:val="14"/>
                <w:vertAlign w:val="superscript"/>
              </w:rPr>
              <w:t xml:space="preserve"> a</w:t>
            </w:r>
            <w:r w:rsidRPr="00BF62A1">
              <w:rPr>
                <w:color w:val="000000"/>
                <w:sz w:val="14"/>
                <w:szCs w:val="14"/>
              </w:rPr>
              <w:t xml:space="preserve"> (30.1)</w:t>
            </w:r>
            <w:r w:rsidRPr="00BF62A1">
              <w:rPr>
                <w:color w:val="000000"/>
                <w:sz w:val="14"/>
                <w:szCs w:val="14"/>
              </w:rPr>
              <w:br/>
            </w:r>
          </w:p>
        </w:tc>
        <w:tc>
          <w:tcPr>
            <w:tcW w:w="1984" w:type="dxa"/>
            <w:vMerge w:val="restart"/>
            <w:hideMark/>
          </w:tcPr>
          <w:p w14:paraId="33B7D05C" w14:textId="77777777" w:rsidR="000F0341" w:rsidRPr="00BF62A1" w:rsidRDefault="000F0341" w:rsidP="00E40B0D">
            <w:pPr>
              <w:spacing w:line="240" w:lineRule="auto"/>
              <w:jc w:val="left"/>
              <w:rPr>
                <w:color w:val="000000"/>
                <w:sz w:val="14"/>
                <w:szCs w:val="14"/>
              </w:rPr>
            </w:pPr>
            <w:r w:rsidRPr="00BF62A1">
              <w:rPr>
                <w:color w:val="000000"/>
                <w:sz w:val="14"/>
                <w:szCs w:val="14"/>
              </w:rPr>
              <w:t>ICD-9-CM: 50.3, 50.22</w:t>
            </w:r>
          </w:p>
        </w:tc>
        <w:tc>
          <w:tcPr>
            <w:tcW w:w="3119" w:type="dxa"/>
            <w:vMerge w:val="restart"/>
            <w:hideMark/>
          </w:tcPr>
          <w:p w14:paraId="2DC11B23" w14:textId="77777777" w:rsidR="000F0341" w:rsidRPr="00BF62A1" w:rsidRDefault="000F0341" w:rsidP="00E40B0D">
            <w:pPr>
              <w:spacing w:line="240" w:lineRule="auto"/>
              <w:jc w:val="left"/>
              <w:rPr>
                <w:color w:val="000000"/>
                <w:sz w:val="14"/>
                <w:szCs w:val="14"/>
              </w:rPr>
            </w:pPr>
            <w:r w:rsidRPr="00BF62A1">
              <w:rPr>
                <w:color w:val="000000"/>
                <w:sz w:val="14"/>
                <w:szCs w:val="14"/>
              </w:rPr>
              <w:t>Patients aged &lt;18 years, emergency surgery, transplantation, total hepatectomies</w:t>
            </w:r>
          </w:p>
        </w:tc>
        <w:tc>
          <w:tcPr>
            <w:tcW w:w="3234" w:type="dxa"/>
            <w:vMerge w:val="restart"/>
            <w:hideMark/>
          </w:tcPr>
          <w:p w14:paraId="643ACCA7" w14:textId="77777777" w:rsidR="000F0341" w:rsidRPr="00BF62A1" w:rsidRDefault="000F0341" w:rsidP="00E40B0D">
            <w:pPr>
              <w:spacing w:line="240" w:lineRule="auto"/>
              <w:jc w:val="left"/>
              <w:rPr>
                <w:color w:val="000000"/>
                <w:sz w:val="14"/>
                <w:szCs w:val="14"/>
              </w:rPr>
            </w:pPr>
            <w:r>
              <w:rPr>
                <w:color w:val="000000"/>
                <w:sz w:val="14"/>
                <w:szCs w:val="14"/>
              </w:rPr>
              <w:t>A</w:t>
            </w:r>
            <w:r w:rsidRPr="00BF62A1">
              <w:rPr>
                <w:color w:val="000000"/>
                <w:sz w:val="14"/>
                <w:szCs w:val="14"/>
              </w:rPr>
              <w:t>ge, bed size, cci, clustering at the hospital level, hospital charactersticis (area, hospital type), race, gender</w:t>
            </w:r>
          </w:p>
        </w:tc>
      </w:tr>
      <w:tr w:rsidR="000F0341" w:rsidRPr="00BF62A1" w14:paraId="328DF34F" w14:textId="77777777" w:rsidTr="00E40B0D">
        <w:trPr>
          <w:trHeight w:val="124"/>
        </w:trPr>
        <w:tc>
          <w:tcPr>
            <w:tcW w:w="1422" w:type="dxa"/>
            <w:vMerge/>
            <w:tcBorders>
              <w:bottom w:val="single" w:sz="8" w:space="0" w:color="auto"/>
            </w:tcBorders>
          </w:tcPr>
          <w:p w14:paraId="693BB29E"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32403895" w14:textId="77777777" w:rsidR="000F0341" w:rsidRPr="00BF62A1" w:rsidRDefault="000F0341" w:rsidP="00E40B0D">
            <w:pPr>
              <w:spacing w:line="240" w:lineRule="auto"/>
              <w:jc w:val="left"/>
              <w:rPr>
                <w:color w:val="000000"/>
                <w:sz w:val="14"/>
                <w:szCs w:val="14"/>
              </w:rPr>
            </w:pPr>
            <w:r w:rsidRPr="00BF62A1">
              <w:rPr>
                <w:color w:val="000000"/>
                <w:sz w:val="14"/>
                <w:szCs w:val="14"/>
              </w:rPr>
              <w:t>Partial resection</w:t>
            </w:r>
          </w:p>
        </w:tc>
        <w:tc>
          <w:tcPr>
            <w:tcW w:w="1843" w:type="dxa"/>
            <w:tcBorders>
              <w:bottom w:val="single" w:sz="8" w:space="0" w:color="auto"/>
            </w:tcBorders>
          </w:tcPr>
          <w:p w14:paraId="64C77628" w14:textId="77777777" w:rsidR="000F0341" w:rsidRPr="00BF62A1" w:rsidRDefault="000F0341" w:rsidP="00E40B0D">
            <w:pPr>
              <w:spacing w:line="240" w:lineRule="auto"/>
              <w:jc w:val="left"/>
              <w:rPr>
                <w:color w:val="000000"/>
                <w:sz w:val="14"/>
                <w:szCs w:val="14"/>
              </w:rPr>
            </w:pPr>
            <w:r w:rsidRPr="00BF62A1">
              <w:rPr>
                <w:color w:val="000000"/>
                <w:sz w:val="14"/>
                <w:szCs w:val="14"/>
              </w:rPr>
              <w:t>66409</w:t>
            </w:r>
            <w:r w:rsidRPr="00BF62A1">
              <w:rPr>
                <w:color w:val="000000"/>
                <w:sz w:val="14"/>
                <w:szCs w:val="14"/>
                <w:vertAlign w:val="superscript"/>
              </w:rPr>
              <w:t>a</w:t>
            </w:r>
            <w:r w:rsidRPr="00BF62A1">
              <w:rPr>
                <w:color w:val="000000"/>
                <w:sz w:val="14"/>
                <w:szCs w:val="14"/>
              </w:rPr>
              <w:t xml:space="preserve"> (69.1)</w:t>
            </w:r>
          </w:p>
        </w:tc>
        <w:tc>
          <w:tcPr>
            <w:tcW w:w="1984" w:type="dxa"/>
            <w:vMerge/>
            <w:tcBorders>
              <w:bottom w:val="single" w:sz="8" w:space="0" w:color="auto"/>
            </w:tcBorders>
          </w:tcPr>
          <w:p w14:paraId="530CC80D"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2C638DAA"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023E7EAA" w14:textId="77777777" w:rsidR="000F0341" w:rsidRPr="00BF62A1" w:rsidRDefault="000F0341" w:rsidP="00E40B0D">
            <w:pPr>
              <w:spacing w:line="240" w:lineRule="auto"/>
              <w:jc w:val="left"/>
              <w:rPr>
                <w:color w:val="000000"/>
                <w:sz w:val="14"/>
                <w:szCs w:val="14"/>
              </w:rPr>
            </w:pPr>
          </w:p>
        </w:tc>
      </w:tr>
      <w:tr w:rsidR="000F0341" w:rsidRPr="00BF62A1" w14:paraId="255C4E45" w14:textId="77777777" w:rsidTr="00E40B0D">
        <w:trPr>
          <w:trHeight w:val="171"/>
        </w:trPr>
        <w:tc>
          <w:tcPr>
            <w:tcW w:w="1422" w:type="dxa"/>
            <w:tcBorders>
              <w:top w:val="single" w:sz="8" w:space="0" w:color="auto"/>
              <w:bottom w:val="single" w:sz="8" w:space="0" w:color="auto"/>
            </w:tcBorders>
            <w:hideMark/>
          </w:tcPr>
          <w:p w14:paraId="0ABBF658" w14:textId="30F5024B" w:rsidR="000F0341" w:rsidRPr="00BF62A1" w:rsidRDefault="000F0341" w:rsidP="00E40B0D">
            <w:pPr>
              <w:spacing w:line="240" w:lineRule="auto"/>
              <w:jc w:val="left"/>
              <w:rPr>
                <w:color w:val="000000"/>
                <w:sz w:val="14"/>
                <w:szCs w:val="14"/>
              </w:rPr>
            </w:pPr>
            <w:r w:rsidRPr="00BF62A1">
              <w:rPr>
                <w:color w:val="000000"/>
                <w:sz w:val="14"/>
                <w:szCs w:val="14"/>
              </w:rPr>
              <w:t xml:space="preserve">Kohn 2010 </w:t>
            </w:r>
            <w:r w:rsidRPr="00BF62A1">
              <w:rPr>
                <w:color w:val="000000"/>
                <w:sz w:val="14"/>
                <w:szCs w:val="14"/>
              </w:rPr>
              <w:fldChar w:fldCharType="begin"/>
            </w:r>
            <w:r>
              <w:rPr>
                <w:color w:val="000000"/>
                <w:sz w:val="14"/>
                <w:szCs w:val="14"/>
              </w:rPr>
              <w:instrText xml:space="preserve"> ADDIN ZOTERO_ITEM CSL_CITATION {"citationID":"D98atPpR","properties":{"formattedCitation":"[77]","plainCitation":"[77]","noteIndex":0},"citationItems":[{"id":14289,"uris":["http://zotero.org/groups/4983919/items/LTUKP4H4"],"itemData":{"id":14289,"type":"article-journal","abstract":"BACKGROUND: Positive volume-outcomes relationships have been demonstrated for hepatic resection using arbitrary criteria to define high-volume centers. The safety of training programs has not been evaluated. The association of surgical volume, as a continuous variable and the influence of a surgical residency and a fellowship program on outcomes after major hepatectomy were determined. METHODS: The Nationwide Inpatient Sample (NIS) was queried from 1998 to 2006. Quantification of patients' comorbidities was made using the Charlson index, and mortality, and complication rates were determined. Institutions' annual case volumes were correlated with risk-adjusted outcomes over time, as well as presence or absence of residency or fellowship training program using logistic regression modeling. RESULTS: A total of 5,298 major hepatectomies were recorded, representing a weighted nationwide total of 26,396 cases. In-hospital unadjusted mortality for the study period was 6%. Adjusting for comorbidities, greater major hepatectomy volume was associated with improvements in the incidence of most measured complications, with plateauing of mortality of between 2% and 3% at approximately 50 cases per year. The mortality rate increased once greater than approximately 70 cases were performed per annum. Hospitals supporting a surgical residency program had lower overall morbidity and mortality. A fellowship program however was not associated with overall lower morbidity and mortality and appeared to result in a higher rate of certain complications. CONCLUSIONS: Greater annual major hepatectomy volume improves outcomes with reduced mortality up to a certain point. The presence of surgical residency program but not a fellowship program is associated with reduced predicted morbidity and mortality.","container-title":"J Gastrointest Surg","DOI":"10.1007/s11605-010-1310-z","ISSN":"1091-255x","issue":"12","language":"eng","page":"1981-9","title":"The effect of surgical volume and the provision of residency and fellowship training on complications of major hepatic resection","volume":"14","author":[{"family":"Kohn","given":"G. P."},{"family":"Nikfarjam","given":"M."}],"issued":{"date-parts":[["2010",12]]}}}],"schema":"https://github.com/citation-style-language/schema/raw/master/csl-citation.json"} </w:instrText>
            </w:r>
            <w:r w:rsidRPr="00BF62A1">
              <w:rPr>
                <w:color w:val="000000"/>
                <w:sz w:val="14"/>
                <w:szCs w:val="14"/>
              </w:rPr>
              <w:fldChar w:fldCharType="separate"/>
            </w:r>
            <w:r w:rsidRPr="004125CE">
              <w:rPr>
                <w:sz w:val="14"/>
              </w:rPr>
              <w:t>[7</w:t>
            </w:r>
            <w:r w:rsidR="00D03F0D">
              <w:rPr>
                <w:sz w:val="14"/>
              </w:rPr>
              <w:t>4</w:t>
            </w:r>
            <w:r w:rsidRPr="004125CE">
              <w:rPr>
                <w:sz w:val="14"/>
              </w:rPr>
              <w:t>]</w:t>
            </w:r>
            <w:r w:rsidRPr="00BF62A1">
              <w:rPr>
                <w:color w:val="000000"/>
                <w:sz w:val="14"/>
                <w:szCs w:val="14"/>
              </w:rPr>
              <w:fldChar w:fldCharType="end"/>
            </w:r>
          </w:p>
        </w:tc>
        <w:tc>
          <w:tcPr>
            <w:tcW w:w="2973" w:type="dxa"/>
            <w:tcBorders>
              <w:top w:val="single" w:sz="8" w:space="0" w:color="auto"/>
              <w:bottom w:val="single" w:sz="8" w:space="0" w:color="auto"/>
            </w:tcBorders>
            <w:hideMark/>
          </w:tcPr>
          <w:p w14:paraId="67E653E0" w14:textId="77777777" w:rsidR="000F0341" w:rsidRPr="00BF62A1" w:rsidRDefault="000F0341" w:rsidP="00E40B0D">
            <w:pPr>
              <w:spacing w:line="240" w:lineRule="auto"/>
              <w:jc w:val="left"/>
              <w:rPr>
                <w:color w:val="000000"/>
                <w:sz w:val="14"/>
                <w:szCs w:val="14"/>
              </w:rPr>
            </w:pPr>
            <w:r w:rsidRPr="00BF62A1">
              <w:rPr>
                <w:color w:val="000000"/>
                <w:sz w:val="14"/>
                <w:szCs w:val="14"/>
              </w:rPr>
              <w:t>Major hepatectomy</w:t>
            </w:r>
          </w:p>
        </w:tc>
        <w:tc>
          <w:tcPr>
            <w:tcW w:w="1843" w:type="dxa"/>
            <w:tcBorders>
              <w:top w:val="single" w:sz="8" w:space="0" w:color="auto"/>
              <w:bottom w:val="single" w:sz="8" w:space="0" w:color="auto"/>
            </w:tcBorders>
            <w:noWrap/>
            <w:hideMark/>
          </w:tcPr>
          <w:p w14:paraId="0A2CA446" w14:textId="77777777" w:rsidR="000F0341" w:rsidRPr="00BF62A1" w:rsidRDefault="000F0341" w:rsidP="00E40B0D">
            <w:pPr>
              <w:spacing w:line="240" w:lineRule="auto"/>
              <w:jc w:val="left"/>
              <w:rPr>
                <w:color w:val="000000"/>
                <w:sz w:val="14"/>
                <w:szCs w:val="14"/>
              </w:rPr>
            </w:pPr>
            <w:r w:rsidRPr="00BF62A1">
              <w:rPr>
                <w:color w:val="000000"/>
                <w:sz w:val="14"/>
                <w:szCs w:val="14"/>
              </w:rPr>
              <w:t>5298</w:t>
            </w:r>
          </w:p>
        </w:tc>
        <w:tc>
          <w:tcPr>
            <w:tcW w:w="1984" w:type="dxa"/>
            <w:tcBorders>
              <w:top w:val="single" w:sz="8" w:space="0" w:color="auto"/>
              <w:bottom w:val="single" w:sz="8" w:space="0" w:color="auto"/>
            </w:tcBorders>
            <w:hideMark/>
          </w:tcPr>
          <w:p w14:paraId="6DA6DA7B" w14:textId="77777777" w:rsidR="000F0341" w:rsidRPr="00BF62A1" w:rsidRDefault="000F0341" w:rsidP="00E40B0D">
            <w:pPr>
              <w:spacing w:line="240" w:lineRule="auto"/>
              <w:jc w:val="left"/>
              <w:rPr>
                <w:color w:val="000000"/>
                <w:sz w:val="14"/>
                <w:szCs w:val="14"/>
              </w:rPr>
            </w:pPr>
            <w:r w:rsidRPr="00BF62A1">
              <w:rPr>
                <w:color w:val="000000"/>
                <w:sz w:val="14"/>
                <w:szCs w:val="14"/>
              </w:rPr>
              <w:t>ICD-9-CM: 50.3 or ‘greater’</w:t>
            </w:r>
          </w:p>
        </w:tc>
        <w:tc>
          <w:tcPr>
            <w:tcW w:w="3119" w:type="dxa"/>
            <w:tcBorders>
              <w:top w:val="single" w:sz="8" w:space="0" w:color="auto"/>
              <w:bottom w:val="single" w:sz="8" w:space="0" w:color="auto"/>
            </w:tcBorders>
            <w:hideMark/>
          </w:tcPr>
          <w:p w14:paraId="3518A4B5" w14:textId="77777777" w:rsidR="000F0341" w:rsidRPr="00BF62A1" w:rsidRDefault="000F0341" w:rsidP="00E40B0D">
            <w:pPr>
              <w:spacing w:line="240" w:lineRule="auto"/>
              <w:jc w:val="left"/>
              <w:rPr>
                <w:color w:val="000000"/>
                <w:sz w:val="14"/>
                <w:szCs w:val="14"/>
              </w:rPr>
            </w:pPr>
            <w:r>
              <w:rPr>
                <w:color w:val="000000"/>
                <w:sz w:val="14"/>
                <w:szCs w:val="14"/>
              </w:rPr>
              <w:t>M</w:t>
            </w:r>
            <w:r w:rsidRPr="00BF62A1">
              <w:rPr>
                <w:color w:val="000000"/>
                <w:sz w:val="14"/>
                <w:szCs w:val="14"/>
              </w:rPr>
              <w:t xml:space="preserve">inor hepatectomy or wedge resection (ICD-9 codes 50.2, 50.22, 50.29), liver transplantation (ICD-9 codes 50.4 and 50.5) </w:t>
            </w:r>
          </w:p>
        </w:tc>
        <w:tc>
          <w:tcPr>
            <w:tcW w:w="3234" w:type="dxa"/>
            <w:tcBorders>
              <w:top w:val="single" w:sz="8" w:space="0" w:color="auto"/>
              <w:bottom w:val="single" w:sz="8" w:space="0" w:color="auto"/>
            </w:tcBorders>
            <w:hideMark/>
          </w:tcPr>
          <w:p w14:paraId="0D738FB2" w14:textId="77777777" w:rsidR="000F0341" w:rsidRPr="00BF62A1" w:rsidRDefault="000F0341" w:rsidP="00E40B0D">
            <w:pPr>
              <w:spacing w:line="240" w:lineRule="auto"/>
              <w:jc w:val="left"/>
              <w:rPr>
                <w:color w:val="000000"/>
                <w:sz w:val="14"/>
                <w:szCs w:val="14"/>
              </w:rPr>
            </w:pPr>
            <w:r w:rsidRPr="00BF62A1">
              <w:rPr>
                <w:color w:val="000000"/>
                <w:sz w:val="14"/>
                <w:szCs w:val="14"/>
              </w:rPr>
              <w:t>CCI, surgery year</w:t>
            </w:r>
          </w:p>
        </w:tc>
      </w:tr>
      <w:tr w:rsidR="000F0341" w:rsidRPr="00BF62A1" w14:paraId="2F33133B" w14:textId="77777777" w:rsidTr="00E40B0D">
        <w:trPr>
          <w:trHeight w:val="107"/>
        </w:trPr>
        <w:tc>
          <w:tcPr>
            <w:tcW w:w="1422" w:type="dxa"/>
            <w:vMerge w:val="restart"/>
            <w:tcBorders>
              <w:top w:val="single" w:sz="8" w:space="0" w:color="auto"/>
            </w:tcBorders>
            <w:hideMark/>
          </w:tcPr>
          <w:p w14:paraId="61338628" w14:textId="1ED61A74" w:rsidR="000F0341" w:rsidRPr="00BF62A1" w:rsidRDefault="000F0341" w:rsidP="00E40B0D">
            <w:pPr>
              <w:spacing w:line="240" w:lineRule="auto"/>
              <w:jc w:val="left"/>
              <w:rPr>
                <w:color w:val="000000"/>
                <w:sz w:val="14"/>
                <w:szCs w:val="14"/>
              </w:rPr>
            </w:pPr>
            <w:r w:rsidRPr="00BF62A1">
              <w:rPr>
                <w:color w:val="000000"/>
                <w:sz w:val="14"/>
                <w:szCs w:val="14"/>
              </w:rPr>
              <w:t xml:space="preserve">Krautz 2020 </w:t>
            </w:r>
            <w:r w:rsidRPr="00BF62A1">
              <w:rPr>
                <w:color w:val="000000"/>
                <w:sz w:val="14"/>
                <w:szCs w:val="14"/>
              </w:rPr>
              <w:fldChar w:fldCharType="begin"/>
            </w:r>
            <w:r>
              <w:rPr>
                <w:color w:val="000000"/>
                <w:sz w:val="14"/>
                <w:szCs w:val="14"/>
              </w:rPr>
              <w:instrText xml:space="preserve"> ADDIN ZOTERO_ITEM CSL_CITATION {"citationID":"soecgjQy","properties":{"formattedCitation":"[75]","plainCitation":"[75]","noteIndex":0},"citationItems":[{"id":14177,"uris":["http://zotero.org/groups/4983919/items/VVCH96K8"],"itemData":{"id":14177,"type":"article-journal","abstract":"BACKGROUND: Recent observational studies on volume-outcome associations in hepatobiliary surgery were not designed to account for the varying extent of hepatobiliary resections and the consequential risk of perioperative morbidity and mortality. Therefore, this study aimed to determine the risk-adjusted in-hospital mortality for minor and major hepatobiliary resections at the national level in Germany and to examine the effect of hospital volume on in-hospital mortality, and failure to rescue. METHODS: All inpatient cases of hepatobiliary surgery (n = 31,114) in Germany from 2009 to 2015 were studied using national hospital discharge data. After ranking hospitals according to increasing hospital volumes, five volume categories were established based on all hepatobiliary resections. The association between hospital volume and in-hospital mortality following minor and major hepatobiliary resections was evaluated by multivariable regression methods. RESULTS: Minor hepatobiliary resections were associated with an overall mortality rate of 3.9% and showed no significant volume-outcome associations. In contrast, overall mortality rate of major hepatobiliary resections was 10.3%. In this cohort, risk-adjusted in-hospital mortality following major resections varied widely across hospital volume categories, from 11.4% (95% CI 10.4-12.5) in very low volume hospitals to 7.4% (95% CI 6.6-8.2) in very high volume hospitals (risk-adjusted OR 0.59, 95% CI 0.41-0.54). Moreover, rates of failure to rescue decreased from 29.38% (95% CI 26.7-32.2) in very low volume hospitals to 21.38% (95% CI 19.2-23.8) in very high volume hospitals. CONCLUSIONS: In Germany, patients who are undergoing major hepatobiliary resections have improved outcomes, if they are admitted to higher volume hospitals. However, such associations are not evident following minor hepatobiliary resections. Following major hepatobiliary resections, 70-80% of the excess mortality in very low volume hospitals was estimated to be attributable to failure to rescue.","container-title":"BMC Surg","DOI":"10.1186/s12893-020-00817-5","ISSN":"1471-2482","issue":"1","language":"eng","note":"publisher-place: Universitätsklinikum Erlangen, Friedrich-Alexander-Universität Erlangen-Nürnberg, Klinik für Allgemein- und Viszeralchirurgie, Krankenhausstraße 12, 91054, Erlangen, Germany. christian.krautz@uk-erlangen.de. Friedrich-Alexander-Universität Erlangen-Nürnberg, Institut für Medizininformatik, Biometrie und Epidemiologie, Waldstraße 6, 91054, Erlangen, Germany. Technische Universität Berlin, Department of Health Care Management, Straße des 17. Juni 135, 10623, Berlin, Germany. Technische Universität Berlin, Department for Structural Advancement and Quality Management in Health Care, Straße des 17. Juni 135, 10623, Berlin, Germany. Universitätsklinikum Erlangen, Friedrich-Alexander-Universität Erlangen-Nürnberg, Klinik für Allgemein- und Viszeralchirurgie, Krankenhausstraße 12, 91054, Erlangen, Germany.","page":"171","title":"In-hospital mortality and failure to rescue following hepatobiliary surgery in Germany - a nationwide analysis","volume":"20","author":[{"family":"Krautz","given":"C."},{"family":"Gall","given":"C."},{"family":"Gefeller","given":"O."},{"family":"Nimptsch","given":"U."},{"family":"Mansky","given":"T."},{"family":"Brunner","given":"M."},{"family":"Weber","given":"G. F."},{"family":"Grützmann","given":"R."},{"family":"Kersting","given":"S."}],"issued":{"date-parts":[["2020",7]]}}}],"schema":"https://github.com/citation-style-language/schema/raw/master/csl-citation.json"} </w:instrText>
            </w:r>
            <w:r w:rsidRPr="00BF62A1">
              <w:rPr>
                <w:color w:val="000000"/>
                <w:sz w:val="14"/>
                <w:szCs w:val="14"/>
              </w:rPr>
              <w:fldChar w:fldCharType="separate"/>
            </w:r>
            <w:r w:rsidRPr="004125CE">
              <w:rPr>
                <w:sz w:val="14"/>
              </w:rPr>
              <w:t>[</w:t>
            </w:r>
            <w:r w:rsidR="00D03F0D">
              <w:rPr>
                <w:sz w:val="14"/>
              </w:rPr>
              <w:t>2</w:t>
            </w:r>
            <w:r w:rsidRPr="004125CE">
              <w:rPr>
                <w:sz w:val="14"/>
              </w:rPr>
              <w:t>]</w:t>
            </w:r>
            <w:r w:rsidRPr="00BF62A1">
              <w:rPr>
                <w:color w:val="000000"/>
                <w:sz w:val="14"/>
                <w:szCs w:val="14"/>
              </w:rPr>
              <w:fldChar w:fldCharType="end"/>
            </w:r>
          </w:p>
        </w:tc>
        <w:tc>
          <w:tcPr>
            <w:tcW w:w="2973" w:type="dxa"/>
            <w:tcBorders>
              <w:top w:val="single" w:sz="8" w:space="0" w:color="auto"/>
            </w:tcBorders>
            <w:hideMark/>
          </w:tcPr>
          <w:p w14:paraId="10AE8540" w14:textId="77777777" w:rsidR="000F0341" w:rsidRPr="00493118" w:rsidRDefault="000F0341" w:rsidP="00E40B0D">
            <w:pPr>
              <w:spacing w:line="240" w:lineRule="auto"/>
              <w:jc w:val="left"/>
              <w:rPr>
                <w:b/>
                <w:bCs/>
                <w:color w:val="000000"/>
                <w:sz w:val="14"/>
                <w:szCs w:val="14"/>
              </w:rPr>
            </w:pPr>
            <w:r w:rsidRPr="00493118">
              <w:rPr>
                <w:b/>
                <w:bCs/>
                <w:color w:val="000000"/>
                <w:sz w:val="14"/>
                <w:szCs w:val="14"/>
              </w:rPr>
              <w:t>Major hepatectomies:</w:t>
            </w:r>
          </w:p>
        </w:tc>
        <w:tc>
          <w:tcPr>
            <w:tcW w:w="1843" w:type="dxa"/>
            <w:tcBorders>
              <w:top w:val="single" w:sz="8" w:space="0" w:color="auto"/>
            </w:tcBorders>
            <w:hideMark/>
          </w:tcPr>
          <w:p w14:paraId="123A9E20" w14:textId="77777777" w:rsidR="000F0341" w:rsidRPr="00BF62A1" w:rsidRDefault="000F0341" w:rsidP="00E40B0D">
            <w:pPr>
              <w:spacing w:line="240" w:lineRule="auto"/>
              <w:jc w:val="left"/>
              <w:rPr>
                <w:color w:val="000000"/>
                <w:sz w:val="14"/>
                <w:szCs w:val="14"/>
              </w:rPr>
            </w:pPr>
            <w:r w:rsidRPr="00BF62A1">
              <w:rPr>
                <w:color w:val="000000"/>
                <w:sz w:val="14"/>
                <w:szCs w:val="14"/>
              </w:rPr>
              <w:t>Major:</w:t>
            </w:r>
            <w:r w:rsidRPr="00BF62A1">
              <w:rPr>
                <w:color w:val="000000"/>
                <w:sz w:val="14"/>
                <w:szCs w:val="14"/>
              </w:rPr>
              <w:br/>
            </w:r>
          </w:p>
        </w:tc>
        <w:tc>
          <w:tcPr>
            <w:tcW w:w="1984" w:type="dxa"/>
            <w:vMerge w:val="restart"/>
            <w:tcBorders>
              <w:top w:val="single" w:sz="8" w:space="0" w:color="auto"/>
            </w:tcBorders>
            <w:noWrap/>
            <w:hideMark/>
          </w:tcPr>
          <w:p w14:paraId="6DD0FC1A" w14:textId="77777777" w:rsidR="000F0341" w:rsidRPr="00BF62A1" w:rsidRDefault="000F0341" w:rsidP="00E40B0D">
            <w:pPr>
              <w:spacing w:line="240" w:lineRule="auto"/>
              <w:jc w:val="left"/>
              <w:rPr>
                <w:color w:val="000000"/>
                <w:sz w:val="14"/>
                <w:szCs w:val="14"/>
              </w:rPr>
            </w:pPr>
            <w:r w:rsidRPr="00BF62A1">
              <w:rPr>
                <w:color w:val="000000"/>
                <w:sz w:val="14"/>
                <w:szCs w:val="14"/>
              </w:rPr>
              <w:t>OPS-Codes 5-502.1-6</w:t>
            </w:r>
          </w:p>
        </w:tc>
        <w:tc>
          <w:tcPr>
            <w:tcW w:w="3119" w:type="dxa"/>
            <w:vMerge w:val="restart"/>
            <w:tcBorders>
              <w:top w:val="single" w:sz="8" w:space="0" w:color="auto"/>
            </w:tcBorders>
            <w:hideMark/>
          </w:tcPr>
          <w:p w14:paraId="0564606B" w14:textId="77777777" w:rsidR="000F0341" w:rsidRPr="00BF62A1" w:rsidRDefault="000F0341" w:rsidP="00E40B0D">
            <w:pPr>
              <w:spacing w:line="240" w:lineRule="auto"/>
              <w:jc w:val="left"/>
              <w:rPr>
                <w:color w:val="000000"/>
                <w:sz w:val="14"/>
                <w:szCs w:val="14"/>
              </w:rPr>
            </w:pPr>
            <w:r>
              <w:rPr>
                <w:color w:val="000000"/>
                <w:sz w:val="14"/>
                <w:szCs w:val="14"/>
              </w:rPr>
              <w:t>A</w:t>
            </w:r>
            <w:r w:rsidRPr="00BF62A1">
              <w:rPr>
                <w:color w:val="000000"/>
                <w:sz w:val="14"/>
                <w:szCs w:val="14"/>
              </w:rPr>
              <w:t xml:space="preserve">typical resections; age &lt;20; cases with procedure codes for post-mortem hepatectomy, liver transplantation, liver graft resection (OPS 5-503 5-504); </w:t>
            </w:r>
          </w:p>
        </w:tc>
        <w:tc>
          <w:tcPr>
            <w:tcW w:w="3234" w:type="dxa"/>
            <w:vMerge w:val="restart"/>
            <w:tcBorders>
              <w:top w:val="single" w:sz="8" w:space="0" w:color="auto"/>
            </w:tcBorders>
            <w:hideMark/>
          </w:tcPr>
          <w:p w14:paraId="76D39CCB" w14:textId="77777777" w:rsidR="000F0341" w:rsidRPr="00BF62A1" w:rsidRDefault="000F0341" w:rsidP="00E40B0D">
            <w:pPr>
              <w:spacing w:line="240" w:lineRule="auto"/>
              <w:jc w:val="left"/>
              <w:rPr>
                <w:color w:val="000000"/>
                <w:sz w:val="14"/>
                <w:szCs w:val="14"/>
              </w:rPr>
            </w:pPr>
            <w:r>
              <w:rPr>
                <w:color w:val="000000"/>
                <w:sz w:val="14"/>
                <w:szCs w:val="14"/>
              </w:rPr>
              <w:t>A</w:t>
            </w:r>
            <w:r w:rsidRPr="00BF62A1">
              <w:rPr>
                <w:color w:val="000000"/>
                <w:sz w:val="14"/>
                <w:szCs w:val="14"/>
              </w:rPr>
              <w:t>ge, comorbidities, indication, gender, surgery type, year of surgery</w:t>
            </w:r>
          </w:p>
        </w:tc>
      </w:tr>
      <w:tr w:rsidR="000F0341" w:rsidRPr="00BF62A1" w14:paraId="6929932F" w14:textId="77777777" w:rsidTr="00E40B0D">
        <w:trPr>
          <w:trHeight w:val="68"/>
        </w:trPr>
        <w:tc>
          <w:tcPr>
            <w:tcW w:w="1422" w:type="dxa"/>
            <w:vMerge/>
          </w:tcPr>
          <w:p w14:paraId="55757F19" w14:textId="77777777" w:rsidR="000F0341" w:rsidRPr="00BF62A1" w:rsidRDefault="000F0341" w:rsidP="00E40B0D">
            <w:pPr>
              <w:spacing w:line="240" w:lineRule="auto"/>
              <w:jc w:val="left"/>
              <w:rPr>
                <w:color w:val="000000"/>
                <w:sz w:val="14"/>
                <w:szCs w:val="14"/>
              </w:rPr>
            </w:pPr>
          </w:p>
        </w:tc>
        <w:tc>
          <w:tcPr>
            <w:tcW w:w="2973" w:type="dxa"/>
          </w:tcPr>
          <w:p w14:paraId="1799B28F" w14:textId="77777777" w:rsidR="000F0341" w:rsidRPr="00BF62A1" w:rsidRDefault="000F0341" w:rsidP="00E40B0D">
            <w:pPr>
              <w:spacing w:line="240" w:lineRule="auto"/>
              <w:jc w:val="left"/>
              <w:rPr>
                <w:color w:val="000000"/>
                <w:sz w:val="14"/>
                <w:szCs w:val="14"/>
              </w:rPr>
            </w:pPr>
            <w:r>
              <w:rPr>
                <w:color w:val="000000"/>
                <w:sz w:val="14"/>
                <w:szCs w:val="14"/>
              </w:rPr>
              <w:t>T</w:t>
            </w:r>
            <w:r w:rsidRPr="00BF62A1">
              <w:rPr>
                <w:color w:val="000000"/>
                <w:sz w:val="14"/>
                <w:szCs w:val="14"/>
              </w:rPr>
              <w:t>risectionectomy (TS)</w:t>
            </w:r>
          </w:p>
        </w:tc>
        <w:tc>
          <w:tcPr>
            <w:tcW w:w="1843" w:type="dxa"/>
          </w:tcPr>
          <w:p w14:paraId="7E63CE92" w14:textId="77777777" w:rsidR="000F0341" w:rsidRPr="00BF62A1" w:rsidRDefault="000F0341" w:rsidP="00E40B0D">
            <w:pPr>
              <w:spacing w:line="240" w:lineRule="auto"/>
              <w:jc w:val="left"/>
              <w:rPr>
                <w:color w:val="000000"/>
                <w:sz w:val="14"/>
                <w:szCs w:val="14"/>
              </w:rPr>
            </w:pPr>
            <w:r w:rsidRPr="00BF62A1">
              <w:rPr>
                <w:color w:val="000000"/>
                <w:sz w:val="14"/>
                <w:szCs w:val="14"/>
              </w:rPr>
              <w:t>13987 (45.0)</w:t>
            </w:r>
            <w:r w:rsidRPr="00BF62A1">
              <w:rPr>
                <w:color w:val="000000"/>
                <w:sz w:val="14"/>
                <w:szCs w:val="14"/>
                <w:vertAlign w:val="superscript"/>
              </w:rPr>
              <w:t>a</w:t>
            </w:r>
          </w:p>
        </w:tc>
        <w:tc>
          <w:tcPr>
            <w:tcW w:w="1984" w:type="dxa"/>
            <w:vMerge/>
            <w:noWrap/>
          </w:tcPr>
          <w:p w14:paraId="55F8A0D6" w14:textId="77777777" w:rsidR="000F0341" w:rsidRPr="00BF62A1" w:rsidRDefault="000F0341" w:rsidP="00E40B0D">
            <w:pPr>
              <w:spacing w:line="240" w:lineRule="auto"/>
              <w:jc w:val="left"/>
              <w:rPr>
                <w:color w:val="000000"/>
                <w:sz w:val="14"/>
                <w:szCs w:val="14"/>
              </w:rPr>
            </w:pPr>
          </w:p>
        </w:tc>
        <w:tc>
          <w:tcPr>
            <w:tcW w:w="3119" w:type="dxa"/>
            <w:vMerge/>
          </w:tcPr>
          <w:p w14:paraId="3E3F1DDD" w14:textId="77777777" w:rsidR="000F0341" w:rsidRPr="00BF62A1" w:rsidRDefault="000F0341" w:rsidP="00E40B0D">
            <w:pPr>
              <w:spacing w:line="240" w:lineRule="auto"/>
              <w:jc w:val="left"/>
              <w:rPr>
                <w:color w:val="000000"/>
                <w:sz w:val="14"/>
                <w:szCs w:val="14"/>
              </w:rPr>
            </w:pPr>
          </w:p>
        </w:tc>
        <w:tc>
          <w:tcPr>
            <w:tcW w:w="3234" w:type="dxa"/>
            <w:vMerge/>
          </w:tcPr>
          <w:p w14:paraId="16698540" w14:textId="77777777" w:rsidR="000F0341" w:rsidRPr="00BF62A1" w:rsidRDefault="000F0341" w:rsidP="00E40B0D">
            <w:pPr>
              <w:spacing w:line="240" w:lineRule="auto"/>
              <w:jc w:val="left"/>
              <w:rPr>
                <w:color w:val="000000"/>
                <w:sz w:val="14"/>
                <w:szCs w:val="14"/>
              </w:rPr>
            </w:pPr>
          </w:p>
        </w:tc>
      </w:tr>
      <w:tr w:rsidR="000F0341" w:rsidRPr="00BF62A1" w14:paraId="6E9B0394" w14:textId="77777777" w:rsidTr="00E40B0D">
        <w:trPr>
          <w:trHeight w:val="55"/>
        </w:trPr>
        <w:tc>
          <w:tcPr>
            <w:tcW w:w="1422" w:type="dxa"/>
            <w:vMerge/>
          </w:tcPr>
          <w:p w14:paraId="7B004EFB" w14:textId="77777777" w:rsidR="000F0341" w:rsidRPr="00BF62A1" w:rsidRDefault="000F0341" w:rsidP="00E40B0D">
            <w:pPr>
              <w:spacing w:line="240" w:lineRule="auto"/>
              <w:jc w:val="left"/>
              <w:rPr>
                <w:color w:val="000000"/>
                <w:sz w:val="14"/>
                <w:szCs w:val="14"/>
              </w:rPr>
            </w:pPr>
          </w:p>
        </w:tc>
        <w:tc>
          <w:tcPr>
            <w:tcW w:w="2973" w:type="dxa"/>
          </w:tcPr>
          <w:p w14:paraId="55E2FC60" w14:textId="77777777" w:rsidR="000F0341" w:rsidRPr="00BF62A1" w:rsidRDefault="000F0341" w:rsidP="00E40B0D">
            <w:pPr>
              <w:spacing w:line="240" w:lineRule="auto"/>
              <w:jc w:val="left"/>
              <w:rPr>
                <w:color w:val="000000"/>
                <w:sz w:val="14"/>
                <w:szCs w:val="14"/>
              </w:rPr>
            </w:pPr>
            <w:r>
              <w:rPr>
                <w:color w:val="000000"/>
                <w:sz w:val="14"/>
                <w:szCs w:val="14"/>
              </w:rPr>
              <w:t>H</w:t>
            </w:r>
            <w:r w:rsidRPr="00BF62A1">
              <w:rPr>
                <w:color w:val="000000"/>
                <w:sz w:val="14"/>
                <w:szCs w:val="14"/>
              </w:rPr>
              <w:t>emihepatectomy (HH)</w:t>
            </w:r>
          </w:p>
        </w:tc>
        <w:tc>
          <w:tcPr>
            <w:tcW w:w="1843" w:type="dxa"/>
          </w:tcPr>
          <w:p w14:paraId="7FF8DF30" w14:textId="77777777" w:rsidR="000F0341" w:rsidRPr="00BF62A1" w:rsidRDefault="000F0341" w:rsidP="00E40B0D">
            <w:pPr>
              <w:spacing w:line="240" w:lineRule="auto"/>
              <w:jc w:val="left"/>
              <w:rPr>
                <w:color w:val="000000"/>
                <w:sz w:val="14"/>
                <w:szCs w:val="14"/>
              </w:rPr>
            </w:pPr>
            <w:r w:rsidRPr="00BF62A1">
              <w:rPr>
                <w:color w:val="000000"/>
                <w:sz w:val="14"/>
                <w:szCs w:val="14"/>
              </w:rPr>
              <w:t>3286 (10.6)</w:t>
            </w:r>
            <w:r w:rsidRPr="00BF62A1">
              <w:rPr>
                <w:color w:val="000000"/>
                <w:sz w:val="14"/>
                <w:szCs w:val="14"/>
                <w:vertAlign w:val="superscript"/>
              </w:rPr>
              <w:t>a</w:t>
            </w:r>
          </w:p>
        </w:tc>
        <w:tc>
          <w:tcPr>
            <w:tcW w:w="1984" w:type="dxa"/>
            <w:vMerge/>
            <w:noWrap/>
          </w:tcPr>
          <w:p w14:paraId="09973F5C" w14:textId="77777777" w:rsidR="000F0341" w:rsidRPr="00BF62A1" w:rsidRDefault="000F0341" w:rsidP="00E40B0D">
            <w:pPr>
              <w:spacing w:line="240" w:lineRule="auto"/>
              <w:jc w:val="left"/>
              <w:rPr>
                <w:color w:val="000000"/>
                <w:sz w:val="14"/>
                <w:szCs w:val="14"/>
              </w:rPr>
            </w:pPr>
          </w:p>
        </w:tc>
        <w:tc>
          <w:tcPr>
            <w:tcW w:w="3119" w:type="dxa"/>
            <w:vMerge/>
          </w:tcPr>
          <w:p w14:paraId="0A6656E9" w14:textId="77777777" w:rsidR="000F0341" w:rsidRPr="00BF62A1" w:rsidRDefault="000F0341" w:rsidP="00E40B0D">
            <w:pPr>
              <w:spacing w:line="240" w:lineRule="auto"/>
              <w:jc w:val="left"/>
              <w:rPr>
                <w:color w:val="000000"/>
                <w:sz w:val="14"/>
                <w:szCs w:val="14"/>
              </w:rPr>
            </w:pPr>
          </w:p>
        </w:tc>
        <w:tc>
          <w:tcPr>
            <w:tcW w:w="3234" w:type="dxa"/>
            <w:vMerge/>
          </w:tcPr>
          <w:p w14:paraId="1320DBC0" w14:textId="77777777" w:rsidR="000F0341" w:rsidRPr="00BF62A1" w:rsidRDefault="000F0341" w:rsidP="00E40B0D">
            <w:pPr>
              <w:spacing w:line="240" w:lineRule="auto"/>
              <w:jc w:val="left"/>
              <w:rPr>
                <w:color w:val="000000"/>
                <w:sz w:val="14"/>
                <w:szCs w:val="14"/>
              </w:rPr>
            </w:pPr>
          </w:p>
        </w:tc>
      </w:tr>
      <w:tr w:rsidR="000F0341" w:rsidRPr="00BF62A1" w14:paraId="7D65DEEE" w14:textId="77777777" w:rsidTr="00E40B0D">
        <w:trPr>
          <w:trHeight w:val="157"/>
        </w:trPr>
        <w:tc>
          <w:tcPr>
            <w:tcW w:w="1422" w:type="dxa"/>
            <w:vMerge/>
          </w:tcPr>
          <w:p w14:paraId="4BE532C3" w14:textId="77777777" w:rsidR="000F0341" w:rsidRPr="00BF62A1" w:rsidRDefault="000F0341" w:rsidP="00E40B0D">
            <w:pPr>
              <w:spacing w:line="240" w:lineRule="auto"/>
              <w:jc w:val="left"/>
              <w:rPr>
                <w:color w:val="000000"/>
                <w:sz w:val="14"/>
                <w:szCs w:val="14"/>
              </w:rPr>
            </w:pPr>
          </w:p>
        </w:tc>
        <w:tc>
          <w:tcPr>
            <w:tcW w:w="2973" w:type="dxa"/>
          </w:tcPr>
          <w:p w14:paraId="32D92F31" w14:textId="77777777" w:rsidR="000F0341" w:rsidRPr="00BF62A1" w:rsidRDefault="000F0341" w:rsidP="00E40B0D">
            <w:pPr>
              <w:spacing w:line="240" w:lineRule="auto"/>
              <w:jc w:val="left"/>
              <w:rPr>
                <w:color w:val="000000"/>
                <w:sz w:val="14"/>
                <w:szCs w:val="14"/>
              </w:rPr>
            </w:pPr>
            <w:r w:rsidRPr="00BF62A1">
              <w:rPr>
                <w:color w:val="000000"/>
                <w:sz w:val="14"/>
                <w:szCs w:val="14"/>
              </w:rPr>
              <w:t>Minor hepatectomies:</w:t>
            </w:r>
          </w:p>
        </w:tc>
        <w:tc>
          <w:tcPr>
            <w:tcW w:w="1843" w:type="dxa"/>
          </w:tcPr>
          <w:p w14:paraId="50F44829" w14:textId="77777777" w:rsidR="000F0341" w:rsidRPr="00BF62A1" w:rsidRDefault="000F0341" w:rsidP="00E40B0D">
            <w:pPr>
              <w:spacing w:line="240" w:lineRule="auto"/>
              <w:jc w:val="left"/>
              <w:rPr>
                <w:color w:val="000000"/>
                <w:sz w:val="14"/>
                <w:szCs w:val="14"/>
              </w:rPr>
            </w:pPr>
            <w:r w:rsidRPr="00BF62A1">
              <w:rPr>
                <w:color w:val="000000"/>
                <w:sz w:val="14"/>
                <w:szCs w:val="14"/>
              </w:rPr>
              <w:t>Minor:</w:t>
            </w:r>
          </w:p>
        </w:tc>
        <w:tc>
          <w:tcPr>
            <w:tcW w:w="1984" w:type="dxa"/>
            <w:vMerge/>
            <w:noWrap/>
          </w:tcPr>
          <w:p w14:paraId="4681332C" w14:textId="77777777" w:rsidR="000F0341" w:rsidRPr="00BF62A1" w:rsidRDefault="000F0341" w:rsidP="00E40B0D">
            <w:pPr>
              <w:spacing w:line="240" w:lineRule="auto"/>
              <w:jc w:val="left"/>
              <w:rPr>
                <w:color w:val="000000"/>
                <w:sz w:val="14"/>
                <w:szCs w:val="14"/>
              </w:rPr>
            </w:pPr>
          </w:p>
        </w:tc>
        <w:tc>
          <w:tcPr>
            <w:tcW w:w="3119" w:type="dxa"/>
            <w:vMerge/>
          </w:tcPr>
          <w:p w14:paraId="6594F680" w14:textId="77777777" w:rsidR="000F0341" w:rsidRPr="00BF62A1" w:rsidRDefault="000F0341" w:rsidP="00E40B0D">
            <w:pPr>
              <w:spacing w:line="240" w:lineRule="auto"/>
              <w:jc w:val="left"/>
              <w:rPr>
                <w:color w:val="000000"/>
                <w:sz w:val="14"/>
                <w:szCs w:val="14"/>
              </w:rPr>
            </w:pPr>
          </w:p>
        </w:tc>
        <w:tc>
          <w:tcPr>
            <w:tcW w:w="3234" w:type="dxa"/>
            <w:vMerge/>
          </w:tcPr>
          <w:p w14:paraId="1EC16C56" w14:textId="77777777" w:rsidR="000F0341" w:rsidRPr="00BF62A1" w:rsidRDefault="000F0341" w:rsidP="00E40B0D">
            <w:pPr>
              <w:spacing w:line="240" w:lineRule="auto"/>
              <w:jc w:val="left"/>
              <w:rPr>
                <w:color w:val="000000"/>
                <w:sz w:val="14"/>
                <w:szCs w:val="14"/>
              </w:rPr>
            </w:pPr>
          </w:p>
        </w:tc>
      </w:tr>
      <w:tr w:rsidR="000F0341" w:rsidRPr="00BF62A1" w14:paraId="76B29BDE" w14:textId="77777777" w:rsidTr="00E40B0D">
        <w:trPr>
          <w:trHeight w:val="131"/>
        </w:trPr>
        <w:tc>
          <w:tcPr>
            <w:tcW w:w="1422" w:type="dxa"/>
            <w:vMerge/>
          </w:tcPr>
          <w:p w14:paraId="4826396F" w14:textId="77777777" w:rsidR="000F0341" w:rsidRPr="00BF62A1" w:rsidRDefault="000F0341" w:rsidP="00E40B0D">
            <w:pPr>
              <w:spacing w:line="240" w:lineRule="auto"/>
              <w:jc w:val="left"/>
              <w:rPr>
                <w:color w:val="000000"/>
                <w:sz w:val="14"/>
                <w:szCs w:val="14"/>
              </w:rPr>
            </w:pPr>
          </w:p>
        </w:tc>
        <w:tc>
          <w:tcPr>
            <w:tcW w:w="2973" w:type="dxa"/>
          </w:tcPr>
          <w:p w14:paraId="7D764398" w14:textId="77777777" w:rsidR="000F0341" w:rsidRPr="00BF62A1" w:rsidRDefault="000F0341" w:rsidP="00E40B0D">
            <w:pPr>
              <w:spacing w:line="240" w:lineRule="auto"/>
              <w:jc w:val="left"/>
              <w:rPr>
                <w:color w:val="000000"/>
                <w:sz w:val="14"/>
                <w:szCs w:val="14"/>
              </w:rPr>
            </w:pPr>
            <w:r w:rsidRPr="00BF62A1">
              <w:rPr>
                <w:color w:val="000000"/>
                <w:sz w:val="14"/>
                <w:szCs w:val="14"/>
              </w:rPr>
              <w:t>Multiple segmental resection (MSR)</w:t>
            </w:r>
          </w:p>
        </w:tc>
        <w:tc>
          <w:tcPr>
            <w:tcW w:w="1843" w:type="dxa"/>
          </w:tcPr>
          <w:p w14:paraId="3D0C0A1E" w14:textId="77777777" w:rsidR="000F0341" w:rsidRPr="00BF62A1" w:rsidRDefault="000F0341" w:rsidP="00E40B0D">
            <w:pPr>
              <w:spacing w:line="240" w:lineRule="auto"/>
              <w:jc w:val="left"/>
              <w:rPr>
                <w:color w:val="000000"/>
                <w:sz w:val="14"/>
                <w:szCs w:val="14"/>
              </w:rPr>
            </w:pPr>
            <w:r w:rsidRPr="00BF62A1">
              <w:rPr>
                <w:color w:val="000000"/>
                <w:sz w:val="14"/>
                <w:szCs w:val="14"/>
              </w:rPr>
              <w:t>8318 (26.7)</w:t>
            </w:r>
          </w:p>
        </w:tc>
        <w:tc>
          <w:tcPr>
            <w:tcW w:w="1984" w:type="dxa"/>
            <w:vMerge/>
            <w:noWrap/>
          </w:tcPr>
          <w:p w14:paraId="11ECE9F5" w14:textId="77777777" w:rsidR="000F0341" w:rsidRPr="00BF62A1" w:rsidRDefault="000F0341" w:rsidP="00E40B0D">
            <w:pPr>
              <w:spacing w:line="240" w:lineRule="auto"/>
              <w:jc w:val="left"/>
              <w:rPr>
                <w:color w:val="000000"/>
                <w:sz w:val="14"/>
                <w:szCs w:val="14"/>
              </w:rPr>
            </w:pPr>
          </w:p>
        </w:tc>
        <w:tc>
          <w:tcPr>
            <w:tcW w:w="3119" w:type="dxa"/>
            <w:vMerge/>
          </w:tcPr>
          <w:p w14:paraId="48D8134D" w14:textId="77777777" w:rsidR="000F0341" w:rsidRPr="00BF62A1" w:rsidRDefault="000F0341" w:rsidP="00E40B0D">
            <w:pPr>
              <w:spacing w:line="240" w:lineRule="auto"/>
              <w:jc w:val="left"/>
              <w:rPr>
                <w:color w:val="000000"/>
                <w:sz w:val="14"/>
                <w:szCs w:val="14"/>
              </w:rPr>
            </w:pPr>
          </w:p>
        </w:tc>
        <w:tc>
          <w:tcPr>
            <w:tcW w:w="3234" w:type="dxa"/>
            <w:vMerge/>
          </w:tcPr>
          <w:p w14:paraId="24694CC3" w14:textId="77777777" w:rsidR="000F0341" w:rsidRPr="00BF62A1" w:rsidRDefault="000F0341" w:rsidP="00E40B0D">
            <w:pPr>
              <w:spacing w:line="240" w:lineRule="auto"/>
              <w:jc w:val="left"/>
              <w:rPr>
                <w:color w:val="000000"/>
                <w:sz w:val="14"/>
                <w:szCs w:val="14"/>
              </w:rPr>
            </w:pPr>
          </w:p>
        </w:tc>
      </w:tr>
      <w:tr w:rsidR="000F0341" w:rsidRPr="00BF62A1" w14:paraId="1F87EAE4" w14:textId="77777777" w:rsidTr="00E40B0D">
        <w:trPr>
          <w:trHeight w:val="105"/>
        </w:trPr>
        <w:tc>
          <w:tcPr>
            <w:tcW w:w="1422" w:type="dxa"/>
            <w:vMerge/>
            <w:tcBorders>
              <w:bottom w:val="single" w:sz="8" w:space="0" w:color="auto"/>
            </w:tcBorders>
          </w:tcPr>
          <w:p w14:paraId="3D129B58"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0DDE5703" w14:textId="77777777" w:rsidR="000F0341" w:rsidRPr="00BF62A1" w:rsidRDefault="000F0341" w:rsidP="00E40B0D">
            <w:pPr>
              <w:spacing w:line="240" w:lineRule="auto"/>
              <w:jc w:val="left"/>
              <w:rPr>
                <w:color w:val="000000"/>
                <w:sz w:val="14"/>
                <w:szCs w:val="14"/>
              </w:rPr>
            </w:pPr>
            <w:r w:rsidRPr="00BF62A1">
              <w:rPr>
                <w:color w:val="000000"/>
                <w:sz w:val="14"/>
                <w:szCs w:val="14"/>
              </w:rPr>
              <w:t>Bisegmentectomy (BS)</w:t>
            </w:r>
          </w:p>
        </w:tc>
        <w:tc>
          <w:tcPr>
            <w:tcW w:w="1843" w:type="dxa"/>
            <w:tcBorders>
              <w:bottom w:val="single" w:sz="8" w:space="0" w:color="auto"/>
            </w:tcBorders>
          </w:tcPr>
          <w:p w14:paraId="25BCD1FA" w14:textId="77777777" w:rsidR="000F0341" w:rsidRPr="00BF62A1" w:rsidRDefault="000F0341" w:rsidP="00E40B0D">
            <w:pPr>
              <w:spacing w:line="240" w:lineRule="auto"/>
              <w:jc w:val="left"/>
              <w:rPr>
                <w:color w:val="000000"/>
                <w:sz w:val="14"/>
                <w:szCs w:val="14"/>
              </w:rPr>
            </w:pPr>
            <w:r w:rsidRPr="00BF62A1">
              <w:rPr>
                <w:color w:val="000000"/>
                <w:sz w:val="14"/>
                <w:szCs w:val="14"/>
              </w:rPr>
              <w:t>5523 (17.8)</w:t>
            </w:r>
          </w:p>
        </w:tc>
        <w:tc>
          <w:tcPr>
            <w:tcW w:w="1984" w:type="dxa"/>
            <w:vMerge/>
            <w:tcBorders>
              <w:bottom w:val="single" w:sz="8" w:space="0" w:color="auto"/>
            </w:tcBorders>
            <w:noWrap/>
          </w:tcPr>
          <w:p w14:paraId="57D02D06"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685C2AC6"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32E1E7D7" w14:textId="77777777" w:rsidR="000F0341" w:rsidRPr="00BF62A1" w:rsidRDefault="000F0341" w:rsidP="00E40B0D">
            <w:pPr>
              <w:spacing w:line="240" w:lineRule="auto"/>
              <w:jc w:val="left"/>
              <w:rPr>
                <w:color w:val="000000"/>
                <w:sz w:val="14"/>
                <w:szCs w:val="14"/>
              </w:rPr>
            </w:pPr>
          </w:p>
        </w:tc>
      </w:tr>
      <w:tr w:rsidR="000F0341" w:rsidRPr="00BF62A1" w14:paraId="7864D0C9" w14:textId="77777777" w:rsidTr="00E40B0D">
        <w:trPr>
          <w:trHeight w:val="187"/>
        </w:trPr>
        <w:tc>
          <w:tcPr>
            <w:tcW w:w="1422" w:type="dxa"/>
            <w:vMerge w:val="restart"/>
            <w:tcBorders>
              <w:top w:val="single" w:sz="8" w:space="0" w:color="auto"/>
            </w:tcBorders>
            <w:hideMark/>
          </w:tcPr>
          <w:p w14:paraId="3C4AE0C1" w14:textId="1D73490E" w:rsidR="000F0341" w:rsidRPr="00BF62A1" w:rsidRDefault="000F0341" w:rsidP="00E40B0D">
            <w:pPr>
              <w:spacing w:line="240" w:lineRule="auto"/>
              <w:jc w:val="left"/>
              <w:rPr>
                <w:color w:val="000000"/>
                <w:sz w:val="14"/>
                <w:szCs w:val="14"/>
              </w:rPr>
            </w:pPr>
            <w:r w:rsidRPr="00BF62A1">
              <w:rPr>
                <w:color w:val="000000"/>
                <w:sz w:val="14"/>
                <w:szCs w:val="14"/>
              </w:rPr>
              <w:t xml:space="preserve">Lee 2019 </w:t>
            </w:r>
            <w:r w:rsidRPr="00BF62A1">
              <w:rPr>
                <w:color w:val="000000"/>
                <w:sz w:val="14"/>
                <w:szCs w:val="14"/>
              </w:rPr>
              <w:fldChar w:fldCharType="begin"/>
            </w:r>
            <w:r>
              <w:rPr>
                <w:color w:val="000000"/>
                <w:sz w:val="14"/>
                <w:szCs w:val="14"/>
              </w:rPr>
              <w:instrText xml:space="preserve"> ADDIN ZOTERO_ITEM CSL_CITATION {"citationID":"FYo3Nvrk","properties":{"formattedCitation":"[84]","plainCitation":"[84]","noteIndex":0},"citationItems":[{"id":14137,"uris":["http://zotero.org/groups/4983919/items/GBPXPSTT"],"itemData":{"id":14137,"type":"article-journal","abstract":"Background. Many studies have demonstrated associations between surgical resections at academic centers and improved outcomes, particularly for complex operations. However, few studies have examined this relationship in intrahepatic cholangiocarcinoma (ICC). The hypothesis of this study was that facility type is associated with improved postoperative outcomes and survival for patients with ICC who undergo resection.","container-title":"Annals of Surgical Oncology","DOI":"10.1245/s10434-019-07657-5","ISSN":"1068-9265, 1534-4681","issue":"12","journalAbbreviation":"Ann Surg Oncol","language":"en","page":"4091-4099","source":"DOI.org (Crossref)","title":"Facility Type is Associated with Margin Status and Overall Survival of Patients with Resected Intrahepatic Cholangiocarcinoma","URL":"http://link.springer.com/10.1245/s10434-019-07657-5","volume":"26","author":[{"family":"Lee","given":"Grace C."},{"family":"Gamblin","given":"T. Clark"},{"family":"Fong","given":"Zhi Ven"},{"family":"Ferrone","given":"Cristina R."},{"family":"Goyal","given":"Lipika"},{"family":"Lillemoe","given":"Keith D."},{"family":"Blaszkowsky","given":"Lawrence S."},{"family":"Tanabe","given":"Kenneth K."},{"family":"Qadan","given":"Motaz"}],"accessed":{"date-parts":[["2023",3,9]]},"issued":{"date-parts":[["2019",11]]}}}],"schema":"https://github.com/citation-style-language/schema/raw/master/csl-citation.json"} </w:instrText>
            </w:r>
            <w:r w:rsidRPr="00BF62A1">
              <w:rPr>
                <w:color w:val="000000"/>
                <w:sz w:val="14"/>
                <w:szCs w:val="14"/>
              </w:rPr>
              <w:fldChar w:fldCharType="separate"/>
            </w:r>
            <w:r w:rsidRPr="004125CE">
              <w:rPr>
                <w:sz w:val="14"/>
              </w:rPr>
              <w:t>[8</w:t>
            </w:r>
            <w:r w:rsidR="00D03F0D">
              <w:rPr>
                <w:sz w:val="14"/>
              </w:rPr>
              <w:t>7</w:t>
            </w:r>
            <w:r w:rsidRPr="004125CE">
              <w:rPr>
                <w:sz w:val="14"/>
              </w:rPr>
              <w:t>]</w:t>
            </w:r>
            <w:r w:rsidRPr="00BF62A1">
              <w:rPr>
                <w:color w:val="000000"/>
                <w:sz w:val="14"/>
                <w:szCs w:val="14"/>
              </w:rPr>
              <w:fldChar w:fldCharType="end"/>
            </w:r>
          </w:p>
        </w:tc>
        <w:tc>
          <w:tcPr>
            <w:tcW w:w="2973" w:type="dxa"/>
            <w:tcBorders>
              <w:top w:val="single" w:sz="8" w:space="0" w:color="auto"/>
            </w:tcBorders>
            <w:hideMark/>
          </w:tcPr>
          <w:p w14:paraId="1F9D213C" w14:textId="77777777" w:rsidR="000F0341" w:rsidRPr="00BF62A1" w:rsidRDefault="000F0341" w:rsidP="00E40B0D">
            <w:pPr>
              <w:spacing w:line="240" w:lineRule="auto"/>
              <w:jc w:val="left"/>
              <w:rPr>
                <w:color w:val="000000"/>
                <w:sz w:val="14"/>
                <w:szCs w:val="14"/>
              </w:rPr>
            </w:pPr>
            <w:r w:rsidRPr="00BF62A1">
              <w:rPr>
                <w:color w:val="000000"/>
                <w:sz w:val="14"/>
                <w:szCs w:val="14"/>
              </w:rPr>
              <w:t>Partial hepatectomy/segemental resection</w:t>
            </w:r>
            <w:r w:rsidRPr="00BF62A1">
              <w:rPr>
                <w:color w:val="000000"/>
                <w:sz w:val="14"/>
                <w:szCs w:val="14"/>
              </w:rPr>
              <w:br/>
            </w:r>
          </w:p>
        </w:tc>
        <w:tc>
          <w:tcPr>
            <w:tcW w:w="1843" w:type="dxa"/>
            <w:tcBorders>
              <w:top w:val="single" w:sz="8" w:space="0" w:color="auto"/>
            </w:tcBorders>
            <w:hideMark/>
          </w:tcPr>
          <w:p w14:paraId="6A10BB75" w14:textId="77777777" w:rsidR="000F0341" w:rsidRPr="00BF62A1" w:rsidRDefault="000F0341" w:rsidP="00E40B0D">
            <w:pPr>
              <w:spacing w:line="240" w:lineRule="auto"/>
              <w:jc w:val="left"/>
              <w:rPr>
                <w:color w:val="000000"/>
                <w:sz w:val="14"/>
                <w:szCs w:val="14"/>
              </w:rPr>
            </w:pPr>
            <w:r w:rsidRPr="00BF62A1">
              <w:rPr>
                <w:color w:val="000000"/>
                <w:sz w:val="14"/>
                <w:szCs w:val="14"/>
              </w:rPr>
              <w:t>804 (35.6)</w:t>
            </w:r>
            <w:r w:rsidRPr="00BF62A1">
              <w:rPr>
                <w:color w:val="000000"/>
                <w:sz w:val="14"/>
                <w:szCs w:val="14"/>
                <w:vertAlign w:val="superscript"/>
              </w:rPr>
              <w:t>a</w:t>
            </w:r>
            <w:r w:rsidRPr="00BF62A1">
              <w:rPr>
                <w:color w:val="000000"/>
                <w:sz w:val="14"/>
                <w:szCs w:val="14"/>
              </w:rPr>
              <w:br/>
            </w:r>
          </w:p>
        </w:tc>
        <w:tc>
          <w:tcPr>
            <w:tcW w:w="1984" w:type="dxa"/>
            <w:vMerge w:val="restart"/>
            <w:tcBorders>
              <w:top w:val="single" w:sz="8" w:space="0" w:color="auto"/>
            </w:tcBorders>
            <w:hideMark/>
          </w:tcPr>
          <w:p w14:paraId="1EF46E58"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STORE codes for ‘liver cancer sites’ and ‘intrahepatic bile ducts’ </w:t>
            </w:r>
          </w:p>
        </w:tc>
        <w:tc>
          <w:tcPr>
            <w:tcW w:w="3119" w:type="dxa"/>
            <w:vMerge w:val="restart"/>
            <w:tcBorders>
              <w:top w:val="single" w:sz="8" w:space="0" w:color="auto"/>
            </w:tcBorders>
            <w:hideMark/>
          </w:tcPr>
          <w:p w14:paraId="2239DC98"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Liver transplantations </w:t>
            </w:r>
          </w:p>
        </w:tc>
        <w:tc>
          <w:tcPr>
            <w:tcW w:w="3234" w:type="dxa"/>
            <w:vMerge w:val="restart"/>
            <w:tcBorders>
              <w:top w:val="single" w:sz="8" w:space="0" w:color="auto"/>
            </w:tcBorders>
            <w:hideMark/>
          </w:tcPr>
          <w:p w14:paraId="20D076A8" w14:textId="77777777" w:rsidR="000F0341" w:rsidRPr="00BF62A1" w:rsidRDefault="000F0341" w:rsidP="00E40B0D">
            <w:pPr>
              <w:spacing w:line="240" w:lineRule="auto"/>
              <w:jc w:val="left"/>
              <w:rPr>
                <w:color w:val="000000"/>
                <w:sz w:val="14"/>
                <w:szCs w:val="14"/>
              </w:rPr>
            </w:pPr>
            <w:r>
              <w:rPr>
                <w:color w:val="000000"/>
                <w:sz w:val="14"/>
                <w:szCs w:val="14"/>
              </w:rPr>
              <w:t>A</w:t>
            </w:r>
            <w:r w:rsidRPr="00BF62A1">
              <w:rPr>
                <w:color w:val="000000"/>
                <w:sz w:val="14"/>
                <w:szCs w:val="14"/>
              </w:rPr>
              <w:t>ge, CCI, commission on cancer (coc) facility type, distance to hospital, hospital volume, insurance, margin status, race, receipt of adjuvant chemotherapy, gender</w:t>
            </w:r>
          </w:p>
        </w:tc>
      </w:tr>
      <w:tr w:rsidR="000F0341" w:rsidRPr="00BF62A1" w14:paraId="7FBB431E" w14:textId="77777777" w:rsidTr="00E40B0D">
        <w:trPr>
          <w:trHeight w:val="187"/>
        </w:trPr>
        <w:tc>
          <w:tcPr>
            <w:tcW w:w="1422" w:type="dxa"/>
            <w:vMerge/>
          </w:tcPr>
          <w:p w14:paraId="4EAAB358" w14:textId="77777777" w:rsidR="000F0341" w:rsidRPr="00BF62A1" w:rsidRDefault="000F0341" w:rsidP="00E40B0D">
            <w:pPr>
              <w:spacing w:line="240" w:lineRule="auto"/>
              <w:jc w:val="left"/>
              <w:rPr>
                <w:color w:val="000000"/>
                <w:sz w:val="14"/>
                <w:szCs w:val="14"/>
              </w:rPr>
            </w:pPr>
          </w:p>
        </w:tc>
        <w:tc>
          <w:tcPr>
            <w:tcW w:w="2973" w:type="dxa"/>
          </w:tcPr>
          <w:p w14:paraId="05AF086B" w14:textId="77777777" w:rsidR="000F0341" w:rsidRPr="00BF62A1" w:rsidRDefault="000F0341" w:rsidP="00E40B0D">
            <w:pPr>
              <w:spacing w:line="240" w:lineRule="auto"/>
              <w:jc w:val="left"/>
              <w:rPr>
                <w:color w:val="000000"/>
                <w:sz w:val="14"/>
                <w:szCs w:val="14"/>
              </w:rPr>
            </w:pPr>
            <w:r w:rsidRPr="00BF62A1">
              <w:rPr>
                <w:color w:val="000000"/>
                <w:sz w:val="14"/>
                <w:szCs w:val="14"/>
              </w:rPr>
              <w:t>Hepatic lobectomy</w:t>
            </w:r>
          </w:p>
        </w:tc>
        <w:tc>
          <w:tcPr>
            <w:tcW w:w="1843" w:type="dxa"/>
          </w:tcPr>
          <w:p w14:paraId="26E2B55B" w14:textId="77777777" w:rsidR="000F0341" w:rsidRPr="00BF62A1" w:rsidRDefault="000F0341" w:rsidP="00E40B0D">
            <w:pPr>
              <w:spacing w:line="240" w:lineRule="auto"/>
              <w:jc w:val="left"/>
              <w:rPr>
                <w:color w:val="000000"/>
                <w:sz w:val="14"/>
                <w:szCs w:val="14"/>
              </w:rPr>
            </w:pPr>
            <w:r w:rsidRPr="00BF62A1">
              <w:rPr>
                <w:color w:val="000000"/>
                <w:sz w:val="14"/>
                <w:szCs w:val="14"/>
              </w:rPr>
              <w:t>742 (32.9)</w:t>
            </w:r>
            <w:r w:rsidRPr="00BF62A1">
              <w:rPr>
                <w:color w:val="000000"/>
                <w:sz w:val="14"/>
                <w:szCs w:val="14"/>
                <w:vertAlign w:val="superscript"/>
              </w:rPr>
              <w:t>a</w:t>
            </w:r>
          </w:p>
        </w:tc>
        <w:tc>
          <w:tcPr>
            <w:tcW w:w="1984" w:type="dxa"/>
            <w:vMerge/>
          </w:tcPr>
          <w:p w14:paraId="62543EA5" w14:textId="77777777" w:rsidR="000F0341" w:rsidRPr="00BF62A1" w:rsidRDefault="000F0341" w:rsidP="00E40B0D">
            <w:pPr>
              <w:spacing w:line="240" w:lineRule="auto"/>
              <w:jc w:val="left"/>
              <w:rPr>
                <w:color w:val="000000"/>
                <w:sz w:val="14"/>
                <w:szCs w:val="14"/>
              </w:rPr>
            </w:pPr>
          </w:p>
        </w:tc>
        <w:tc>
          <w:tcPr>
            <w:tcW w:w="3119" w:type="dxa"/>
            <w:vMerge/>
          </w:tcPr>
          <w:p w14:paraId="54F430EF" w14:textId="77777777" w:rsidR="000F0341" w:rsidRPr="00BF62A1" w:rsidRDefault="000F0341" w:rsidP="00E40B0D">
            <w:pPr>
              <w:spacing w:line="240" w:lineRule="auto"/>
              <w:jc w:val="left"/>
              <w:rPr>
                <w:color w:val="000000"/>
                <w:sz w:val="14"/>
                <w:szCs w:val="14"/>
              </w:rPr>
            </w:pPr>
          </w:p>
        </w:tc>
        <w:tc>
          <w:tcPr>
            <w:tcW w:w="3234" w:type="dxa"/>
            <w:vMerge/>
          </w:tcPr>
          <w:p w14:paraId="3706175E" w14:textId="77777777" w:rsidR="000F0341" w:rsidRPr="00BF62A1" w:rsidRDefault="000F0341" w:rsidP="00E40B0D">
            <w:pPr>
              <w:spacing w:line="240" w:lineRule="auto"/>
              <w:jc w:val="left"/>
              <w:rPr>
                <w:color w:val="000000"/>
                <w:sz w:val="14"/>
                <w:szCs w:val="14"/>
              </w:rPr>
            </w:pPr>
          </w:p>
        </w:tc>
      </w:tr>
      <w:tr w:rsidR="000F0341" w:rsidRPr="00BF62A1" w14:paraId="11302709" w14:textId="77777777" w:rsidTr="00E40B0D">
        <w:trPr>
          <w:trHeight w:val="187"/>
        </w:trPr>
        <w:tc>
          <w:tcPr>
            <w:tcW w:w="1422" w:type="dxa"/>
            <w:vMerge/>
          </w:tcPr>
          <w:p w14:paraId="4E0ACB29" w14:textId="77777777" w:rsidR="000F0341" w:rsidRPr="00BF62A1" w:rsidRDefault="000F0341" w:rsidP="00E40B0D">
            <w:pPr>
              <w:spacing w:line="240" w:lineRule="auto"/>
              <w:jc w:val="left"/>
              <w:rPr>
                <w:color w:val="000000"/>
                <w:sz w:val="14"/>
                <w:szCs w:val="14"/>
              </w:rPr>
            </w:pPr>
          </w:p>
        </w:tc>
        <w:tc>
          <w:tcPr>
            <w:tcW w:w="2973" w:type="dxa"/>
          </w:tcPr>
          <w:p w14:paraId="0F20C814" w14:textId="77777777" w:rsidR="000F0341" w:rsidRPr="00BF62A1" w:rsidRDefault="000F0341" w:rsidP="00E40B0D">
            <w:pPr>
              <w:spacing w:line="240" w:lineRule="auto"/>
              <w:jc w:val="left"/>
              <w:rPr>
                <w:color w:val="000000"/>
                <w:sz w:val="14"/>
                <w:szCs w:val="14"/>
              </w:rPr>
            </w:pPr>
            <w:r w:rsidRPr="00BF62A1">
              <w:rPr>
                <w:color w:val="000000"/>
                <w:sz w:val="14"/>
                <w:szCs w:val="14"/>
              </w:rPr>
              <w:t>Extended hepatic lobectomy</w:t>
            </w:r>
          </w:p>
        </w:tc>
        <w:tc>
          <w:tcPr>
            <w:tcW w:w="1843" w:type="dxa"/>
          </w:tcPr>
          <w:p w14:paraId="77A8551E" w14:textId="77777777" w:rsidR="000F0341" w:rsidRPr="00BF62A1" w:rsidRDefault="000F0341" w:rsidP="00E40B0D">
            <w:pPr>
              <w:spacing w:line="240" w:lineRule="auto"/>
              <w:jc w:val="left"/>
              <w:rPr>
                <w:color w:val="000000"/>
                <w:sz w:val="14"/>
                <w:szCs w:val="14"/>
              </w:rPr>
            </w:pPr>
            <w:r w:rsidRPr="00BF62A1">
              <w:rPr>
                <w:color w:val="000000"/>
                <w:sz w:val="14"/>
                <w:szCs w:val="14"/>
              </w:rPr>
              <w:t>318 (14.1)</w:t>
            </w:r>
          </w:p>
        </w:tc>
        <w:tc>
          <w:tcPr>
            <w:tcW w:w="1984" w:type="dxa"/>
            <w:vMerge/>
          </w:tcPr>
          <w:p w14:paraId="0FD66666" w14:textId="77777777" w:rsidR="000F0341" w:rsidRPr="00BF62A1" w:rsidRDefault="000F0341" w:rsidP="00E40B0D">
            <w:pPr>
              <w:spacing w:line="240" w:lineRule="auto"/>
              <w:jc w:val="left"/>
              <w:rPr>
                <w:color w:val="000000"/>
                <w:sz w:val="14"/>
                <w:szCs w:val="14"/>
              </w:rPr>
            </w:pPr>
          </w:p>
        </w:tc>
        <w:tc>
          <w:tcPr>
            <w:tcW w:w="3119" w:type="dxa"/>
            <w:vMerge/>
          </w:tcPr>
          <w:p w14:paraId="2F230C54" w14:textId="77777777" w:rsidR="000F0341" w:rsidRPr="00BF62A1" w:rsidRDefault="000F0341" w:rsidP="00E40B0D">
            <w:pPr>
              <w:spacing w:line="240" w:lineRule="auto"/>
              <w:jc w:val="left"/>
              <w:rPr>
                <w:color w:val="000000"/>
                <w:sz w:val="14"/>
                <w:szCs w:val="14"/>
              </w:rPr>
            </w:pPr>
          </w:p>
        </w:tc>
        <w:tc>
          <w:tcPr>
            <w:tcW w:w="3234" w:type="dxa"/>
            <w:vMerge/>
          </w:tcPr>
          <w:p w14:paraId="6E9CD1F9" w14:textId="77777777" w:rsidR="000F0341" w:rsidRPr="00BF62A1" w:rsidRDefault="000F0341" w:rsidP="00E40B0D">
            <w:pPr>
              <w:spacing w:line="240" w:lineRule="auto"/>
              <w:jc w:val="left"/>
              <w:rPr>
                <w:color w:val="000000"/>
                <w:sz w:val="14"/>
                <w:szCs w:val="14"/>
              </w:rPr>
            </w:pPr>
          </w:p>
        </w:tc>
      </w:tr>
      <w:tr w:rsidR="000F0341" w:rsidRPr="00BF62A1" w14:paraId="7A0324A5" w14:textId="77777777" w:rsidTr="00E40B0D">
        <w:trPr>
          <w:trHeight w:val="187"/>
        </w:trPr>
        <w:tc>
          <w:tcPr>
            <w:tcW w:w="1422" w:type="dxa"/>
            <w:vMerge/>
            <w:tcBorders>
              <w:bottom w:val="single" w:sz="8" w:space="0" w:color="auto"/>
            </w:tcBorders>
          </w:tcPr>
          <w:p w14:paraId="7F563532"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2943B075" w14:textId="77777777" w:rsidR="000F0341" w:rsidRPr="00BF62A1" w:rsidRDefault="000F0341" w:rsidP="00E40B0D">
            <w:pPr>
              <w:spacing w:line="240" w:lineRule="auto"/>
              <w:jc w:val="left"/>
              <w:rPr>
                <w:color w:val="000000"/>
                <w:sz w:val="14"/>
                <w:szCs w:val="14"/>
              </w:rPr>
            </w:pPr>
            <w:r w:rsidRPr="00BF62A1">
              <w:rPr>
                <w:color w:val="000000"/>
                <w:sz w:val="14"/>
                <w:szCs w:val="14"/>
              </w:rPr>
              <w:t>Hepatectomy not otherwise specified</w:t>
            </w:r>
          </w:p>
        </w:tc>
        <w:tc>
          <w:tcPr>
            <w:tcW w:w="1843" w:type="dxa"/>
            <w:tcBorders>
              <w:bottom w:val="single" w:sz="8" w:space="0" w:color="auto"/>
            </w:tcBorders>
          </w:tcPr>
          <w:p w14:paraId="24D5448F" w14:textId="77777777" w:rsidR="000F0341" w:rsidRPr="00BF62A1" w:rsidRDefault="000F0341" w:rsidP="00E40B0D">
            <w:pPr>
              <w:spacing w:line="240" w:lineRule="auto"/>
              <w:jc w:val="left"/>
              <w:rPr>
                <w:color w:val="000000"/>
                <w:sz w:val="14"/>
                <w:szCs w:val="14"/>
              </w:rPr>
            </w:pPr>
            <w:r w:rsidRPr="00BF62A1">
              <w:rPr>
                <w:color w:val="000000"/>
                <w:sz w:val="14"/>
                <w:szCs w:val="14"/>
              </w:rPr>
              <w:t>392 (17.4)</w:t>
            </w:r>
          </w:p>
        </w:tc>
        <w:tc>
          <w:tcPr>
            <w:tcW w:w="1984" w:type="dxa"/>
            <w:vMerge/>
            <w:tcBorders>
              <w:bottom w:val="single" w:sz="8" w:space="0" w:color="auto"/>
            </w:tcBorders>
          </w:tcPr>
          <w:p w14:paraId="24B3E370"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24291016"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565AF202" w14:textId="77777777" w:rsidR="000F0341" w:rsidRPr="00BF62A1" w:rsidRDefault="000F0341" w:rsidP="00E40B0D">
            <w:pPr>
              <w:spacing w:line="240" w:lineRule="auto"/>
              <w:jc w:val="left"/>
              <w:rPr>
                <w:color w:val="000000"/>
                <w:sz w:val="14"/>
                <w:szCs w:val="14"/>
              </w:rPr>
            </w:pPr>
          </w:p>
        </w:tc>
      </w:tr>
      <w:tr w:rsidR="000F0341" w:rsidRPr="00BF62A1" w14:paraId="08C8799E" w14:textId="77777777" w:rsidTr="00E40B0D">
        <w:trPr>
          <w:trHeight w:val="121"/>
        </w:trPr>
        <w:tc>
          <w:tcPr>
            <w:tcW w:w="1422" w:type="dxa"/>
            <w:vMerge w:val="restart"/>
            <w:tcBorders>
              <w:top w:val="single" w:sz="8" w:space="0" w:color="auto"/>
            </w:tcBorders>
            <w:hideMark/>
          </w:tcPr>
          <w:p w14:paraId="65A1B9B0"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Lu 2014 </w:t>
            </w:r>
            <w:r w:rsidRPr="00BF62A1">
              <w:rPr>
                <w:color w:val="000000"/>
                <w:sz w:val="14"/>
                <w:szCs w:val="14"/>
              </w:rPr>
              <w:fldChar w:fldCharType="begin"/>
            </w:r>
            <w:r>
              <w:rPr>
                <w:color w:val="000000"/>
                <w:sz w:val="14"/>
                <w:szCs w:val="14"/>
              </w:rPr>
              <w:instrText xml:space="preserve"> ADDIN ZOTERO_ITEM CSL_CITATION {"citationID":"ukJnEp93","properties":{"formattedCitation":"[53]","plainCitation":"[53]","noteIndex":0},"citationItems":[{"id":14338,"uris":["http://zotero.org/groups/4983919/items/TGHPYHRJ"],"itemData":{"id":14338,"type":"article-journal","abstract":"OBJECTIVE: The objective of this study was to explore volume-outcome associations after major hepatectomy for hepatocellular carcinoma (HCC). METHODS: This population-based cohort study retrospectively analyzed 23,107 major hepatectomies for HCC patients from 1998 to 2009. Relationships between hospital/surgeon volume and patient outcome were analyzed by propensity score matching (PSM). Five-year overall survival (OS) was estimated by Kaplan-Meier method, and differences were compared by log-rank test. RESULTS: The mean length of stay (LOS) after major hepatectomy was 18.1 days, and the mean hospital cost was US$5,088.2. After PSM, the mean OS in high- and low-volume hospitals was 71.1 months (standard deviation (SD) 0.7 months) and 68.6 months (SD 0.6 months), respectively; the mean OS in high- and low-volume surgeons was 78.5 months (SD 0.7 months) and 66.9 months (SD 0.7 months), respectively. The PSM analysis showed that treatment by high-volume hospitals and treatment by high-volume surgeons were both associated with significantly shorter LOS, lower hospital cost, and longer survival compared to their low-volume counterparts (P &lt; 0.001). CONCLUSIONS: The results of this nationwide study support the regionalization of HCC treatment by hospital volume and by surgeon volume. High surgeon volume revealed both short- and long-term benefits. The applicability of PSM in volume-outcome analysis may also be confirmed.","container-title":"J Gastrointest Surg","DOI":"10.1007/s11605-014-2513-5","ISSN":"1091-255x","issue":"6","language":"eng","page":"1138-45","title":"Volume-outcome associations after major hepatectomy for hepatocellular carcinoma: a nationwide Taiwan study","volume":"18","author":[{"family":"Lu","given":"C. C."},{"family":"Chiu","given":"C. C."},{"family":"Wang","given":"J. J."},{"family":"Chiu","given":"Y. H."},{"family":"Shi","given":"H. Y."}],"issued":{"date-parts":[["2014",6]]}}}],"schema":"https://github.com/citation-style-language/schema/raw/master/csl-citation.json"} </w:instrText>
            </w:r>
            <w:r w:rsidRPr="00BF62A1">
              <w:rPr>
                <w:color w:val="000000"/>
                <w:sz w:val="14"/>
                <w:szCs w:val="14"/>
              </w:rPr>
              <w:fldChar w:fldCharType="separate"/>
            </w:r>
            <w:r w:rsidRPr="004125CE">
              <w:rPr>
                <w:sz w:val="14"/>
              </w:rPr>
              <w:t>[53]</w:t>
            </w:r>
            <w:r w:rsidRPr="00BF62A1">
              <w:rPr>
                <w:color w:val="000000"/>
                <w:sz w:val="14"/>
                <w:szCs w:val="14"/>
              </w:rPr>
              <w:fldChar w:fldCharType="end"/>
            </w:r>
          </w:p>
        </w:tc>
        <w:tc>
          <w:tcPr>
            <w:tcW w:w="2973" w:type="dxa"/>
            <w:tcBorders>
              <w:top w:val="single" w:sz="8" w:space="0" w:color="auto"/>
            </w:tcBorders>
            <w:hideMark/>
          </w:tcPr>
          <w:p w14:paraId="085D7693" w14:textId="77777777" w:rsidR="000F0341" w:rsidRPr="00493118" w:rsidRDefault="000F0341" w:rsidP="00E40B0D">
            <w:pPr>
              <w:spacing w:line="240" w:lineRule="auto"/>
              <w:jc w:val="left"/>
              <w:rPr>
                <w:b/>
                <w:bCs/>
                <w:color w:val="000000"/>
                <w:sz w:val="14"/>
                <w:szCs w:val="14"/>
              </w:rPr>
            </w:pPr>
            <w:r w:rsidRPr="00493118">
              <w:rPr>
                <w:b/>
                <w:bCs/>
                <w:color w:val="000000"/>
                <w:sz w:val="14"/>
                <w:szCs w:val="14"/>
              </w:rPr>
              <w:t>Major hepatectomies:</w:t>
            </w:r>
          </w:p>
          <w:p w14:paraId="049A8C85" w14:textId="77777777" w:rsidR="000F0341" w:rsidRPr="00BF62A1" w:rsidRDefault="000F0341" w:rsidP="00E40B0D">
            <w:pPr>
              <w:spacing w:line="240" w:lineRule="auto"/>
              <w:jc w:val="left"/>
              <w:rPr>
                <w:color w:val="000000"/>
                <w:sz w:val="14"/>
                <w:szCs w:val="14"/>
              </w:rPr>
            </w:pPr>
          </w:p>
        </w:tc>
        <w:tc>
          <w:tcPr>
            <w:tcW w:w="1843" w:type="dxa"/>
            <w:vMerge w:val="restart"/>
            <w:tcBorders>
              <w:top w:val="single" w:sz="8" w:space="0" w:color="auto"/>
            </w:tcBorders>
            <w:hideMark/>
          </w:tcPr>
          <w:p w14:paraId="380D76C0" w14:textId="77777777" w:rsidR="000F0341" w:rsidRPr="00BF62A1" w:rsidRDefault="000F0341" w:rsidP="00E40B0D">
            <w:pPr>
              <w:spacing w:line="240" w:lineRule="auto"/>
              <w:jc w:val="left"/>
              <w:rPr>
                <w:color w:val="000000"/>
                <w:sz w:val="14"/>
                <w:szCs w:val="14"/>
              </w:rPr>
            </w:pPr>
            <w:r w:rsidRPr="00BF62A1">
              <w:rPr>
                <w:color w:val="000000"/>
                <w:sz w:val="14"/>
                <w:szCs w:val="14"/>
              </w:rPr>
              <w:t>-</w:t>
            </w:r>
          </w:p>
        </w:tc>
        <w:tc>
          <w:tcPr>
            <w:tcW w:w="1984" w:type="dxa"/>
            <w:vMerge w:val="restart"/>
            <w:tcBorders>
              <w:top w:val="single" w:sz="8" w:space="0" w:color="auto"/>
            </w:tcBorders>
            <w:hideMark/>
          </w:tcPr>
          <w:p w14:paraId="77917292" w14:textId="77777777" w:rsidR="000F0341" w:rsidRPr="00BF62A1" w:rsidRDefault="000F0341" w:rsidP="00E40B0D">
            <w:pPr>
              <w:spacing w:line="240" w:lineRule="auto"/>
              <w:jc w:val="left"/>
              <w:rPr>
                <w:color w:val="000000"/>
                <w:sz w:val="14"/>
                <w:szCs w:val="14"/>
              </w:rPr>
            </w:pPr>
            <w:r w:rsidRPr="00BF62A1">
              <w:rPr>
                <w:color w:val="000000"/>
                <w:sz w:val="14"/>
                <w:szCs w:val="14"/>
              </w:rPr>
              <w:t>ICD-9-CM: 50.3, 50.22 / ICD-9-CM 155.xx</w:t>
            </w:r>
          </w:p>
        </w:tc>
        <w:tc>
          <w:tcPr>
            <w:tcW w:w="3119" w:type="dxa"/>
            <w:vMerge w:val="restart"/>
            <w:tcBorders>
              <w:top w:val="single" w:sz="8" w:space="0" w:color="auto"/>
            </w:tcBorders>
            <w:hideMark/>
          </w:tcPr>
          <w:p w14:paraId="21E54E8A" w14:textId="77777777" w:rsidR="000F0341" w:rsidRPr="00BF62A1" w:rsidRDefault="000F0341" w:rsidP="00E40B0D">
            <w:pPr>
              <w:spacing w:line="240" w:lineRule="auto"/>
              <w:jc w:val="left"/>
              <w:rPr>
                <w:color w:val="000000"/>
                <w:sz w:val="14"/>
                <w:szCs w:val="14"/>
              </w:rPr>
            </w:pPr>
            <w:r>
              <w:rPr>
                <w:color w:val="000000"/>
                <w:sz w:val="14"/>
                <w:szCs w:val="14"/>
              </w:rPr>
              <w:t>S</w:t>
            </w:r>
            <w:r w:rsidRPr="00BF62A1">
              <w:rPr>
                <w:color w:val="000000"/>
                <w:sz w:val="14"/>
                <w:szCs w:val="14"/>
              </w:rPr>
              <w:t>econdary and unspecified malignant neoplasm (ICD-9-CM codes 196.XX–199.XX), malignant neoplasm of intrahepatic bile ducts (ICD-9-CM code 155.1), or malignant neoplasm of liver, not specified as primary or secondary (ICD-9-CM code 155.2)</w:t>
            </w:r>
          </w:p>
        </w:tc>
        <w:tc>
          <w:tcPr>
            <w:tcW w:w="3234" w:type="dxa"/>
            <w:vMerge w:val="restart"/>
            <w:tcBorders>
              <w:top w:val="single" w:sz="8" w:space="0" w:color="auto"/>
            </w:tcBorders>
            <w:hideMark/>
          </w:tcPr>
          <w:p w14:paraId="7502D594" w14:textId="77777777" w:rsidR="000F0341" w:rsidRPr="00BF62A1" w:rsidRDefault="000F0341" w:rsidP="00E40B0D">
            <w:pPr>
              <w:spacing w:line="240" w:lineRule="auto"/>
              <w:jc w:val="left"/>
              <w:rPr>
                <w:color w:val="000000"/>
                <w:sz w:val="14"/>
                <w:szCs w:val="14"/>
              </w:rPr>
            </w:pPr>
            <w:r>
              <w:rPr>
                <w:color w:val="000000"/>
                <w:sz w:val="14"/>
                <w:szCs w:val="14"/>
              </w:rPr>
              <w:t>A</w:t>
            </w:r>
            <w:r w:rsidRPr="00BF62A1">
              <w:rPr>
                <w:color w:val="000000"/>
                <w:sz w:val="14"/>
                <w:szCs w:val="14"/>
              </w:rPr>
              <w:t>ge, CCI, diagnosis, gender, hospital type, surgeon specialty, surgery type</w:t>
            </w:r>
          </w:p>
        </w:tc>
      </w:tr>
      <w:tr w:rsidR="000F0341" w:rsidRPr="00BF62A1" w14:paraId="10386CFA" w14:textId="77777777" w:rsidTr="00E40B0D">
        <w:trPr>
          <w:trHeight w:val="221"/>
        </w:trPr>
        <w:tc>
          <w:tcPr>
            <w:tcW w:w="1422" w:type="dxa"/>
            <w:vMerge/>
          </w:tcPr>
          <w:p w14:paraId="0DEE56C7" w14:textId="77777777" w:rsidR="000F0341" w:rsidRPr="00BF62A1" w:rsidRDefault="000F0341" w:rsidP="00E40B0D">
            <w:pPr>
              <w:spacing w:line="240" w:lineRule="auto"/>
              <w:jc w:val="left"/>
              <w:rPr>
                <w:color w:val="000000"/>
                <w:sz w:val="14"/>
                <w:szCs w:val="14"/>
              </w:rPr>
            </w:pPr>
          </w:p>
        </w:tc>
        <w:tc>
          <w:tcPr>
            <w:tcW w:w="2973" w:type="dxa"/>
          </w:tcPr>
          <w:p w14:paraId="0B83C280" w14:textId="77777777" w:rsidR="000F0341" w:rsidRPr="00BF62A1" w:rsidRDefault="000F0341" w:rsidP="00E40B0D">
            <w:pPr>
              <w:spacing w:line="240" w:lineRule="auto"/>
              <w:jc w:val="left"/>
              <w:rPr>
                <w:color w:val="000000"/>
                <w:sz w:val="14"/>
                <w:szCs w:val="14"/>
              </w:rPr>
            </w:pPr>
            <w:r w:rsidRPr="00BF62A1">
              <w:rPr>
                <w:color w:val="000000"/>
                <w:sz w:val="14"/>
                <w:szCs w:val="14"/>
              </w:rPr>
              <w:t>Lobectomy</w:t>
            </w:r>
          </w:p>
        </w:tc>
        <w:tc>
          <w:tcPr>
            <w:tcW w:w="1843" w:type="dxa"/>
            <w:vMerge/>
          </w:tcPr>
          <w:p w14:paraId="58C95070" w14:textId="77777777" w:rsidR="000F0341" w:rsidRPr="00BF62A1" w:rsidRDefault="000F0341" w:rsidP="00E40B0D">
            <w:pPr>
              <w:spacing w:line="240" w:lineRule="auto"/>
              <w:jc w:val="left"/>
              <w:rPr>
                <w:color w:val="000000"/>
                <w:sz w:val="14"/>
                <w:szCs w:val="14"/>
              </w:rPr>
            </w:pPr>
          </w:p>
        </w:tc>
        <w:tc>
          <w:tcPr>
            <w:tcW w:w="1984" w:type="dxa"/>
            <w:vMerge/>
          </w:tcPr>
          <w:p w14:paraId="3E1FAB69" w14:textId="77777777" w:rsidR="000F0341" w:rsidRPr="00BF62A1" w:rsidRDefault="000F0341" w:rsidP="00E40B0D">
            <w:pPr>
              <w:spacing w:line="240" w:lineRule="auto"/>
              <w:jc w:val="left"/>
              <w:rPr>
                <w:color w:val="000000"/>
                <w:sz w:val="14"/>
                <w:szCs w:val="14"/>
              </w:rPr>
            </w:pPr>
          </w:p>
        </w:tc>
        <w:tc>
          <w:tcPr>
            <w:tcW w:w="3119" w:type="dxa"/>
            <w:vMerge/>
          </w:tcPr>
          <w:p w14:paraId="5FFFA300" w14:textId="77777777" w:rsidR="000F0341" w:rsidRPr="00BF62A1" w:rsidRDefault="000F0341" w:rsidP="00E40B0D">
            <w:pPr>
              <w:spacing w:line="240" w:lineRule="auto"/>
              <w:jc w:val="left"/>
              <w:rPr>
                <w:color w:val="000000"/>
                <w:sz w:val="14"/>
                <w:szCs w:val="14"/>
              </w:rPr>
            </w:pPr>
          </w:p>
        </w:tc>
        <w:tc>
          <w:tcPr>
            <w:tcW w:w="3234" w:type="dxa"/>
            <w:vMerge/>
          </w:tcPr>
          <w:p w14:paraId="6D1D1841" w14:textId="77777777" w:rsidR="000F0341" w:rsidRPr="00BF62A1" w:rsidRDefault="000F0341" w:rsidP="00E40B0D">
            <w:pPr>
              <w:spacing w:line="240" w:lineRule="auto"/>
              <w:jc w:val="left"/>
              <w:rPr>
                <w:color w:val="000000"/>
                <w:sz w:val="14"/>
                <w:szCs w:val="14"/>
              </w:rPr>
            </w:pPr>
          </w:p>
        </w:tc>
      </w:tr>
      <w:tr w:rsidR="000F0341" w:rsidRPr="00BF62A1" w14:paraId="5E4861C7" w14:textId="77777777" w:rsidTr="00E40B0D">
        <w:trPr>
          <w:trHeight w:val="197"/>
        </w:trPr>
        <w:tc>
          <w:tcPr>
            <w:tcW w:w="1422" w:type="dxa"/>
            <w:vMerge/>
            <w:tcBorders>
              <w:bottom w:val="single" w:sz="8" w:space="0" w:color="auto"/>
            </w:tcBorders>
          </w:tcPr>
          <w:p w14:paraId="5FB973EE"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68A16BBE" w14:textId="77777777" w:rsidR="000F0341" w:rsidRPr="00BF62A1" w:rsidRDefault="000F0341" w:rsidP="00E40B0D">
            <w:pPr>
              <w:spacing w:line="240" w:lineRule="auto"/>
              <w:jc w:val="left"/>
              <w:rPr>
                <w:color w:val="000000"/>
                <w:sz w:val="14"/>
                <w:szCs w:val="14"/>
              </w:rPr>
            </w:pPr>
            <w:r w:rsidRPr="00BF62A1">
              <w:rPr>
                <w:color w:val="000000"/>
                <w:sz w:val="14"/>
                <w:szCs w:val="14"/>
              </w:rPr>
              <w:t>Wedge resection</w:t>
            </w:r>
          </w:p>
        </w:tc>
        <w:tc>
          <w:tcPr>
            <w:tcW w:w="1843" w:type="dxa"/>
            <w:vMerge/>
            <w:tcBorders>
              <w:bottom w:val="single" w:sz="8" w:space="0" w:color="auto"/>
            </w:tcBorders>
          </w:tcPr>
          <w:p w14:paraId="13AF42A6" w14:textId="77777777" w:rsidR="000F0341" w:rsidRPr="00BF62A1" w:rsidRDefault="000F0341" w:rsidP="00E40B0D">
            <w:pPr>
              <w:spacing w:line="240" w:lineRule="auto"/>
              <w:jc w:val="left"/>
              <w:rPr>
                <w:color w:val="000000"/>
                <w:sz w:val="14"/>
                <w:szCs w:val="14"/>
              </w:rPr>
            </w:pPr>
          </w:p>
        </w:tc>
        <w:tc>
          <w:tcPr>
            <w:tcW w:w="1984" w:type="dxa"/>
            <w:vMerge/>
            <w:tcBorders>
              <w:bottom w:val="single" w:sz="8" w:space="0" w:color="auto"/>
            </w:tcBorders>
          </w:tcPr>
          <w:p w14:paraId="459C9FFD"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24B283E7"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6F7B0A55" w14:textId="77777777" w:rsidR="000F0341" w:rsidRPr="00BF62A1" w:rsidRDefault="000F0341" w:rsidP="00E40B0D">
            <w:pPr>
              <w:spacing w:line="240" w:lineRule="auto"/>
              <w:jc w:val="left"/>
              <w:rPr>
                <w:color w:val="000000"/>
                <w:sz w:val="14"/>
                <w:szCs w:val="14"/>
              </w:rPr>
            </w:pPr>
          </w:p>
        </w:tc>
      </w:tr>
      <w:tr w:rsidR="000F0341" w:rsidRPr="00BF62A1" w14:paraId="5C0086AA" w14:textId="77777777" w:rsidTr="00E40B0D">
        <w:trPr>
          <w:trHeight w:val="88"/>
        </w:trPr>
        <w:tc>
          <w:tcPr>
            <w:tcW w:w="1422" w:type="dxa"/>
            <w:vMerge w:val="restart"/>
            <w:tcBorders>
              <w:top w:val="single" w:sz="8" w:space="0" w:color="auto"/>
            </w:tcBorders>
            <w:hideMark/>
          </w:tcPr>
          <w:p w14:paraId="19DBF5B9"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Magnin 2023 </w:t>
            </w:r>
            <w:r w:rsidRPr="00BF62A1">
              <w:rPr>
                <w:color w:val="000000"/>
                <w:sz w:val="14"/>
                <w:szCs w:val="14"/>
              </w:rPr>
              <w:fldChar w:fldCharType="begin"/>
            </w:r>
            <w:r>
              <w:rPr>
                <w:color w:val="000000"/>
                <w:sz w:val="14"/>
                <w:szCs w:val="14"/>
              </w:rPr>
              <w:instrText xml:space="preserve"> ADDIN ZOTERO_ITEM CSL_CITATION {"citationID":"lHiUZoWl","properties":{"formattedCitation":"[62]","plainCitation":"[62]","noteIndex":0},"citationItems":[{"id":14274,"uris":["http://zotero.org/groups/4983919/items/4BILQIX2"],"itemData":{"id":14274,"type":"article-journal","abstract":"BACKGROUND: This nationwide retrospective study was undertaken to evaluate impact of hospital volume and influence of liver transplantation activity on postoperative mortality and failure to rescue after liver surgery. METHODS: This was a retrospective study of patients who underwent liver resection between 2011 and 2019 using a nationwide database. A threshold of surgical activities from which in-hospital mortality declines was calculated. Hospitals were divided into high- and low-volume centres. Main outcomes were in-hospital mortality and failure to rescue. RESULTS: Among 39 286 patients included, the in-hospital mortality rate was 2.8 per cent. The activity volume threshold from which in-hospital mortality declined was 25 hepatectomies. High-volume centres (more than 25 resections per year) had more postoperative complications but a lower rate of in-hospital mortality (2.6 versus 3 per cent; P &lt; 0.001) and failure to rescue (5 versus 6.3 per cent; P &lt; 0.001), in particular related to specific complications (liver failure, biliary complications, vascular complications) (5.5 versus 7.6 per cent; P &lt; 0.001). Liver transplantation activity did not have an impact on these outcomes. CONCLUSION: From more than 25 liver resections per year, rates of in-hospital mortality and failure to rescue declined. Management of specific postoperative complications appeared to be better in high-volume centres.","container-title":"The British journal of surgery","DOI":"10.1093/bjs/znac458","ISSN":"1365-2168 (Electronic)","language":"eng","title":"Impact of hospital volume in liver surgery on postoperative mortality and morbidity: nationwide study.","URL":"https://pubmed.ncbi.nlm.nih.gov/36724824/","author":[{"family":"Magnin","given":"Josephine"},{"family":"Bernard","given":"Alain"},{"family":"Cottenet","given":"Jonathan"},{"family":"Lequeu","given":"Jean-Baptiste"},{"family":"Ortega","given":"Pablo"},{"family":"Quantin","given":"Catherine"},{"family":"Facy","given":"Oliver"}],"issued":{"date-parts":[["2023",2]]}}}],"schema":"https://github.com/citation-style-language/schema/raw/master/csl-citation.json"} </w:instrText>
            </w:r>
            <w:r w:rsidRPr="00BF62A1">
              <w:rPr>
                <w:color w:val="000000"/>
                <w:sz w:val="14"/>
                <w:szCs w:val="14"/>
              </w:rPr>
              <w:fldChar w:fldCharType="separate"/>
            </w:r>
            <w:r w:rsidRPr="004125CE">
              <w:rPr>
                <w:sz w:val="14"/>
              </w:rPr>
              <w:t>[62]</w:t>
            </w:r>
            <w:r w:rsidRPr="00BF62A1">
              <w:rPr>
                <w:color w:val="000000"/>
                <w:sz w:val="14"/>
                <w:szCs w:val="14"/>
              </w:rPr>
              <w:fldChar w:fldCharType="end"/>
            </w:r>
          </w:p>
        </w:tc>
        <w:tc>
          <w:tcPr>
            <w:tcW w:w="2973" w:type="dxa"/>
            <w:tcBorders>
              <w:top w:val="single" w:sz="8" w:space="0" w:color="auto"/>
            </w:tcBorders>
            <w:hideMark/>
          </w:tcPr>
          <w:p w14:paraId="266E794C" w14:textId="77777777" w:rsidR="000F0341" w:rsidRPr="00BF62A1" w:rsidRDefault="000F0341" w:rsidP="00E40B0D">
            <w:pPr>
              <w:spacing w:line="240" w:lineRule="auto"/>
              <w:jc w:val="left"/>
              <w:rPr>
                <w:color w:val="000000"/>
                <w:sz w:val="14"/>
                <w:szCs w:val="14"/>
              </w:rPr>
            </w:pPr>
            <w:r w:rsidRPr="00BF62A1">
              <w:rPr>
                <w:color w:val="000000"/>
                <w:sz w:val="14"/>
                <w:szCs w:val="14"/>
              </w:rPr>
              <w:t>Laparoscopic minor (≤2 segments)</w:t>
            </w:r>
            <w:r w:rsidRPr="00BF62A1">
              <w:rPr>
                <w:color w:val="000000"/>
                <w:sz w:val="14"/>
                <w:szCs w:val="14"/>
              </w:rPr>
              <w:br/>
            </w:r>
          </w:p>
        </w:tc>
        <w:tc>
          <w:tcPr>
            <w:tcW w:w="1843" w:type="dxa"/>
            <w:tcBorders>
              <w:top w:val="single" w:sz="8" w:space="0" w:color="auto"/>
            </w:tcBorders>
            <w:hideMark/>
          </w:tcPr>
          <w:p w14:paraId="77303033"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6988 (17.8) </w:t>
            </w:r>
            <w:r w:rsidRPr="00BF62A1">
              <w:rPr>
                <w:color w:val="000000"/>
                <w:sz w:val="14"/>
                <w:szCs w:val="14"/>
              </w:rPr>
              <w:br/>
            </w:r>
          </w:p>
        </w:tc>
        <w:tc>
          <w:tcPr>
            <w:tcW w:w="1984" w:type="dxa"/>
            <w:vMerge w:val="restart"/>
            <w:tcBorders>
              <w:top w:val="single" w:sz="8" w:space="0" w:color="auto"/>
            </w:tcBorders>
            <w:noWrap/>
            <w:hideMark/>
          </w:tcPr>
          <w:p w14:paraId="0EB5FB55" w14:textId="77777777" w:rsidR="000F0341" w:rsidRPr="00BF62A1" w:rsidRDefault="000F0341" w:rsidP="00E40B0D">
            <w:pPr>
              <w:spacing w:line="240" w:lineRule="auto"/>
              <w:jc w:val="left"/>
              <w:rPr>
                <w:color w:val="000000"/>
                <w:sz w:val="14"/>
                <w:szCs w:val="14"/>
              </w:rPr>
            </w:pPr>
            <w:r w:rsidRPr="00BF62A1">
              <w:rPr>
                <w:color w:val="000000"/>
                <w:sz w:val="14"/>
                <w:szCs w:val="14"/>
              </w:rPr>
              <w:t>-</w:t>
            </w:r>
          </w:p>
        </w:tc>
        <w:tc>
          <w:tcPr>
            <w:tcW w:w="3119" w:type="dxa"/>
            <w:vMerge w:val="restart"/>
            <w:tcBorders>
              <w:top w:val="single" w:sz="8" w:space="0" w:color="auto"/>
            </w:tcBorders>
            <w:hideMark/>
          </w:tcPr>
          <w:p w14:paraId="7677A772" w14:textId="77777777" w:rsidR="000F0341" w:rsidRPr="00BF62A1" w:rsidRDefault="000F0341" w:rsidP="00E40B0D">
            <w:pPr>
              <w:spacing w:line="240" w:lineRule="auto"/>
              <w:jc w:val="left"/>
              <w:rPr>
                <w:color w:val="000000"/>
                <w:sz w:val="14"/>
                <w:szCs w:val="14"/>
              </w:rPr>
            </w:pPr>
            <w:r w:rsidRPr="00BF62A1">
              <w:rPr>
                <w:color w:val="000000"/>
                <w:sz w:val="14"/>
                <w:szCs w:val="14"/>
              </w:rPr>
              <w:t>&lt;18 years; surgery for infectious or traumatic liver diseases; visceral organ resection during the same procedure (liver resection in combination with resection of colorectal primary tumors)</w:t>
            </w:r>
          </w:p>
        </w:tc>
        <w:tc>
          <w:tcPr>
            <w:tcW w:w="3234" w:type="dxa"/>
            <w:vMerge w:val="restart"/>
            <w:tcBorders>
              <w:top w:val="single" w:sz="8" w:space="0" w:color="auto"/>
            </w:tcBorders>
            <w:hideMark/>
          </w:tcPr>
          <w:p w14:paraId="675FA9C3" w14:textId="77777777" w:rsidR="000F0341" w:rsidRPr="00BF62A1" w:rsidRDefault="000F0341" w:rsidP="00E40B0D">
            <w:pPr>
              <w:spacing w:line="240" w:lineRule="auto"/>
              <w:jc w:val="left"/>
              <w:rPr>
                <w:color w:val="000000"/>
                <w:sz w:val="14"/>
                <w:szCs w:val="14"/>
              </w:rPr>
            </w:pPr>
            <w:r>
              <w:rPr>
                <w:color w:val="000000"/>
                <w:sz w:val="14"/>
                <w:szCs w:val="14"/>
              </w:rPr>
              <w:t>A</w:t>
            </w:r>
            <w:r w:rsidRPr="00BF62A1">
              <w:rPr>
                <w:color w:val="000000"/>
                <w:sz w:val="14"/>
                <w:szCs w:val="14"/>
              </w:rPr>
              <w:t>ge, CCI, comorbidities, indication (malignant versus benign), gender, surgery type, surgical approach (laparotomy versus laparoscopy)</w:t>
            </w:r>
          </w:p>
        </w:tc>
      </w:tr>
      <w:tr w:rsidR="000F0341" w:rsidRPr="00BF62A1" w14:paraId="6427C95F" w14:textId="77777777" w:rsidTr="00E40B0D">
        <w:trPr>
          <w:trHeight w:val="91"/>
        </w:trPr>
        <w:tc>
          <w:tcPr>
            <w:tcW w:w="1422" w:type="dxa"/>
            <w:vMerge/>
          </w:tcPr>
          <w:p w14:paraId="1B3B0605" w14:textId="77777777" w:rsidR="000F0341" w:rsidRPr="00BF62A1" w:rsidRDefault="000F0341" w:rsidP="00E40B0D">
            <w:pPr>
              <w:spacing w:line="240" w:lineRule="auto"/>
              <w:jc w:val="left"/>
              <w:rPr>
                <w:color w:val="000000"/>
                <w:sz w:val="14"/>
                <w:szCs w:val="14"/>
              </w:rPr>
            </w:pPr>
          </w:p>
        </w:tc>
        <w:tc>
          <w:tcPr>
            <w:tcW w:w="2973" w:type="dxa"/>
          </w:tcPr>
          <w:p w14:paraId="4262B4A0" w14:textId="77777777" w:rsidR="000F0341" w:rsidRPr="00BF62A1" w:rsidRDefault="000F0341" w:rsidP="00E40B0D">
            <w:pPr>
              <w:spacing w:line="240" w:lineRule="auto"/>
              <w:jc w:val="left"/>
              <w:rPr>
                <w:color w:val="000000"/>
                <w:sz w:val="14"/>
                <w:szCs w:val="14"/>
              </w:rPr>
            </w:pPr>
            <w:r w:rsidRPr="00BF62A1">
              <w:rPr>
                <w:color w:val="000000"/>
                <w:sz w:val="14"/>
                <w:szCs w:val="14"/>
              </w:rPr>
              <w:t>Laparoscopic major (≥ 3 segments)</w:t>
            </w:r>
          </w:p>
        </w:tc>
        <w:tc>
          <w:tcPr>
            <w:tcW w:w="1843" w:type="dxa"/>
          </w:tcPr>
          <w:p w14:paraId="5FB82A8D" w14:textId="77777777" w:rsidR="000F0341" w:rsidRPr="00BF62A1" w:rsidRDefault="000F0341" w:rsidP="00E40B0D">
            <w:pPr>
              <w:spacing w:line="240" w:lineRule="auto"/>
              <w:jc w:val="left"/>
              <w:rPr>
                <w:color w:val="000000"/>
                <w:sz w:val="14"/>
                <w:szCs w:val="14"/>
              </w:rPr>
            </w:pPr>
            <w:r w:rsidRPr="00BF62A1">
              <w:rPr>
                <w:color w:val="000000"/>
                <w:sz w:val="14"/>
                <w:szCs w:val="14"/>
              </w:rPr>
              <w:t>704 (1.8)</w:t>
            </w:r>
          </w:p>
        </w:tc>
        <w:tc>
          <w:tcPr>
            <w:tcW w:w="1984" w:type="dxa"/>
            <w:vMerge/>
            <w:noWrap/>
          </w:tcPr>
          <w:p w14:paraId="3745478D" w14:textId="77777777" w:rsidR="000F0341" w:rsidRPr="00BF62A1" w:rsidRDefault="000F0341" w:rsidP="00E40B0D">
            <w:pPr>
              <w:spacing w:line="240" w:lineRule="auto"/>
              <w:jc w:val="left"/>
              <w:rPr>
                <w:color w:val="000000"/>
                <w:sz w:val="14"/>
                <w:szCs w:val="14"/>
              </w:rPr>
            </w:pPr>
          </w:p>
        </w:tc>
        <w:tc>
          <w:tcPr>
            <w:tcW w:w="3119" w:type="dxa"/>
            <w:vMerge/>
          </w:tcPr>
          <w:p w14:paraId="77D6CE60" w14:textId="77777777" w:rsidR="000F0341" w:rsidRPr="00BF62A1" w:rsidRDefault="000F0341" w:rsidP="00E40B0D">
            <w:pPr>
              <w:spacing w:line="240" w:lineRule="auto"/>
              <w:jc w:val="left"/>
              <w:rPr>
                <w:color w:val="000000"/>
                <w:sz w:val="14"/>
                <w:szCs w:val="14"/>
              </w:rPr>
            </w:pPr>
          </w:p>
        </w:tc>
        <w:tc>
          <w:tcPr>
            <w:tcW w:w="3234" w:type="dxa"/>
            <w:vMerge/>
          </w:tcPr>
          <w:p w14:paraId="06B83722" w14:textId="77777777" w:rsidR="000F0341" w:rsidRPr="00BF62A1" w:rsidRDefault="000F0341" w:rsidP="00E40B0D">
            <w:pPr>
              <w:spacing w:line="240" w:lineRule="auto"/>
              <w:jc w:val="left"/>
              <w:rPr>
                <w:color w:val="000000"/>
                <w:sz w:val="14"/>
                <w:szCs w:val="14"/>
              </w:rPr>
            </w:pPr>
          </w:p>
        </w:tc>
      </w:tr>
      <w:tr w:rsidR="000F0341" w:rsidRPr="00BF62A1" w14:paraId="34424054" w14:textId="77777777" w:rsidTr="00E40B0D">
        <w:trPr>
          <w:trHeight w:val="110"/>
        </w:trPr>
        <w:tc>
          <w:tcPr>
            <w:tcW w:w="1422" w:type="dxa"/>
            <w:vMerge/>
          </w:tcPr>
          <w:p w14:paraId="6565404A" w14:textId="77777777" w:rsidR="000F0341" w:rsidRPr="00BF62A1" w:rsidRDefault="000F0341" w:rsidP="00E40B0D">
            <w:pPr>
              <w:spacing w:line="240" w:lineRule="auto"/>
              <w:jc w:val="left"/>
              <w:rPr>
                <w:color w:val="000000"/>
                <w:sz w:val="14"/>
                <w:szCs w:val="14"/>
              </w:rPr>
            </w:pPr>
          </w:p>
        </w:tc>
        <w:tc>
          <w:tcPr>
            <w:tcW w:w="2973" w:type="dxa"/>
          </w:tcPr>
          <w:p w14:paraId="78603D9B" w14:textId="77777777" w:rsidR="000F0341" w:rsidRPr="00BF62A1" w:rsidRDefault="000F0341" w:rsidP="00E40B0D">
            <w:pPr>
              <w:spacing w:line="240" w:lineRule="auto"/>
              <w:jc w:val="left"/>
              <w:rPr>
                <w:color w:val="000000"/>
                <w:sz w:val="14"/>
                <w:szCs w:val="14"/>
              </w:rPr>
            </w:pPr>
            <w:r w:rsidRPr="00BF62A1">
              <w:rPr>
                <w:color w:val="000000"/>
                <w:sz w:val="14"/>
                <w:szCs w:val="14"/>
              </w:rPr>
              <w:t>Open minor (≤2 segments)</w:t>
            </w:r>
          </w:p>
        </w:tc>
        <w:tc>
          <w:tcPr>
            <w:tcW w:w="1843" w:type="dxa"/>
          </w:tcPr>
          <w:p w14:paraId="1F2864A3" w14:textId="77777777" w:rsidR="000F0341" w:rsidRPr="00BF62A1" w:rsidRDefault="000F0341" w:rsidP="00E40B0D">
            <w:pPr>
              <w:spacing w:line="240" w:lineRule="auto"/>
              <w:jc w:val="left"/>
              <w:rPr>
                <w:color w:val="000000"/>
                <w:sz w:val="14"/>
                <w:szCs w:val="14"/>
              </w:rPr>
            </w:pPr>
            <w:r w:rsidRPr="00BF62A1">
              <w:rPr>
                <w:color w:val="000000"/>
                <w:sz w:val="14"/>
                <w:szCs w:val="14"/>
              </w:rPr>
              <w:t>20 515 (52.2)</w:t>
            </w:r>
          </w:p>
        </w:tc>
        <w:tc>
          <w:tcPr>
            <w:tcW w:w="1984" w:type="dxa"/>
            <w:vMerge/>
            <w:noWrap/>
          </w:tcPr>
          <w:p w14:paraId="6BA98878" w14:textId="77777777" w:rsidR="000F0341" w:rsidRPr="00BF62A1" w:rsidRDefault="000F0341" w:rsidP="00E40B0D">
            <w:pPr>
              <w:spacing w:line="240" w:lineRule="auto"/>
              <w:jc w:val="left"/>
              <w:rPr>
                <w:color w:val="000000"/>
                <w:sz w:val="14"/>
                <w:szCs w:val="14"/>
              </w:rPr>
            </w:pPr>
          </w:p>
        </w:tc>
        <w:tc>
          <w:tcPr>
            <w:tcW w:w="3119" w:type="dxa"/>
            <w:vMerge/>
          </w:tcPr>
          <w:p w14:paraId="61E559D4" w14:textId="77777777" w:rsidR="000F0341" w:rsidRPr="00BF62A1" w:rsidRDefault="000F0341" w:rsidP="00E40B0D">
            <w:pPr>
              <w:spacing w:line="240" w:lineRule="auto"/>
              <w:jc w:val="left"/>
              <w:rPr>
                <w:color w:val="000000"/>
                <w:sz w:val="14"/>
                <w:szCs w:val="14"/>
              </w:rPr>
            </w:pPr>
          </w:p>
        </w:tc>
        <w:tc>
          <w:tcPr>
            <w:tcW w:w="3234" w:type="dxa"/>
            <w:vMerge/>
          </w:tcPr>
          <w:p w14:paraId="36B40C22" w14:textId="77777777" w:rsidR="000F0341" w:rsidRPr="00BF62A1" w:rsidRDefault="000F0341" w:rsidP="00E40B0D">
            <w:pPr>
              <w:spacing w:line="240" w:lineRule="auto"/>
              <w:jc w:val="left"/>
              <w:rPr>
                <w:color w:val="000000"/>
                <w:sz w:val="14"/>
                <w:szCs w:val="14"/>
              </w:rPr>
            </w:pPr>
          </w:p>
        </w:tc>
      </w:tr>
      <w:tr w:rsidR="000F0341" w:rsidRPr="00BF62A1" w14:paraId="4FFA0FDA" w14:textId="77777777" w:rsidTr="00E40B0D">
        <w:trPr>
          <w:trHeight w:val="113"/>
        </w:trPr>
        <w:tc>
          <w:tcPr>
            <w:tcW w:w="1422" w:type="dxa"/>
            <w:vMerge/>
          </w:tcPr>
          <w:p w14:paraId="6CAAB765" w14:textId="77777777" w:rsidR="000F0341" w:rsidRPr="00BF62A1" w:rsidRDefault="000F0341" w:rsidP="00E40B0D">
            <w:pPr>
              <w:spacing w:line="240" w:lineRule="auto"/>
              <w:jc w:val="left"/>
              <w:rPr>
                <w:color w:val="000000"/>
                <w:sz w:val="14"/>
                <w:szCs w:val="14"/>
              </w:rPr>
            </w:pPr>
          </w:p>
        </w:tc>
        <w:tc>
          <w:tcPr>
            <w:tcW w:w="2973" w:type="dxa"/>
          </w:tcPr>
          <w:p w14:paraId="6C4A9892" w14:textId="77777777" w:rsidR="000F0341" w:rsidRPr="00BF62A1" w:rsidRDefault="000F0341" w:rsidP="00E40B0D">
            <w:pPr>
              <w:spacing w:line="240" w:lineRule="auto"/>
              <w:jc w:val="left"/>
              <w:rPr>
                <w:color w:val="000000"/>
                <w:sz w:val="14"/>
                <w:szCs w:val="14"/>
              </w:rPr>
            </w:pPr>
            <w:r w:rsidRPr="00BF62A1">
              <w:rPr>
                <w:color w:val="000000"/>
                <w:sz w:val="14"/>
                <w:szCs w:val="14"/>
              </w:rPr>
              <w:t>Open major (≥ 3 segments)</w:t>
            </w:r>
          </w:p>
        </w:tc>
        <w:tc>
          <w:tcPr>
            <w:tcW w:w="1843" w:type="dxa"/>
          </w:tcPr>
          <w:p w14:paraId="04CC150D" w14:textId="77777777" w:rsidR="000F0341" w:rsidRPr="00BF62A1" w:rsidRDefault="000F0341" w:rsidP="00E40B0D">
            <w:pPr>
              <w:spacing w:line="240" w:lineRule="auto"/>
              <w:jc w:val="left"/>
              <w:rPr>
                <w:color w:val="000000"/>
                <w:sz w:val="14"/>
                <w:szCs w:val="14"/>
              </w:rPr>
            </w:pPr>
            <w:r w:rsidRPr="00BF62A1">
              <w:rPr>
                <w:color w:val="000000"/>
                <w:sz w:val="14"/>
                <w:szCs w:val="14"/>
              </w:rPr>
              <w:t>12 390 (33.2)</w:t>
            </w:r>
          </w:p>
        </w:tc>
        <w:tc>
          <w:tcPr>
            <w:tcW w:w="1984" w:type="dxa"/>
            <w:vMerge/>
            <w:noWrap/>
          </w:tcPr>
          <w:p w14:paraId="24503884" w14:textId="77777777" w:rsidR="000F0341" w:rsidRPr="00BF62A1" w:rsidRDefault="000F0341" w:rsidP="00E40B0D">
            <w:pPr>
              <w:spacing w:line="240" w:lineRule="auto"/>
              <w:jc w:val="left"/>
              <w:rPr>
                <w:color w:val="000000"/>
                <w:sz w:val="14"/>
                <w:szCs w:val="14"/>
              </w:rPr>
            </w:pPr>
          </w:p>
        </w:tc>
        <w:tc>
          <w:tcPr>
            <w:tcW w:w="3119" w:type="dxa"/>
            <w:vMerge/>
          </w:tcPr>
          <w:p w14:paraId="3494DA8C" w14:textId="77777777" w:rsidR="000F0341" w:rsidRPr="00BF62A1" w:rsidRDefault="000F0341" w:rsidP="00E40B0D">
            <w:pPr>
              <w:spacing w:line="240" w:lineRule="auto"/>
              <w:jc w:val="left"/>
              <w:rPr>
                <w:color w:val="000000"/>
                <w:sz w:val="14"/>
                <w:szCs w:val="14"/>
              </w:rPr>
            </w:pPr>
          </w:p>
        </w:tc>
        <w:tc>
          <w:tcPr>
            <w:tcW w:w="3234" w:type="dxa"/>
            <w:vMerge/>
          </w:tcPr>
          <w:p w14:paraId="4D910859" w14:textId="77777777" w:rsidR="000F0341" w:rsidRPr="00BF62A1" w:rsidRDefault="000F0341" w:rsidP="00E40B0D">
            <w:pPr>
              <w:spacing w:line="240" w:lineRule="auto"/>
              <w:jc w:val="left"/>
              <w:rPr>
                <w:color w:val="000000"/>
                <w:sz w:val="14"/>
                <w:szCs w:val="14"/>
              </w:rPr>
            </w:pPr>
          </w:p>
        </w:tc>
      </w:tr>
      <w:tr w:rsidR="000F0341" w:rsidRPr="00BF62A1" w14:paraId="2D1DC28D" w14:textId="77777777" w:rsidTr="00E40B0D">
        <w:trPr>
          <w:trHeight w:val="64"/>
        </w:trPr>
        <w:tc>
          <w:tcPr>
            <w:tcW w:w="1422" w:type="dxa"/>
            <w:vMerge/>
            <w:tcBorders>
              <w:bottom w:val="single" w:sz="8" w:space="0" w:color="auto"/>
            </w:tcBorders>
          </w:tcPr>
          <w:p w14:paraId="473F1003"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5956198E" w14:textId="77777777" w:rsidR="000F0341" w:rsidRPr="00BF62A1" w:rsidRDefault="000F0341" w:rsidP="00E40B0D">
            <w:pPr>
              <w:spacing w:line="240" w:lineRule="auto"/>
              <w:jc w:val="left"/>
              <w:rPr>
                <w:color w:val="000000"/>
                <w:sz w:val="14"/>
                <w:szCs w:val="14"/>
              </w:rPr>
            </w:pPr>
            <w:r w:rsidRPr="00BF62A1">
              <w:rPr>
                <w:color w:val="000000"/>
                <w:sz w:val="14"/>
                <w:szCs w:val="14"/>
              </w:rPr>
              <w:t>Extensive resection</w:t>
            </w:r>
          </w:p>
        </w:tc>
        <w:tc>
          <w:tcPr>
            <w:tcW w:w="1843" w:type="dxa"/>
            <w:tcBorders>
              <w:bottom w:val="single" w:sz="8" w:space="0" w:color="auto"/>
            </w:tcBorders>
          </w:tcPr>
          <w:p w14:paraId="571F4DF4" w14:textId="77777777" w:rsidR="000F0341" w:rsidRPr="00BF62A1" w:rsidRDefault="000F0341" w:rsidP="00E40B0D">
            <w:pPr>
              <w:spacing w:line="240" w:lineRule="auto"/>
              <w:jc w:val="left"/>
              <w:rPr>
                <w:color w:val="000000"/>
                <w:sz w:val="14"/>
                <w:szCs w:val="14"/>
              </w:rPr>
            </w:pPr>
            <w:r w:rsidRPr="00BF62A1">
              <w:rPr>
                <w:color w:val="000000"/>
                <w:sz w:val="14"/>
                <w:szCs w:val="14"/>
              </w:rPr>
              <w:t>2143 (5.5)</w:t>
            </w:r>
          </w:p>
        </w:tc>
        <w:tc>
          <w:tcPr>
            <w:tcW w:w="1984" w:type="dxa"/>
            <w:vMerge/>
            <w:tcBorders>
              <w:bottom w:val="single" w:sz="8" w:space="0" w:color="auto"/>
            </w:tcBorders>
            <w:noWrap/>
          </w:tcPr>
          <w:p w14:paraId="66FE5CA9"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4735A320"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6FBFD365" w14:textId="77777777" w:rsidR="000F0341" w:rsidRPr="00BF62A1" w:rsidRDefault="000F0341" w:rsidP="00E40B0D">
            <w:pPr>
              <w:spacing w:line="240" w:lineRule="auto"/>
              <w:jc w:val="left"/>
              <w:rPr>
                <w:color w:val="000000"/>
                <w:sz w:val="14"/>
                <w:szCs w:val="14"/>
              </w:rPr>
            </w:pPr>
          </w:p>
        </w:tc>
      </w:tr>
      <w:tr w:rsidR="000F0341" w:rsidRPr="00BF62A1" w14:paraId="1D43F5E2" w14:textId="77777777" w:rsidTr="00E40B0D">
        <w:trPr>
          <w:trHeight w:val="213"/>
        </w:trPr>
        <w:tc>
          <w:tcPr>
            <w:tcW w:w="1422" w:type="dxa"/>
            <w:vMerge w:val="restart"/>
            <w:tcBorders>
              <w:top w:val="single" w:sz="8" w:space="0" w:color="auto"/>
            </w:tcBorders>
            <w:hideMark/>
          </w:tcPr>
          <w:p w14:paraId="69BD749C"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McColl 2013 </w:t>
            </w:r>
            <w:r w:rsidRPr="00BF62A1">
              <w:rPr>
                <w:color w:val="000000"/>
                <w:sz w:val="14"/>
                <w:szCs w:val="14"/>
              </w:rPr>
              <w:fldChar w:fldCharType="begin"/>
            </w:r>
            <w:r>
              <w:rPr>
                <w:color w:val="000000"/>
                <w:sz w:val="14"/>
                <w:szCs w:val="14"/>
              </w:rPr>
              <w:instrText xml:space="preserve"> ADDIN ZOTERO_ITEM CSL_CITATION {"citationID":"OCrYstuZ","properties":{"formattedCitation":"[61]","plainCitation":"[61]","noteIndex":0},"citationItems":[{"id":14333,"uris":["http://zotero.org/groups/4983919/items/TYQIBGBT"],"itemData":{"id":14333,"type":"article-journal","abstract":"BACKGROUND: Mortality for liver resection has remarkably improved owing to multiple factors. We sought to determine the impact of the various types of fellowship training on patient survival after liver resection. METHODS: Patients who underwent hepatic resection between 1995 and 2004 in either the Calgary or Capital health regions (Edmonton) of Alberta, Canada, were identified using ICD-9 and -10 codes. Primary outcomes included in-hospital mortality and patient survival according to surgeon volume and training type (surgical oncology v. hepatobiliary v. others). RESULTS: A total of 1033 patients underwent hepatic resection. Surgeon volume was not predictive of either in-hospital mortality (adjusted odds ratio 0.63, 95% confidence interval [CI] 0.32-1.20) or patient survival (unadjusted hazard ratio 1.11, 95% CI 0.82-1.51). Nonsignificance was also demonstrated for a surgeon's type of fellowship training. CONCLUSION: The various modes of fellowship training do not appear to influence inhospital mortality or patient survival after hepatic resection.","container-title":"Can J Surg","DOI":"10.1503/cjs.023611","ISSN":"0008-428X (Print) 0008-428x","issue":"4","language":"eng","page":"256-62","title":"Survival after hepatic resection: impact of surgeon training on long-term outcome","volume":"56","author":[{"family":"McColl","given":"R. J."},{"family":"Shaheen","given":"A. A."},{"family":"Brar","given":"B."},{"family":"Kaplan","given":"G."},{"family":"Myers","given":"R."},{"family":"Sutherland","given":"F."},{"family":"Dixon","given":"E."}],"issued":{"date-parts":[["2013",8]]}}}],"schema":"https://github.com/citation-style-language/schema/raw/master/csl-citation.json"} </w:instrText>
            </w:r>
            <w:r w:rsidRPr="00BF62A1">
              <w:rPr>
                <w:color w:val="000000"/>
                <w:sz w:val="14"/>
                <w:szCs w:val="14"/>
              </w:rPr>
              <w:fldChar w:fldCharType="separate"/>
            </w:r>
            <w:r w:rsidRPr="004125CE">
              <w:rPr>
                <w:sz w:val="14"/>
              </w:rPr>
              <w:t>[61]</w:t>
            </w:r>
            <w:r w:rsidRPr="00BF62A1">
              <w:rPr>
                <w:color w:val="000000"/>
                <w:sz w:val="14"/>
                <w:szCs w:val="14"/>
              </w:rPr>
              <w:fldChar w:fldCharType="end"/>
            </w:r>
          </w:p>
        </w:tc>
        <w:tc>
          <w:tcPr>
            <w:tcW w:w="2973" w:type="dxa"/>
            <w:tcBorders>
              <w:top w:val="single" w:sz="8" w:space="0" w:color="auto"/>
            </w:tcBorders>
            <w:hideMark/>
          </w:tcPr>
          <w:p w14:paraId="242F7943" w14:textId="77777777" w:rsidR="000F0341" w:rsidRPr="00BF62A1" w:rsidRDefault="000F0341" w:rsidP="00E40B0D">
            <w:pPr>
              <w:spacing w:line="240" w:lineRule="auto"/>
              <w:jc w:val="left"/>
              <w:rPr>
                <w:color w:val="000000"/>
                <w:sz w:val="14"/>
                <w:szCs w:val="14"/>
              </w:rPr>
            </w:pPr>
            <w:r w:rsidRPr="00BF62A1">
              <w:rPr>
                <w:color w:val="000000"/>
                <w:sz w:val="14"/>
                <w:szCs w:val="14"/>
              </w:rPr>
              <w:t>Lobectomy</w:t>
            </w:r>
            <w:r w:rsidRPr="00BF62A1">
              <w:rPr>
                <w:color w:val="000000"/>
                <w:sz w:val="14"/>
                <w:szCs w:val="14"/>
              </w:rPr>
              <w:br/>
            </w:r>
          </w:p>
        </w:tc>
        <w:tc>
          <w:tcPr>
            <w:tcW w:w="1843" w:type="dxa"/>
            <w:tcBorders>
              <w:top w:val="single" w:sz="8" w:space="0" w:color="auto"/>
            </w:tcBorders>
            <w:hideMark/>
          </w:tcPr>
          <w:p w14:paraId="4C4BCB18" w14:textId="77777777" w:rsidR="000F0341" w:rsidRPr="00BF62A1" w:rsidRDefault="000F0341" w:rsidP="00E40B0D">
            <w:pPr>
              <w:spacing w:line="240" w:lineRule="auto"/>
              <w:jc w:val="left"/>
              <w:rPr>
                <w:color w:val="000000"/>
                <w:sz w:val="14"/>
                <w:szCs w:val="14"/>
              </w:rPr>
            </w:pPr>
            <w:r w:rsidRPr="00BF62A1">
              <w:rPr>
                <w:color w:val="000000"/>
                <w:sz w:val="14"/>
                <w:szCs w:val="14"/>
              </w:rPr>
              <w:t>293 (28.4)</w:t>
            </w:r>
            <w:r w:rsidRPr="00BF62A1">
              <w:rPr>
                <w:color w:val="000000"/>
                <w:sz w:val="14"/>
                <w:szCs w:val="14"/>
                <w:vertAlign w:val="superscript"/>
              </w:rPr>
              <w:t>a</w:t>
            </w:r>
            <w:r w:rsidRPr="00BF62A1">
              <w:rPr>
                <w:color w:val="000000"/>
                <w:sz w:val="14"/>
                <w:szCs w:val="14"/>
              </w:rPr>
              <w:br/>
            </w:r>
          </w:p>
        </w:tc>
        <w:tc>
          <w:tcPr>
            <w:tcW w:w="1984" w:type="dxa"/>
            <w:vMerge w:val="restart"/>
            <w:tcBorders>
              <w:top w:val="single" w:sz="8" w:space="0" w:color="auto"/>
            </w:tcBorders>
            <w:hideMark/>
          </w:tcPr>
          <w:p w14:paraId="12BB23B3" w14:textId="77777777" w:rsidR="000F0341" w:rsidRPr="00BF62A1" w:rsidRDefault="000F0341" w:rsidP="00E40B0D">
            <w:pPr>
              <w:spacing w:line="240" w:lineRule="auto"/>
              <w:jc w:val="left"/>
              <w:rPr>
                <w:color w:val="000000"/>
                <w:sz w:val="14"/>
                <w:szCs w:val="14"/>
              </w:rPr>
            </w:pPr>
            <w:r w:rsidRPr="00BF62A1">
              <w:rPr>
                <w:color w:val="000000"/>
                <w:sz w:val="14"/>
                <w:szCs w:val="14"/>
              </w:rPr>
              <w:t>Before 04/2002: ICD-9-CM: 50.3, 50.22; After 04/2002: CCI* 1.0A.87.^^</w:t>
            </w:r>
          </w:p>
        </w:tc>
        <w:tc>
          <w:tcPr>
            <w:tcW w:w="3119" w:type="dxa"/>
            <w:vMerge w:val="restart"/>
            <w:tcBorders>
              <w:top w:val="single" w:sz="8" w:space="0" w:color="auto"/>
            </w:tcBorders>
            <w:hideMark/>
          </w:tcPr>
          <w:p w14:paraId="3055448C" w14:textId="77777777" w:rsidR="000F0341" w:rsidRPr="00BF62A1" w:rsidRDefault="000F0341" w:rsidP="00E40B0D">
            <w:pPr>
              <w:pStyle w:val="ListParagraph"/>
              <w:numPr>
                <w:ilvl w:val="0"/>
                <w:numId w:val="1"/>
              </w:numPr>
              <w:spacing w:line="240" w:lineRule="auto"/>
              <w:ind w:left="0"/>
              <w:jc w:val="left"/>
              <w:rPr>
                <w:color w:val="000000"/>
                <w:sz w:val="14"/>
                <w:szCs w:val="14"/>
              </w:rPr>
            </w:pPr>
          </w:p>
        </w:tc>
        <w:tc>
          <w:tcPr>
            <w:tcW w:w="3234" w:type="dxa"/>
            <w:vMerge w:val="restart"/>
            <w:tcBorders>
              <w:top w:val="single" w:sz="8" w:space="0" w:color="auto"/>
            </w:tcBorders>
            <w:hideMark/>
          </w:tcPr>
          <w:p w14:paraId="52338361" w14:textId="77777777" w:rsidR="000F0341" w:rsidRPr="00BF62A1" w:rsidRDefault="000F0341" w:rsidP="00E40B0D">
            <w:pPr>
              <w:spacing w:line="240" w:lineRule="auto"/>
              <w:jc w:val="left"/>
              <w:rPr>
                <w:color w:val="000000"/>
                <w:sz w:val="14"/>
                <w:szCs w:val="14"/>
              </w:rPr>
            </w:pPr>
            <w:r>
              <w:rPr>
                <w:color w:val="000000"/>
                <w:sz w:val="14"/>
                <w:szCs w:val="14"/>
              </w:rPr>
              <w:t>A</w:t>
            </w:r>
            <w:r w:rsidRPr="00BF62A1">
              <w:rPr>
                <w:color w:val="000000"/>
                <w:sz w:val="14"/>
                <w:szCs w:val="14"/>
              </w:rPr>
              <w:t>ge, CCI, complications, diagnosis, selective admission, severity of disease, gender, surgeon specialty, surgeon volume, surgery type, surgery year</w:t>
            </w:r>
          </w:p>
        </w:tc>
      </w:tr>
      <w:tr w:rsidR="000F0341" w:rsidRPr="00BF62A1" w14:paraId="0D42095B" w14:textId="77777777" w:rsidTr="00E40B0D">
        <w:trPr>
          <w:trHeight w:val="64"/>
        </w:trPr>
        <w:tc>
          <w:tcPr>
            <w:tcW w:w="1422" w:type="dxa"/>
            <w:vMerge/>
            <w:tcBorders>
              <w:bottom w:val="single" w:sz="8" w:space="0" w:color="auto"/>
            </w:tcBorders>
          </w:tcPr>
          <w:p w14:paraId="533CAA2E"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595980B3" w14:textId="77777777" w:rsidR="000F0341" w:rsidRPr="00BF62A1" w:rsidRDefault="000F0341" w:rsidP="00E40B0D">
            <w:pPr>
              <w:spacing w:line="240" w:lineRule="auto"/>
              <w:jc w:val="left"/>
              <w:rPr>
                <w:color w:val="000000"/>
                <w:sz w:val="14"/>
                <w:szCs w:val="14"/>
              </w:rPr>
            </w:pPr>
            <w:r w:rsidRPr="00BF62A1">
              <w:rPr>
                <w:color w:val="000000"/>
                <w:sz w:val="14"/>
                <w:szCs w:val="14"/>
              </w:rPr>
              <w:t>Partial resection</w:t>
            </w:r>
          </w:p>
        </w:tc>
        <w:tc>
          <w:tcPr>
            <w:tcW w:w="1843" w:type="dxa"/>
            <w:tcBorders>
              <w:bottom w:val="single" w:sz="8" w:space="0" w:color="auto"/>
            </w:tcBorders>
          </w:tcPr>
          <w:p w14:paraId="59AB32A2" w14:textId="77777777" w:rsidR="000F0341" w:rsidRPr="00BF62A1" w:rsidRDefault="000F0341" w:rsidP="00E40B0D">
            <w:pPr>
              <w:spacing w:line="240" w:lineRule="auto"/>
              <w:jc w:val="left"/>
              <w:rPr>
                <w:color w:val="000000"/>
                <w:sz w:val="14"/>
                <w:szCs w:val="14"/>
              </w:rPr>
            </w:pPr>
            <w:r w:rsidRPr="00BF62A1">
              <w:rPr>
                <w:color w:val="000000"/>
                <w:sz w:val="14"/>
                <w:szCs w:val="14"/>
              </w:rPr>
              <w:t>740 (71.6)</w:t>
            </w:r>
            <w:r w:rsidRPr="00BF62A1">
              <w:rPr>
                <w:color w:val="000000"/>
                <w:sz w:val="14"/>
                <w:szCs w:val="14"/>
                <w:vertAlign w:val="superscript"/>
              </w:rPr>
              <w:t>a</w:t>
            </w:r>
          </w:p>
        </w:tc>
        <w:tc>
          <w:tcPr>
            <w:tcW w:w="1984" w:type="dxa"/>
            <w:vMerge/>
            <w:tcBorders>
              <w:bottom w:val="single" w:sz="8" w:space="0" w:color="auto"/>
            </w:tcBorders>
          </w:tcPr>
          <w:p w14:paraId="17C2685D"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182A86C3" w14:textId="77777777" w:rsidR="000F0341" w:rsidRPr="00BF62A1" w:rsidRDefault="000F0341" w:rsidP="00E40B0D">
            <w:pPr>
              <w:pStyle w:val="ListParagraph"/>
              <w:numPr>
                <w:ilvl w:val="0"/>
                <w:numId w:val="1"/>
              </w:numPr>
              <w:spacing w:line="240" w:lineRule="auto"/>
              <w:ind w:left="0"/>
              <w:jc w:val="left"/>
              <w:rPr>
                <w:color w:val="000000"/>
                <w:sz w:val="14"/>
                <w:szCs w:val="14"/>
              </w:rPr>
            </w:pPr>
          </w:p>
        </w:tc>
        <w:tc>
          <w:tcPr>
            <w:tcW w:w="3234" w:type="dxa"/>
            <w:vMerge/>
            <w:tcBorders>
              <w:bottom w:val="single" w:sz="8" w:space="0" w:color="auto"/>
            </w:tcBorders>
          </w:tcPr>
          <w:p w14:paraId="3280AB8D" w14:textId="77777777" w:rsidR="000F0341" w:rsidRPr="00BF62A1" w:rsidRDefault="000F0341" w:rsidP="00E40B0D">
            <w:pPr>
              <w:spacing w:line="240" w:lineRule="auto"/>
              <w:jc w:val="left"/>
              <w:rPr>
                <w:color w:val="000000"/>
                <w:sz w:val="14"/>
                <w:szCs w:val="14"/>
              </w:rPr>
            </w:pPr>
          </w:p>
        </w:tc>
      </w:tr>
      <w:tr w:rsidR="000F0341" w:rsidRPr="00BF62A1" w14:paraId="0BBF9EDF" w14:textId="77777777" w:rsidTr="00E40B0D">
        <w:trPr>
          <w:trHeight w:val="433"/>
        </w:trPr>
        <w:tc>
          <w:tcPr>
            <w:tcW w:w="1422" w:type="dxa"/>
            <w:tcBorders>
              <w:top w:val="single" w:sz="8" w:space="0" w:color="auto"/>
              <w:bottom w:val="single" w:sz="8" w:space="0" w:color="auto"/>
            </w:tcBorders>
            <w:hideMark/>
          </w:tcPr>
          <w:p w14:paraId="396DA653"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Miura 2016 </w:t>
            </w:r>
            <w:r w:rsidRPr="00BF62A1">
              <w:rPr>
                <w:color w:val="000000"/>
                <w:sz w:val="14"/>
                <w:szCs w:val="14"/>
              </w:rPr>
              <w:fldChar w:fldCharType="begin"/>
            </w:r>
            <w:r>
              <w:rPr>
                <w:color w:val="000000"/>
                <w:sz w:val="14"/>
                <w:szCs w:val="14"/>
              </w:rPr>
              <w:instrText xml:space="preserve"> ADDIN ZOTERO_ITEM CSL_CITATION {"citationID":"Cg2KXbhx","properties":{"formattedCitation":"[64]","plainCitation":"[64]","noteIndex":0},"citationItems":[{"id":14172,"uris":["http://zotero.org/groups/4983919/items/CIHZX8IB"],"itemData":{"id":14172,"type":"article-journal","abstract":"BACKGROUND: The objective of this study was to validate the board certification system of the Japanese Society of Hepato-Biliary-Pancreatic Surgery (JSHBPS) using the data of hepatectomy cases from the National Clinical Database (NCD) of Japan. METHODS: Minimal required annual numbers of high-level hepato-biliary-pancreatic (HBP) surgeries were 50 for a board-certified A training institution and 30 for a board-certified B training institution. Records of 14,970 patients who had undergone hepatectomy of more than one segment (MOS), excluding lateral segmentectomy, during 2011 and 2012 were analyzed according to the category of board-certified institution and with or without participation of board-certified instructors or expert surgeons. RESULTS: Thirty-day mortality and operative mortality of 14,970 patients after MOS hepatectomy were 1.9% and 3.8%, respectively. Operative mortality rates after MOS hepatectomies performed at certified A institutions, certified B institutions, and non-certified institutions were 3.1%, 3.8%, and 4.5%, respectively (P &lt; 0.001). The operative mortality rates after MOS hepatectomies performed with participation of certified instructors or expert surgeons were better than those without (3.5% vs. 4.3%, P = 0.012). A multiple logistic regression model showed that the cutoffs of high-level HBP surgeries performed per year at hospitals that predicted operative mortality after MOS hepatectomies were 10 and 50. CONCLUSIONS: Competences and requirements for board-certified institutions, instructors, and expert surgeons to perform hepatectomy were found to be appropriate.","container-title":"J Hepatobiliary Pancreat Sci","DOI":"10.1002/jhbp.344","ISSN":"1868-6974","issue":"6","language":"eng","note":"publisher-place: Committee of the Board Certification System for Expert Surgeons, Japanese Society of Hepato-Biliary-Pancreatic Surgery, Tokyo, Japan. Database Committee, The Japanese Society of Gastroenterological Surgery, Tokyo, Japan. The Japanese Society of Gastroenterological Surgery, Tokyo, Japan. Department of Health Policy and Management, School of Medicine, Keio University, Tokyo, Japan. Japanese Society of Hepato -Biliary-Pancreatic Surgery, Tokyo, Japan.","page":"313-23","title":"Validation of the board certification system for expert surgeons (hepato-biliary-pancreatic field) using the data of the National Clinical Database of Japan: part 1 - Hepatectomy of more than one segment","volume":"23","author":[{"family":"Miura","given":"F."},{"family":"Yamamoto","given":"M."},{"family":"Gotoh","given":"M."},{"family":"Konno","given":"H."},{"family":"Fujimoto","given":"J."},{"family":"Yanaga","given":"K."},{"family":"Kokudo","given":"N."},{"family":"Yamaue","given":"H."},{"family":"Wakabayashi","given":"G."},{"family":"Seto","given":"Y."},{"family":"Unno","given":"M."},{"family":"Miyata","given":"H."},{"family":"Hirahara","given":"N."},{"family":"Miyazaki","given":"M."}],"issued":{"date-parts":[["2016",6]]}}}],"schema":"https://github.com/citation-style-language/schema/raw/master/csl-citation.json"} </w:instrText>
            </w:r>
            <w:r w:rsidRPr="00BF62A1">
              <w:rPr>
                <w:color w:val="000000"/>
                <w:sz w:val="14"/>
                <w:szCs w:val="14"/>
              </w:rPr>
              <w:fldChar w:fldCharType="separate"/>
            </w:r>
            <w:r w:rsidRPr="004125CE">
              <w:rPr>
                <w:sz w:val="14"/>
              </w:rPr>
              <w:t>[64]</w:t>
            </w:r>
            <w:r w:rsidRPr="00BF62A1">
              <w:rPr>
                <w:color w:val="000000"/>
                <w:sz w:val="14"/>
                <w:szCs w:val="14"/>
              </w:rPr>
              <w:fldChar w:fldCharType="end"/>
            </w:r>
          </w:p>
        </w:tc>
        <w:tc>
          <w:tcPr>
            <w:tcW w:w="2973" w:type="dxa"/>
            <w:tcBorders>
              <w:top w:val="single" w:sz="8" w:space="0" w:color="auto"/>
              <w:bottom w:val="single" w:sz="8" w:space="0" w:color="auto"/>
            </w:tcBorders>
            <w:hideMark/>
          </w:tcPr>
          <w:p w14:paraId="3E9295D2" w14:textId="77777777" w:rsidR="000F0341" w:rsidRPr="00BF62A1" w:rsidRDefault="000F0341" w:rsidP="00E40B0D">
            <w:pPr>
              <w:spacing w:line="240" w:lineRule="auto"/>
              <w:jc w:val="left"/>
              <w:rPr>
                <w:color w:val="000000"/>
                <w:sz w:val="14"/>
                <w:szCs w:val="14"/>
              </w:rPr>
            </w:pPr>
            <w:r w:rsidRPr="00BF62A1">
              <w:rPr>
                <w:color w:val="000000"/>
                <w:sz w:val="14"/>
                <w:szCs w:val="14"/>
              </w:rPr>
              <w:t>MOS hepatectomies (more than one segment),</w:t>
            </w:r>
            <w:r w:rsidRPr="00BF62A1">
              <w:rPr>
                <w:color w:val="000000"/>
                <w:sz w:val="14"/>
                <w:szCs w:val="14"/>
              </w:rPr>
              <w:br/>
              <w:t>excluding the lateral segment</w:t>
            </w:r>
          </w:p>
        </w:tc>
        <w:tc>
          <w:tcPr>
            <w:tcW w:w="1843" w:type="dxa"/>
            <w:tcBorders>
              <w:top w:val="single" w:sz="8" w:space="0" w:color="auto"/>
              <w:bottom w:val="single" w:sz="8" w:space="0" w:color="auto"/>
            </w:tcBorders>
            <w:hideMark/>
          </w:tcPr>
          <w:p w14:paraId="188A60B3" w14:textId="77777777" w:rsidR="000F0341" w:rsidRPr="00BF62A1" w:rsidRDefault="000F0341" w:rsidP="00E40B0D">
            <w:pPr>
              <w:spacing w:line="240" w:lineRule="auto"/>
              <w:jc w:val="left"/>
              <w:rPr>
                <w:color w:val="000000"/>
                <w:sz w:val="14"/>
                <w:szCs w:val="14"/>
              </w:rPr>
            </w:pPr>
            <w:r w:rsidRPr="00BF62A1">
              <w:rPr>
                <w:color w:val="000000"/>
                <w:sz w:val="14"/>
                <w:szCs w:val="14"/>
              </w:rPr>
              <w:t>14970</w:t>
            </w:r>
          </w:p>
        </w:tc>
        <w:tc>
          <w:tcPr>
            <w:tcW w:w="1984" w:type="dxa"/>
            <w:tcBorders>
              <w:top w:val="single" w:sz="8" w:space="0" w:color="auto"/>
              <w:bottom w:val="single" w:sz="8" w:space="0" w:color="auto"/>
            </w:tcBorders>
            <w:hideMark/>
          </w:tcPr>
          <w:p w14:paraId="0FAC6A7A" w14:textId="77777777" w:rsidR="000F0341" w:rsidRPr="00BF62A1" w:rsidRDefault="000F0341" w:rsidP="00E40B0D">
            <w:pPr>
              <w:pStyle w:val="ListParagraph"/>
              <w:numPr>
                <w:ilvl w:val="0"/>
                <w:numId w:val="1"/>
              </w:numPr>
              <w:spacing w:line="240" w:lineRule="auto"/>
              <w:ind w:left="0"/>
              <w:jc w:val="left"/>
              <w:rPr>
                <w:color w:val="000000"/>
                <w:sz w:val="14"/>
                <w:szCs w:val="14"/>
              </w:rPr>
            </w:pPr>
            <w:r w:rsidRPr="00BF62A1">
              <w:rPr>
                <w:color w:val="000000"/>
                <w:sz w:val="14"/>
                <w:szCs w:val="14"/>
              </w:rPr>
              <w:t>-</w:t>
            </w:r>
          </w:p>
        </w:tc>
        <w:tc>
          <w:tcPr>
            <w:tcW w:w="3119" w:type="dxa"/>
            <w:tcBorders>
              <w:top w:val="single" w:sz="8" w:space="0" w:color="auto"/>
              <w:bottom w:val="single" w:sz="8" w:space="0" w:color="auto"/>
            </w:tcBorders>
            <w:hideMark/>
          </w:tcPr>
          <w:p w14:paraId="647D8DAE" w14:textId="77777777" w:rsidR="000F0341" w:rsidRPr="00BF62A1" w:rsidRDefault="000F0341" w:rsidP="00E40B0D">
            <w:pPr>
              <w:spacing w:line="240" w:lineRule="auto"/>
              <w:jc w:val="left"/>
              <w:rPr>
                <w:color w:val="000000"/>
                <w:sz w:val="14"/>
                <w:szCs w:val="14"/>
              </w:rPr>
            </w:pPr>
            <w:r w:rsidRPr="00BF62A1">
              <w:rPr>
                <w:color w:val="000000"/>
                <w:sz w:val="14"/>
                <w:szCs w:val="14"/>
              </w:rPr>
              <w:t>MOS hepatectomies performed by laparoscopic procedures were excluded from this study; excluding lateral segment</w:t>
            </w:r>
          </w:p>
        </w:tc>
        <w:tc>
          <w:tcPr>
            <w:tcW w:w="3234" w:type="dxa"/>
            <w:tcBorders>
              <w:top w:val="single" w:sz="8" w:space="0" w:color="auto"/>
              <w:bottom w:val="single" w:sz="8" w:space="0" w:color="auto"/>
            </w:tcBorders>
            <w:hideMark/>
          </w:tcPr>
          <w:p w14:paraId="3FB1315D" w14:textId="77777777" w:rsidR="000F0341" w:rsidRPr="00BF62A1" w:rsidRDefault="000F0341" w:rsidP="00E40B0D">
            <w:pPr>
              <w:spacing w:line="240" w:lineRule="auto"/>
              <w:jc w:val="left"/>
              <w:rPr>
                <w:color w:val="000000"/>
                <w:sz w:val="14"/>
                <w:szCs w:val="14"/>
              </w:rPr>
            </w:pPr>
            <w:r>
              <w:rPr>
                <w:color w:val="000000"/>
                <w:sz w:val="14"/>
                <w:szCs w:val="14"/>
              </w:rPr>
              <w:t>N</w:t>
            </w:r>
            <w:r w:rsidRPr="00BF62A1">
              <w:rPr>
                <w:color w:val="000000"/>
                <w:sz w:val="14"/>
                <w:szCs w:val="14"/>
              </w:rPr>
              <w:t>ot adjusted</w:t>
            </w:r>
          </w:p>
        </w:tc>
      </w:tr>
      <w:tr w:rsidR="000F0341" w:rsidRPr="00BF62A1" w14:paraId="20DF3613" w14:textId="77777777" w:rsidTr="00E40B0D">
        <w:trPr>
          <w:trHeight w:val="162"/>
        </w:trPr>
        <w:tc>
          <w:tcPr>
            <w:tcW w:w="1422" w:type="dxa"/>
            <w:vMerge w:val="restart"/>
            <w:tcBorders>
              <w:top w:val="single" w:sz="8" w:space="0" w:color="auto"/>
            </w:tcBorders>
            <w:hideMark/>
          </w:tcPr>
          <w:p w14:paraId="513E7B92" w14:textId="63375BC4" w:rsidR="000F0341" w:rsidRPr="00BF62A1" w:rsidRDefault="000F0341" w:rsidP="00E40B0D">
            <w:pPr>
              <w:spacing w:line="240" w:lineRule="auto"/>
              <w:jc w:val="left"/>
              <w:rPr>
                <w:color w:val="000000"/>
                <w:sz w:val="14"/>
                <w:szCs w:val="14"/>
              </w:rPr>
            </w:pPr>
            <w:r w:rsidRPr="00BF62A1">
              <w:rPr>
                <w:color w:val="000000"/>
                <w:sz w:val="14"/>
                <w:szCs w:val="14"/>
              </w:rPr>
              <w:t xml:space="preserve">Munir 2023 </w:t>
            </w:r>
            <w:r w:rsidRPr="00BF62A1">
              <w:rPr>
                <w:color w:val="000000"/>
                <w:sz w:val="14"/>
                <w:szCs w:val="14"/>
              </w:rPr>
              <w:fldChar w:fldCharType="begin"/>
            </w:r>
            <w:r>
              <w:rPr>
                <w:color w:val="000000"/>
                <w:sz w:val="14"/>
                <w:szCs w:val="14"/>
              </w:rPr>
              <w:instrText xml:space="preserve"> ADDIN ZOTERO_ITEM CSL_CITATION {"citationID":"Ie2A8sH4","properties":{"formattedCitation":"[81]","plainCitation":"[81]","noteIndex":0},"citationItems":[{"id":14222,"uris":["http://zotero.org/groups/4983919/items/V2JAEKZB"],"itemData":{"id":14222,"type":"article-journal","abstract":"BACKGROUND AND OBJECTIVES: Textbook oncologic outcome (TOO) and its association with regionalization of care for intrahepatic cholangiocarcinoma (ICC) have not been evaluated. METHODS: We identified patients who underwent hepatic resection for ICC between 2004 and 2018 from the National Cancer Database. Facilities were categorized by annual hepatectomy volume for ICC. TOO was defined as no 90-day mortality, margin-negative resection, no prolonged hospitalization, no 30-day readmission, receipt of appropriate adjuvant therapy, and adequate lymphadenectomy. Multivariable regression was used to evaluate the association between annual hepatectomy volume and TOO. RESULTS: A total of 5359 patients underwent liver resection for ICC. TOO was achieved in 11.2% (n = 599) of patients. Inadequate lymphadenectomy was the largest impediment to achieving TOO. After adjusting for patient, pathologic, and facility characteristics, high volume facilities had 67% increased odds of achieving TOO (Ref.: low volume; high volume: odds ratio 1.67, 95% confidence interval: 1.24-2.25; p &lt; 0.001). Patients treated at high-volume centers who achieved a TOO had better overall survival (OS) versus patients treated at low-volume facilities (low volume vs. high volume; median OS, 47.3 vs. 71.1 months, p &lt; 0.05). CONCLUSIONS: A composite oncologic measure, TOO, provides a comprehensive insight into the performance of liver resection and regionalization of surgical care for ICC.","container-title":"J Surg Oncol","DOI":"10.1002/jso.27102","ISSN":"0022-4790","issue":"1","language":"eng","note":"publisher-place: Department of Surgery, Wexner Medical Center and James Comprehensive Cancer Center, The Ohio State University, Columbus, Ohio, USA.","page":"81-89","title":"Textbook oncologic outcomes and regionalization among patients undergoing hepatic resection for intrahepatic cholangiocarcinoma","volume":"127","author":[{"family":"Munir","given":"M. M."},{"family":"Alaimo","given":"L."},{"family":"Moazzam","given":"Z."},{"family":"Endo","given":"Y."},{"family":"Lima","given":"H. A."},{"family":"Shaikh","given":"C."},{"family":"Ejaz","given":"A."},{"family":"Beane","given":"J."},{"family":"Dillhoff","given":"M."},{"family":"Cloyd","given":"J."},{"family":"Pawlik","given":"T. M."}],"issued":{"date-parts":[["2023",1]]}}}],"schema":"https://github.com/citation-style-language/schema/raw/master/csl-citation.json"} </w:instrText>
            </w:r>
            <w:r w:rsidRPr="00BF62A1">
              <w:rPr>
                <w:color w:val="000000"/>
                <w:sz w:val="14"/>
                <w:szCs w:val="14"/>
              </w:rPr>
              <w:fldChar w:fldCharType="separate"/>
            </w:r>
            <w:r w:rsidRPr="004125CE">
              <w:rPr>
                <w:sz w:val="14"/>
              </w:rPr>
              <w:t>[</w:t>
            </w:r>
            <w:r w:rsidR="00D03F0D">
              <w:rPr>
                <w:sz w:val="14"/>
              </w:rPr>
              <w:t>90</w:t>
            </w:r>
            <w:r w:rsidRPr="004125CE">
              <w:rPr>
                <w:sz w:val="14"/>
              </w:rPr>
              <w:t>]</w:t>
            </w:r>
            <w:r w:rsidRPr="00BF62A1">
              <w:rPr>
                <w:color w:val="000000"/>
                <w:sz w:val="14"/>
                <w:szCs w:val="14"/>
              </w:rPr>
              <w:fldChar w:fldCharType="end"/>
            </w:r>
          </w:p>
        </w:tc>
        <w:tc>
          <w:tcPr>
            <w:tcW w:w="2973" w:type="dxa"/>
            <w:tcBorders>
              <w:top w:val="single" w:sz="8" w:space="0" w:color="auto"/>
            </w:tcBorders>
            <w:hideMark/>
          </w:tcPr>
          <w:p w14:paraId="65177078" w14:textId="77777777" w:rsidR="000F0341" w:rsidRPr="00BF62A1" w:rsidRDefault="000F0341" w:rsidP="00E40B0D">
            <w:pPr>
              <w:spacing w:line="240" w:lineRule="auto"/>
              <w:jc w:val="left"/>
              <w:rPr>
                <w:color w:val="000000"/>
                <w:sz w:val="14"/>
                <w:szCs w:val="14"/>
              </w:rPr>
            </w:pPr>
            <w:r w:rsidRPr="00BF62A1">
              <w:rPr>
                <w:color w:val="000000"/>
                <w:sz w:val="14"/>
                <w:szCs w:val="14"/>
              </w:rPr>
              <w:t>Wedge/segmental resection</w:t>
            </w:r>
            <w:r w:rsidRPr="00BF62A1">
              <w:rPr>
                <w:color w:val="000000"/>
                <w:sz w:val="14"/>
                <w:szCs w:val="14"/>
              </w:rPr>
              <w:br/>
            </w:r>
          </w:p>
        </w:tc>
        <w:tc>
          <w:tcPr>
            <w:tcW w:w="1843" w:type="dxa"/>
            <w:tcBorders>
              <w:top w:val="single" w:sz="8" w:space="0" w:color="auto"/>
            </w:tcBorders>
            <w:hideMark/>
          </w:tcPr>
          <w:p w14:paraId="4F42A307" w14:textId="77777777" w:rsidR="000F0341" w:rsidRPr="00BF62A1" w:rsidRDefault="000F0341" w:rsidP="00E40B0D">
            <w:pPr>
              <w:spacing w:line="240" w:lineRule="auto"/>
              <w:jc w:val="left"/>
              <w:rPr>
                <w:color w:val="000000"/>
                <w:sz w:val="14"/>
                <w:szCs w:val="14"/>
              </w:rPr>
            </w:pPr>
            <w:r w:rsidRPr="00BF62A1">
              <w:rPr>
                <w:color w:val="000000"/>
                <w:sz w:val="14"/>
                <w:szCs w:val="14"/>
              </w:rPr>
              <w:t>2051 (38.3)</w:t>
            </w:r>
            <w:r w:rsidRPr="00BF62A1">
              <w:rPr>
                <w:color w:val="000000"/>
                <w:sz w:val="14"/>
                <w:szCs w:val="14"/>
              </w:rPr>
              <w:br/>
            </w:r>
          </w:p>
        </w:tc>
        <w:tc>
          <w:tcPr>
            <w:tcW w:w="1984" w:type="dxa"/>
            <w:vMerge w:val="restart"/>
            <w:tcBorders>
              <w:top w:val="single" w:sz="8" w:space="0" w:color="auto"/>
            </w:tcBorders>
            <w:hideMark/>
          </w:tcPr>
          <w:p w14:paraId="4A7531E9" w14:textId="77777777" w:rsidR="000F0341" w:rsidRPr="00BF62A1" w:rsidRDefault="000F0341" w:rsidP="00E40B0D">
            <w:pPr>
              <w:spacing w:line="240" w:lineRule="auto"/>
              <w:jc w:val="left"/>
              <w:rPr>
                <w:color w:val="000000"/>
                <w:sz w:val="14"/>
                <w:szCs w:val="14"/>
              </w:rPr>
            </w:pPr>
            <w:r w:rsidRPr="00BF62A1">
              <w:rPr>
                <w:color w:val="000000"/>
                <w:sz w:val="14"/>
                <w:szCs w:val="14"/>
              </w:rPr>
              <w:t>STORE codes: 20-60, 66 / ICD-O-3 8160</w:t>
            </w:r>
          </w:p>
        </w:tc>
        <w:tc>
          <w:tcPr>
            <w:tcW w:w="3119" w:type="dxa"/>
            <w:vMerge w:val="restart"/>
            <w:tcBorders>
              <w:top w:val="single" w:sz="8" w:space="0" w:color="auto"/>
            </w:tcBorders>
            <w:hideMark/>
          </w:tcPr>
          <w:p w14:paraId="0D08A6D7" w14:textId="77777777" w:rsidR="000F0341" w:rsidRPr="00BF62A1" w:rsidRDefault="000F0341" w:rsidP="00E40B0D">
            <w:pPr>
              <w:spacing w:line="240" w:lineRule="auto"/>
              <w:jc w:val="left"/>
              <w:rPr>
                <w:color w:val="000000"/>
                <w:sz w:val="14"/>
                <w:szCs w:val="14"/>
              </w:rPr>
            </w:pPr>
            <w:r>
              <w:rPr>
                <w:color w:val="000000"/>
                <w:sz w:val="14"/>
                <w:szCs w:val="14"/>
              </w:rPr>
              <w:t>C</w:t>
            </w:r>
            <w:r w:rsidRPr="00BF62A1">
              <w:rPr>
                <w:color w:val="000000"/>
                <w:sz w:val="14"/>
                <w:szCs w:val="14"/>
              </w:rPr>
              <w:t xml:space="preserve">linical metastatic disease; liver transplantation; surgery at other sites; patients with missing data for </w:t>
            </w:r>
            <w:r w:rsidRPr="00BF62A1">
              <w:rPr>
                <w:color w:val="000000"/>
                <w:sz w:val="14"/>
                <w:szCs w:val="14"/>
              </w:rPr>
              <w:lastRenderedPageBreak/>
              <w:t>the individual parameters making up the composite TOO metric</w:t>
            </w:r>
          </w:p>
        </w:tc>
        <w:tc>
          <w:tcPr>
            <w:tcW w:w="3234" w:type="dxa"/>
            <w:vMerge w:val="restart"/>
            <w:tcBorders>
              <w:top w:val="single" w:sz="8" w:space="0" w:color="auto"/>
            </w:tcBorders>
            <w:hideMark/>
          </w:tcPr>
          <w:p w14:paraId="1FF54EDD" w14:textId="77777777" w:rsidR="000F0341" w:rsidRPr="00BF62A1" w:rsidRDefault="000F0341" w:rsidP="00E40B0D">
            <w:pPr>
              <w:spacing w:line="240" w:lineRule="auto"/>
              <w:jc w:val="left"/>
              <w:rPr>
                <w:color w:val="000000"/>
                <w:sz w:val="14"/>
                <w:szCs w:val="14"/>
              </w:rPr>
            </w:pPr>
            <w:r>
              <w:rPr>
                <w:color w:val="000000"/>
                <w:sz w:val="14"/>
                <w:szCs w:val="14"/>
              </w:rPr>
              <w:lastRenderedPageBreak/>
              <w:t>A</w:t>
            </w:r>
            <w:r w:rsidRPr="00BF62A1">
              <w:rPr>
                <w:color w:val="000000"/>
                <w:sz w:val="14"/>
                <w:szCs w:val="14"/>
              </w:rPr>
              <w:t xml:space="preserve">ge, analytic stage, CCI, education, facility affiliation, facility location, hospital volume, insurance, race, </w:t>
            </w:r>
            <w:r w:rsidRPr="00BF62A1">
              <w:rPr>
                <w:color w:val="000000"/>
                <w:sz w:val="14"/>
                <w:szCs w:val="14"/>
              </w:rPr>
              <w:lastRenderedPageBreak/>
              <w:t>gender, surgical approach, travel distance, tumor size, year of diagnosis</w:t>
            </w:r>
          </w:p>
        </w:tc>
      </w:tr>
      <w:tr w:rsidR="000F0341" w:rsidRPr="00BF62A1" w14:paraId="06B5A1B8" w14:textId="77777777" w:rsidTr="00E40B0D">
        <w:trPr>
          <w:trHeight w:val="158"/>
        </w:trPr>
        <w:tc>
          <w:tcPr>
            <w:tcW w:w="1422" w:type="dxa"/>
            <w:vMerge/>
          </w:tcPr>
          <w:p w14:paraId="2E2A3CD0" w14:textId="77777777" w:rsidR="000F0341" w:rsidRPr="00BF62A1" w:rsidRDefault="000F0341" w:rsidP="00E40B0D">
            <w:pPr>
              <w:spacing w:line="240" w:lineRule="auto"/>
              <w:jc w:val="left"/>
              <w:rPr>
                <w:color w:val="000000"/>
                <w:sz w:val="14"/>
                <w:szCs w:val="14"/>
              </w:rPr>
            </w:pPr>
          </w:p>
        </w:tc>
        <w:tc>
          <w:tcPr>
            <w:tcW w:w="2973" w:type="dxa"/>
          </w:tcPr>
          <w:p w14:paraId="256BBD19" w14:textId="77777777" w:rsidR="000F0341" w:rsidRPr="00BF62A1" w:rsidRDefault="000F0341" w:rsidP="00E40B0D">
            <w:pPr>
              <w:spacing w:line="240" w:lineRule="auto"/>
              <w:jc w:val="left"/>
              <w:rPr>
                <w:color w:val="000000"/>
                <w:sz w:val="14"/>
                <w:szCs w:val="14"/>
              </w:rPr>
            </w:pPr>
            <w:r w:rsidRPr="00BF62A1">
              <w:rPr>
                <w:color w:val="000000"/>
                <w:sz w:val="14"/>
                <w:szCs w:val="14"/>
              </w:rPr>
              <w:t>Lobectomy</w:t>
            </w:r>
          </w:p>
        </w:tc>
        <w:tc>
          <w:tcPr>
            <w:tcW w:w="1843" w:type="dxa"/>
          </w:tcPr>
          <w:p w14:paraId="31423123" w14:textId="77777777" w:rsidR="000F0341" w:rsidRPr="00BF62A1" w:rsidRDefault="000F0341" w:rsidP="00E40B0D">
            <w:pPr>
              <w:spacing w:line="240" w:lineRule="auto"/>
              <w:jc w:val="left"/>
              <w:rPr>
                <w:color w:val="000000"/>
                <w:sz w:val="14"/>
                <w:szCs w:val="14"/>
              </w:rPr>
            </w:pPr>
            <w:r w:rsidRPr="00BF62A1">
              <w:rPr>
                <w:color w:val="000000"/>
                <w:sz w:val="14"/>
                <w:szCs w:val="14"/>
              </w:rPr>
              <w:t>1696 (31.6)</w:t>
            </w:r>
          </w:p>
        </w:tc>
        <w:tc>
          <w:tcPr>
            <w:tcW w:w="1984" w:type="dxa"/>
            <w:vMerge/>
          </w:tcPr>
          <w:p w14:paraId="5363E960" w14:textId="77777777" w:rsidR="000F0341" w:rsidRPr="00BF62A1" w:rsidRDefault="000F0341" w:rsidP="00E40B0D">
            <w:pPr>
              <w:spacing w:line="240" w:lineRule="auto"/>
              <w:jc w:val="left"/>
              <w:rPr>
                <w:color w:val="000000"/>
                <w:sz w:val="14"/>
                <w:szCs w:val="14"/>
              </w:rPr>
            </w:pPr>
          </w:p>
        </w:tc>
        <w:tc>
          <w:tcPr>
            <w:tcW w:w="3119" w:type="dxa"/>
            <w:vMerge/>
          </w:tcPr>
          <w:p w14:paraId="3AFCE3AA" w14:textId="77777777" w:rsidR="000F0341" w:rsidRPr="00BF62A1" w:rsidRDefault="000F0341" w:rsidP="00E40B0D">
            <w:pPr>
              <w:spacing w:line="240" w:lineRule="auto"/>
              <w:jc w:val="left"/>
              <w:rPr>
                <w:color w:val="000000"/>
                <w:sz w:val="14"/>
                <w:szCs w:val="14"/>
              </w:rPr>
            </w:pPr>
          </w:p>
        </w:tc>
        <w:tc>
          <w:tcPr>
            <w:tcW w:w="3234" w:type="dxa"/>
            <w:vMerge/>
          </w:tcPr>
          <w:p w14:paraId="12B6B7CB" w14:textId="77777777" w:rsidR="000F0341" w:rsidRPr="00BF62A1" w:rsidRDefault="000F0341" w:rsidP="00E40B0D">
            <w:pPr>
              <w:spacing w:line="240" w:lineRule="auto"/>
              <w:jc w:val="left"/>
              <w:rPr>
                <w:color w:val="000000"/>
                <w:sz w:val="14"/>
                <w:szCs w:val="14"/>
              </w:rPr>
            </w:pPr>
          </w:p>
        </w:tc>
      </w:tr>
      <w:tr w:rsidR="000F0341" w:rsidRPr="00BF62A1" w14:paraId="6B3E8061" w14:textId="77777777" w:rsidTr="00E40B0D">
        <w:trPr>
          <w:trHeight w:val="158"/>
        </w:trPr>
        <w:tc>
          <w:tcPr>
            <w:tcW w:w="1422" w:type="dxa"/>
            <w:vMerge/>
          </w:tcPr>
          <w:p w14:paraId="0109C173" w14:textId="77777777" w:rsidR="000F0341" w:rsidRPr="00BF62A1" w:rsidRDefault="000F0341" w:rsidP="00E40B0D">
            <w:pPr>
              <w:spacing w:line="240" w:lineRule="auto"/>
              <w:jc w:val="left"/>
              <w:rPr>
                <w:color w:val="000000"/>
                <w:sz w:val="14"/>
                <w:szCs w:val="14"/>
              </w:rPr>
            </w:pPr>
          </w:p>
        </w:tc>
        <w:tc>
          <w:tcPr>
            <w:tcW w:w="2973" w:type="dxa"/>
          </w:tcPr>
          <w:p w14:paraId="6E4F15B1" w14:textId="77777777" w:rsidR="000F0341" w:rsidRPr="00BF62A1" w:rsidRDefault="000F0341" w:rsidP="00E40B0D">
            <w:pPr>
              <w:spacing w:line="240" w:lineRule="auto"/>
              <w:jc w:val="left"/>
              <w:rPr>
                <w:color w:val="000000"/>
                <w:sz w:val="14"/>
                <w:szCs w:val="14"/>
              </w:rPr>
            </w:pPr>
            <w:r w:rsidRPr="00BF62A1">
              <w:rPr>
                <w:color w:val="000000"/>
                <w:sz w:val="14"/>
                <w:szCs w:val="14"/>
              </w:rPr>
              <w:t>Extended Lobectomy</w:t>
            </w:r>
          </w:p>
        </w:tc>
        <w:tc>
          <w:tcPr>
            <w:tcW w:w="1843" w:type="dxa"/>
          </w:tcPr>
          <w:p w14:paraId="6B001AFD" w14:textId="77777777" w:rsidR="000F0341" w:rsidRPr="00BF62A1" w:rsidRDefault="000F0341" w:rsidP="00E40B0D">
            <w:pPr>
              <w:spacing w:line="240" w:lineRule="auto"/>
              <w:jc w:val="left"/>
              <w:rPr>
                <w:color w:val="000000"/>
                <w:sz w:val="14"/>
                <w:szCs w:val="14"/>
              </w:rPr>
            </w:pPr>
            <w:r w:rsidRPr="00BF62A1">
              <w:rPr>
                <w:color w:val="000000"/>
                <w:sz w:val="14"/>
                <w:szCs w:val="14"/>
              </w:rPr>
              <w:t>789 (14.7)</w:t>
            </w:r>
          </w:p>
        </w:tc>
        <w:tc>
          <w:tcPr>
            <w:tcW w:w="1984" w:type="dxa"/>
            <w:vMerge/>
          </w:tcPr>
          <w:p w14:paraId="7E1852AB" w14:textId="77777777" w:rsidR="000F0341" w:rsidRPr="00BF62A1" w:rsidRDefault="000F0341" w:rsidP="00E40B0D">
            <w:pPr>
              <w:spacing w:line="240" w:lineRule="auto"/>
              <w:jc w:val="left"/>
              <w:rPr>
                <w:color w:val="000000"/>
                <w:sz w:val="14"/>
                <w:szCs w:val="14"/>
              </w:rPr>
            </w:pPr>
          </w:p>
        </w:tc>
        <w:tc>
          <w:tcPr>
            <w:tcW w:w="3119" w:type="dxa"/>
            <w:vMerge/>
          </w:tcPr>
          <w:p w14:paraId="06286695" w14:textId="77777777" w:rsidR="000F0341" w:rsidRPr="00BF62A1" w:rsidRDefault="000F0341" w:rsidP="00E40B0D">
            <w:pPr>
              <w:spacing w:line="240" w:lineRule="auto"/>
              <w:jc w:val="left"/>
              <w:rPr>
                <w:color w:val="000000"/>
                <w:sz w:val="14"/>
                <w:szCs w:val="14"/>
              </w:rPr>
            </w:pPr>
          </w:p>
        </w:tc>
        <w:tc>
          <w:tcPr>
            <w:tcW w:w="3234" w:type="dxa"/>
            <w:vMerge/>
          </w:tcPr>
          <w:p w14:paraId="56F40A5D" w14:textId="77777777" w:rsidR="000F0341" w:rsidRPr="00BF62A1" w:rsidRDefault="000F0341" w:rsidP="00E40B0D">
            <w:pPr>
              <w:spacing w:line="240" w:lineRule="auto"/>
              <w:jc w:val="left"/>
              <w:rPr>
                <w:color w:val="000000"/>
                <w:sz w:val="14"/>
                <w:szCs w:val="14"/>
              </w:rPr>
            </w:pPr>
          </w:p>
        </w:tc>
      </w:tr>
      <w:tr w:rsidR="000F0341" w:rsidRPr="00BF62A1" w14:paraId="47E82A07" w14:textId="77777777" w:rsidTr="00E40B0D">
        <w:trPr>
          <w:trHeight w:val="158"/>
        </w:trPr>
        <w:tc>
          <w:tcPr>
            <w:tcW w:w="1422" w:type="dxa"/>
            <w:vMerge/>
          </w:tcPr>
          <w:p w14:paraId="57CFE6F9" w14:textId="77777777" w:rsidR="000F0341" w:rsidRPr="00BF62A1" w:rsidRDefault="000F0341" w:rsidP="00E40B0D">
            <w:pPr>
              <w:spacing w:line="240" w:lineRule="auto"/>
              <w:jc w:val="left"/>
              <w:rPr>
                <w:color w:val="000000"/>
                <w:sz w:val="14"/>
                <w:szCs w:val="14"/>
              </w:rPr>
            </w:pPr>
          </w:p>
        </w:tc>
        <w:tc>
          <w:tcPr>
            <w:tcW w:w="2973" w:type="dxa"/>
          </w:tcPr>
          <w:p w14:paraId="5DDCC149" w14:textId="77777777" w:rsidR="000F0341" w:rsidRPr="00BF62A1" w:rsidRDefault="000F0341" w:rsidP="00E40B0D">
            <w:pPr>
              <w:spacing w:line="240" w:lineRule="auto"/>
              <w:jc w:val="left"/>
              <w:rPr>
                <w:color w:val="000000"/>
                <w:sz w:val="14"/>
                <w:szCs w:val="14"/>
              </w:rPr>
            </w:pPr>
            <w:r w:rsidRPr="00BF62A1">
              <w:rPr>
                <w:color w:val="000000"/>
                <w:sz w:val="14"/>
                <w:szCs w:val="14"/>
              </w:rPr>
              <w:t>Partial hepatectomy</w:t>
            </w:r>
          </w:p>
        </w:tc>
        <w:tc>
          <w:tcPr>
            <w:tcW w:w="1843" w:type="dxa"/>
          </w:tcPr>
          <w:p w14:paraId="78EFFDC2" w14:textId="77777777" w:rsidR="000F0341" w:rsidRPr="00BF62A1" w:rsidRDefault="000F0341" w:rsidP="00E40B0D">
            <w:pPr>
              <w:spacing w:line="240" w:lineRule="auto"/>
              <w:jc w:val="left"/>
              <w:rPr>
                <w:color w:val="000000"/>
                <w:sz w:val="14"/>
                <w:szCs w:val="14"/>
              </w:rPr>
            </w:pPr>
            <w:r w:rsidRPr="00BF62A1">
              <w:rPr>
                <w:color w:val="000000"/>
                <w:sz w:val="14"/>
                <w:szCs w:val="14"/>
              </w:rPr>
              <w:t>489 (9.1)</w:t>
            </w:r>
          </w:p>
        </w:tc>
        <w:tc>
          <w:tcPr>
            <w:tcW w:w="1984" w:type="dxa"/>
            <w:vMerge/>
          </w:tcPr>
          <w:p w14:paraId="29E6FF6D" w14:textId="77777777" w:rsidR="000F0341" w:rsidRPr="00BF62A1" w:rsidRDefault="000F0341" w:rsidP="00E40B0D">
            <w:pPr>
              <w:spacing w:line="240" w:lineRule="auto"/>
              <w:jc w:val="left"/>
              <w:rPr>
                <w:color w:val="000000"/>
                <w:sz w:val="14"/>
                <w:szCs w:val="14"/>
              </w:rPr>
            </w:pPr>
          </w:p>
        </w:tc>
        <w:tc>
          <w:tcPr>
            <w:tcW w:w="3119" w:type="dxa"/>
            <w:vMerge/>
          </w:tcPr>
          <w:p w14:paraId="1DE1CD7E" w14:textId="77777777" w:rsidR="000F0341" w:rsidRPr="00BF62A1" w:rsidRDefault="000F0341" w:rsidP="00E40B0D">
            <w:pPr>
              <w:spacing w:line="240" w:lineRule="auto"/>
              <w:jc w:val="left"/>
              <w:rPr>
                <w:color w:val="000000"/>
                <w:sz w:val="14"/>
                <w:szCs w:val="14"/>
              </w:rPr>
            </w:pPr>
          </w:p>
        </w:tc>
        <w:tc>
          <w:tcPr>
            <w:tcW w:w="3234" w:type="dxa"/>
            <w:vMerge/>
          </w:tcPr>
          <w:p w14:paraId="7A952CE4" w14:textId="77777777" w:rsidR="000F0341" w:rsidRPr="00BF62A1" w:rsidRDefault="000F0341" w:rsidP="00E40B0D">
            <w:pPr>
              <w:spacing w:line="240" w:lineRule="auto"/>
              <w:jc w:val="left"/>
              <w:rPr>
                <w:color w:val="000000"/>
                <w:sz w:val="14"/>
                <w:szCs w:val="14"/>
              </w:rPr>
            </w:pPr>
          </w:p>
        </w:tc>
      </w:tr>
      <w:tr w:rsidR="000F0341" w:rsidRPr="00BF62A1" w14:paraId="65917E02" w14:textId="77777777" w:rsidTr="00E40B0D">
        <w:trPr>
          <w:trHeight w:val="158"/>
        </w:trPr>
        <w:tc>
          <w:tcPr>
            <w:tcW w:w="1422" w:type="dxa"/>
            <w:vMerge/>
            <w:tcBorders>
              <w:bottom w:val="single" w:sz="8" w:space="0" w:color="auto"/>
            </w:tcBorders>
          </w:tcPr>
          <w:p w14:paraId="30A12A7B"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31E785A7" w14:textId="77777777" w:rsidR="000F0341" w:rsidRPr="00BF62A1" w:rsidRDefault="000F0341" w:rsidP="00E40B0D">
            <w:pPr>
              <w:spacing w:line="240" w:lineRule="auto"/>
              <w:jc w:val="left"/>
              <w:rPr>
                <w:color w:val="000000"/>
                <w:sz w:val="14"/>
                <w:szCs w:val="14"/>
              </w:rPr>
            </w:pPr>
            <w:r w:rsidRPr="00BF62A1">
              <w:rPr>
                <w:color w:val="000000"/>
                <w:sz w:val="14"/>
                <w:szCs w:val="14"/>
              </w:rPr>
              <w:t>Not otherwise specified</w:t>
            </w:r>
          </w:p>
        </w:tc>
        <w:tc>
          <w:tcPr>
            <w:tcW w:w="1843" w:type="dxa"/>
            <w:tcBorders>
              <w:bottom w:val="single" w:sz="8" w:space="0" w:color="auto"/>
            </w:tcBorders>
          </w:tcPr>
          <w:p w14:paraId="19FF30C3" w14:textId="77777777" w:rsidR="000F0341" w:rsidRPr="00BF62A1" w:rsidRDefault="000F0341" w:rsidP="00E40B0D">
            <w:pPr>
              <w:spacing w:line="240" w:lineRule="auto"/>
              <w:jc w:val="left"/>
              <w:rPr>
                <w:color w:val="000000"/>
                <w:sz w:val="14"/>
                <w:szCs w:val="14"/>
              </w:rPr>
            </w:pPr>
            <w:r w:rsidRPr="00BF62A1">
              <w:rPr>
                <w:color w:val="000000"/>
                <w:sz w:val="14"/>
                <w:szCs w:val="14"/>
              </w:rPr>
              <w:t>334 (6.2)</w:t>
            </w:r>
          </w:p>
        </w:tc>
        <w:tc>
          <w:tcPr>
            <w:tcW w:w="1984" w:type="dxa"/>
            <w:vMerge/>
            <w:tcBorders>
              <w:bottom w:val="single" w:sz="8" w:space="0" w:color="auto"/>
            </w:tcBorders>
          </w:tcPr>
          <w:p w14:paraId="6DFE5B30"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51FD4309"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7C01A12F" w14:textId="77777777" w:rsidR="000F0341" w:rsidRPr="00BF62A1" w:rsidRDefault="000F0341" w:rsidP="00E40B0D">
            <w:pPr>
              <w:spacing w:line="240" w:lineRule="auto"/>
              <w:jc w:val="left"/>
              <w:rPr>
                <w:color w:val="000000"/>
                <w:sz w:val="14"/>
                <w:szCs w:val="14"/>
              </w:rPr>
            </w:pPr>
          </w:p>
        </w:tc>
      </w:tr>
      <w:tr w:rsidR="000F0341" w:rsidRPr="00BF62A1" w14:paraId="65343A12" w14:textId="77777777" w:rsidTr="00E40B0D">
        <w:trPr>
          <w:trHeight w:val="69"/>
        </w:trPr>
        <w:tc>
          <w:tcPr>
            <w:tcW w:w="1422" w:type="dxa"/>
            <w:vMerge w:val="restart"/>
            <w:tcBorders>
              <w:top w:val="single" w:sz="8" w:space="0" w:color="auto"/>
            </w:tcBorders>
            <w:hideMark/>
          </w:tcPr>
          <w:p w14:paraId="199C0F56"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Okinaga 2018 </w:t>
            </w:r>
            <w:r w:rsidRPr="00BF62A1">
              <w:rPr>
                <w:color w:val="000000"/>
                <w:sz w:val="14"/>
                <w:szCs w:val="14"/>
              </w:rPr>
              <w:fldChar w:fldCharType="begin"/>
            </w:r>
            <w:r>
              <w:rPr>
                <w:color w:val="000000"/>
                <w:sz w:val="14"/>
                <w:szCs w:val="14"/>
              </w:rPr>
              <w:instrText xml:space="preserve"> ADDIN ZOTERO_ITEM CSL_CITATION {"citationID":"W3yHrUOP","properties":{"formattedCitation":"[56]","plainCitation":"[56]","noteIndex":0},"citationItems":[{"id":14165,"uris":["http://zotero.org/groups/4983919/items/87YGMFSZ"],"itemData":{"id":14165,"type":"article-journal","abstract":"BACKGROUND: As the population is aging, the indication for hepatocellular carcinoma (HCC) resection in patients aged over 80 years will increase. Japan is facing the most aging society worldwide. We examined the safety of hepatectomy in octogenarians and nonagenarians using large-scale data from the Diagnosis Procedure Combination database, a national administrative database in Japan. METHOD: We conducted a survey to collect data for all inpatients from 2007 and 2012. We identified 27,094 patients who underwent hepatectomy for HCC. Patients' age was divided into the following five categories: ≤59, 60-69, 70-79, 80-84, and ≥85 years (n = 5,099, 8,809, 10,805, 2,011, and 370, respectively). The primary outcomes of hepatectomy were in-hospital death within 90 days and complications. Logistic regression analyses were performed to analyze the impact of age on the outcomes with the adjustment of other individual-level factors. RESULTS: The mortality and morbidity rates were 2.6 and 23.4%, respectively. Compared with patients in their 70s, the mortality rate was significantly lower in patients aged ≤59 years (odds ratio [OR], 0.34; 95% confidence interval [CI], 0.26-0.45; p &lt; 0.01) and in those in their 60s (OR, 0.63; 95% CI, 0.53-0.74; p &lt; 0.01). However, no significant difference was observed in patients aged 80-84 years (OR, 1.03; 95% CI, 0.78-1.385; p = 0.844) and those aged ≥85 years (OR, 0.95; 95% CI, 0.50-1.79; p = 0.870). Based on the multivariate logistic regression analysis, age ≥70 years, male gender, low hospital volume, and surgical procedure were identified as independent predictors of mortality. CONCLUSIONS: The operative risk for hepatectomy gradually increases with age until patients are in their 70s, and it appears to reach a plateau among septuagenarian. Indeed, age over 70 years can also be a risk factor for HCC. By considering the aging risk, surgeons can attain good outcome after hepatectomy even in octo- and nonagenarian patients.","container-title":"Liver Cancer","DOI":"10.1159/000484178","ISSN":"2235-1795 (Print) 1664-5553","issue":"1","language":"eng","note":"publisher-place: Hepato-Biliary-Pancreatic Surgery Division, Department of Surgery, Graduate School of Medicine, Tokyo, Japan. Department of Clinical Epidemiology and Health Economics, School of Public Health, The University of Tokyo, Tokyo, Japan. Department of Health Care Informatics, Tokyo Medical and Dental University, Tokyo, Japan. National Center of Global Health and Medicine, Tokyo, Japan.","page":"55-64","title":"Short-Term Outcomes following Hepatectomy in Elderly Patients with Hepatocellular Carcinoma: An Analysis of 10,805 Septuagenarians and 2,381 Octo- and Nonagenarians in Japan","volume":"7","author":[{"family":"Okinaga","given":"H."},{"family":"Yasunaga","given":"H."},{"family":"Hasegawa","given":"K."},{"family":"Fushimi","given":"K."},{"family":"Kokudo","given":"N."}],"issued":{"date-parts":[["2018",3]]}}}],"schema":"https://github.com/citation-style-language/schema/raw/master/csl-citation.json"} </w:instrText>
            </w:r>
            <w:r w:rsidRPr="00BF62A1">
              <w:rPr>
                <w:color w:val="000000"/>
                <w:sz w:val="14"/>
                <w:szCs w:val="14"/>
              </w:rPr>
              <w:fldChar w:fldCharType="separate"/>
            </w:r>
            <w:r w:rsidRPr="004125CE">
              <w:rPr>
                <w:sz w:val="14"/>
              </w:rPr>
              <w:t>[56]</w:t>
            </w:r>
            <w:r w:rsidRPr="00BF62A1">
              <w:rPr>
                <w:color w:val="000000"/>
                <w:sz w:val="14"/>
                <w:szCs w:val="14"/>
              </w:rPr>
              <w:fldChar w:fldCharType="end"/>
            </w:r>
          </w:p>
        </w:tc>
        <w:tc>
          <w:tcPr>
            <w:tcW w:w="2973" w:type="dxa"/>
            <w:tcBorders>
              <w:top w:val="single" w:sz="8" w:space="0" w:color="auto"/>
            </w:tcBorders>
            <w:hideMark/>
          </w:tcPr>
          <w:p w14:paraId="13050C58" w14:textId="77777777" w:rsidR="000F0341" w:rsidRPr="00BF62A1" w:rsidRDefault="000F0341" w:rsidP="00E40B0D">
            <w:pPr>
              <w:spacing w:line="240" w:lineRule="auto"/>
              <w:jc w:val="left"/>
              <w:rPr>
                <w:color w:val="000000"/>
                <w:sz w:val="14"/>
                <w:szCs w:val="14"/>
              </w:rPr>
            </w:pPr>
            <w:r w:rsidRPr="00BF62A1">
              <w:rPr>
                <w:color w:val="000000"/>
                <w:sz w:val="14"/>
                <w:szCs w:val="14"/>
              </w:rPr>
              <w:t>Limited resection</w:t>
            </w:r>
          </w:p>
        </w:tc>
        <w:tc>
          <w:tcPr>
            <w:tcW w:w="1843" w:type="dxa"/>
            <w:tcBorders>
              <w:top w:val="single" w:sz="8" w:space="0" w:color="auto"/>
            </w:tcBorders>
            <w:hideMark/>
          </w:tcPr>
          <w:p w14:paraId="43B744FD" w14:textId="77777777" w:rsidR="000F0341" w:rsidRPr="00BF62A1" w:rsidRDefault="000F0341" w:rsidP="00E40B0D">
            <w:pPr>
              <w:spacing w:line="240" w:lineRule="auto"/>
              <w:jc w:val="left"/>
              <w:rPr>
                <w:color w:val="000000"/>
                <w:sz w:val="14"/>
                <w:szCs w:val="14"/>
              </w:rPr>
            </w:pPr>
            <w:r w:rsidRPr="00BF62A1">
              <w:rPr>
                <w:color w:val="000000"/>
                <w:sz w:val="14"/>
                <w:szCs w:val="14"/>
              </w:rPr>
              <w:t>8653 (31.9)</w:t>
            </w:r>
            <w:r w:rsidRPr="00BF62A1">
              <w:rPr>
                <w:color w:val="000000"/>
                <w:sz w:val="14"/>
                <w:szCs w:val="14"/>
              </w:rPr>
              <w:br/>
            </w:r>
          </w:p>
        </w:tc>
        <w:tc>
          <w:tcPr>
            <w:tcW w:w="1984" w:type="dxa"/>
            <w:vMerge w:val="restart"/>
            <w:tcBorders>
              <w:top w:val="single" w:sz="8" w:space="0" w:color="auto"/>
            </w:tcBorders>
            <w:noWrap/>
            <w:hideMark/>
          </w:tcPr>
          <w:p w14:paraId="68DE8083" w14:textId="77777777" w:rsidR="000F0341" w:rsidRPr="00BF62A1" w:rsidRDefault="000F0341" w:rsidP="00E40B0D">
            <w:pPr>
              <w:pStyle w:val="ListParagraph"/>
              <w:numPr>
                <w:ilvl w:val="0"/>
                <w:numId w:val="1"/>
              </w:numPr>
              <w:spacing w:line="240" w:lineRule="auto"/>
              <w:ind w:left="0"/>
              <w:jc w:val="left"/>
              <w:rPr>
                <w:color w:val="000000"/>
                <w:sz w:val="14"/>
                <w:szCs w:val="14"/>
              </w:rPr>
            </w:pPr>
            <w:r w:rsidRPr="00BF62A1">
              <w:rPr>
                <w:color w:val="000000"/>
                <w:sz w:val="14"/>
                <w:szCs w:val="14"/>
              </w:rPr>
              <w:t>ICD-10 C22.0</w:t>
            </w:r>
          </w:p>
        </w:tc>
        <w:tc>
          <w:tcPr>
            <w:tcW w:w="3119" w:type="dxa"/>
            <w:vMerge w:val="restart"/>
            <w:tcBorders>
              <w:top w:val="single" w:sz="8" w:space="0" w:color="auto"/>
            </w:tcBorders>
            <w:hideMark/>
          </w:tcPr>
          <w:p w14:paraId="3AF5234B" w14:textId="77777777" w:rsidR="000F0341" w:rsidRPr="00BF62A1" w:rsidRDefault="000F0341" w:rsidP="00E40B0D">
            <w:pPr>
              <w:spacing w:line="240" w:lineRule="auto"/>
              <w:jc w:val="left"/>
              <w:rPr>
                <w:color w:val="000000"/>
                <w:sz w:val="14"/>
                <w:szCs w:val="14"/>
              </w:rPr>
            </w:pPr>
            <w:r w:rsidRPr="00BF62A1">
              <w:rPr>
                <w:color w:val="000000"/>
                <w:sz w:val="14"/>
                <w:szCs w:val="14"/>
              </w:rPr>
              <w:t>&lt;20 years</w:t>
            </w:r>
          </w:p>
        </w:tc>
        <w:tc>
          <w:tcPr>
            <w:tcW w:w="3234" w:type="dxa"/>
            <w:vMerge w:val="restart"/>
            <w:tcBorders>
              <w:top w:val="single" w:sz="8" w:space="0" w:color="auto"/>
            </w:tcBorders>
            <w:hideMark/>
          </w:tcPr>
          <w:p w14:paraId="6957B7D4" w14:textId="77777777" w:rsidR="000F0341" w:rsidRPr="00BF62A1" w:rsidRDefault="000F0341" w:rsidP="00E40B0D">
            <w:pPr>
              <w:spacing w:line="240" w:lineRule="auto"/>
              <w:jc w:val="left"/>
              <w:rPr>
                <w:color w:val="000000"/>
                <w:sz w:val="14"/>
                <w:szCs w:val="14"/>
              </w:rPr>
            </w:pPr>
            <w:r>
              <w:rPr>
                <w:color w:val="000000"/>
                <w:sz w:val="14"/>
                <w:szCs w:val="14"/>
              </w:rPr>
              <w:t>A</w:t>
            </w:r>
            <w:r w:rsidRPr="00BF62A1">
              <w:rPr>
                <w:color w:val="000000"/>
                <w:sz w:val="14"/>
                <w:szCs w:val="14"/>
              </w:rPr>
              <w:t>ge, clustering, comorbidities, hospital type, gender, surgery type</w:t>
            </w:r>
          </w:p>
        </w:tc>
      </w:tr>
      <w:tr w:rsidR="000F0341" w:rsidRPr="00BF62A1" w14:paraId="5005564E" w14:textId="77777777" w:rsidTr="00E40B0D">
        <w:trPr>
          <w:trHeight w:val="64"/>
        </w:trPr>
        <w:tc>
          <w:tcPr>
            <w:tcW w:w="1422" w:type="dxa"/>
            <w:vMerge/>
          </w:tcPr>
          <w:p w14:paraId="1FA4C09F" w14:textId="77777777" w:rsidR="000F0341" w:rsidRPr="00BF62A1" w:rsidRDefault="000F0341" w:rsidP="00E40B0D">
            <w:pPr>
              <w:spacing w:line="240" w:lineRule="auto"/>
              <w:jc w:val="left"/>
              <w:rPr>
                <w:color w:val="000000"/>
                <w:sz w:val="14"/>
                <w:szCs w:val="14"/>
              </w:rPr>
            </w:pPr>
          </w:p>
        </w:tc>
        <w:tc>
          <w:tcPr>
            <w:tcW w:w="2973" w:type="dxa"/>
          </w:tcPr>
          <w:p w14:paraId="0E7E65D0" w14:textId="77777777" w:rsidR="000F0341" w:rsidRPr="00BF62A1" w:rsidRDefault="000F0341" w:rsidP="00E40B0D">
            <w:pPr>
              <w:spacing w:line="240" w:lineRule="auto"/>
              <w:jc w:val="left"/>
              <w:rPr>
                <w:color w:val="000000"/>
                <w:sz w:val="14"/>
                <w:szCs w:val="14"/>
              </w:rPr>
            </w:pPr>
            <w:r w:rsidRPr="00BF62A1">
              <w:rPr>
                <w:color w:val="000000"/>
                <w:sz w:val="14"/>
                <w:szCs w:val="14"/>
              </w:rPr>
              <w:t>Segmentecotmy</w:t>
            </w:r>
          </w:p>
        </w:tc>
        <w:tc>
          <w:tcPr>
            <w:tcW w:w="1843" w:type="dxa"/>
          </w:tcPr>
          <w:p w14:paraId="22148C12" w14:textId="77777777" w:rsidR="000F0341" w:rsidRPr="00BF62A1" w:rsidRDefault="000F0341" w:rsidP="00E40B0D">
            <w:pPr>
              <w:spacing w:line="240" w:lineRule="auto"/>
              <w:jc w:val="left"/>
              <w:rPr>
                <w:color w:val="000000"/>
                <w:sz w:val="14"/>
                <w:szCs w:val="14"/>
              </w:rPr>
            </w:pPr>
            <w:r w:rsidRPr="00BF62A1">
              <w:rPr>
                <w:color w:val="000000"/>
                <w:sz w:val="14"/>
                <w:szCs w:val="14"/>
              </w:rPr>
              <w:t>9474 (35.0)</w:t>
            </w:r>
          </w:p>
        </w:tc>
        <w:tc>
          <w:tcPr>
            <w:tcW w:w="1984" w:type="dxa"/>
            <w:vMerge/>
            <w:noWrap/>
          </w:tcPr>
          <w:p w14:paraId="094E482A" w14:textId="77777777" w:rsidR="000F0341" w:rsidRPr="00BF62A1" w:rsidRDefault="000F0341" w:rsidP="00E40B0D">
            <w:pPr>
              <w:pStyle w:val="ListParagraph"/>
              <w:numPr>
                <w:ilvl w:val="0"/>
                <w:numId w:val="1"/>
              </w:numPr>
              <w:spacing w:line="240" w:lineRule="auto"/>
              <w:ind w:left="0"/>
              <w:jc w:val="left"/>
              <w:rPr>
                <w:color w:val="000000"/>
                <w:sz w:val="14"/>
                <w:szCs w:val="14"/>
              </w:rPr>
            </w:pPr>
          </w:p>
        </w:tc>
        <w:tc>
          <w:tcPr>
            <w:tcW w:w="3119" w:type="dxa"/>
            <w:vMerge/>
          </w:tcPr>
          <w:p w14:paraId="1B331A86" w14:textId="77777777" w:rsidR="000F0341" w:rsidRPr="00BF62A1" w:rsidRDefault="000F0341" w:rsidP="00E40B0D">
            <w:pPr>
              <w:spacing w:line="240" w:lineRule="auto"/>
              <w:jc w:val="left"/>
              <w:rPr>
                <w:color w:val="000000"/>
                <w:sz w:val="14"/>
                <w:szCs w:val="14"/>
              </w:rPr>
            </w:pPr>
          </w:p>
        </w:tc>
        <w:tc>
          <w:tcPr>
            <w:tcW w:w="3234" w:type="dxa"/>
            <w:vMerge/>
          </w:tcPr>
          <w:p w14:paraId="128D410D" w14:textId="77777777" w:rsidR="000F0341" w:rsidRPr="00BF62A1" w:rsidRDefault="000F0341" w:rsidP="00E40B0D">
            <w:pPr>
              <w:spacing w:line="240" w:lineRule="auto"/>
              <w:jc w:val="left"/>
              <w:rPr>
                <w:color w:val="000000"/>
                <w:sz w:val="14"/>
                <w:szCs w:val="14"/>
              </w:rPr>
            </w:pPr>
          </w:p>
        </w:tc>
      </w:tr>
      <w:tr w:rsidR="000F0341" w:rsidRPr="00BF62A1" w14:paraId="133B8CDB" w14:textId="77777777" w:rsidTr="00E40B0D">
        <w:trPr>
          <w:trHeight w:val="64"/>
        </w:trPr>
        <w:tc>
          <w:tcPr>
            <w:tcW w:w="1422" w:type="dxa"/>
            <w:vMerge/>
          </w:tcPr>
          <w:p w14:paraId="77CCCC38" w14:textId="77777777" w:rsidR="000F0341" w:rsidRPr="00BF62A1" w:rsidRDefault="000F0341" w:rsidP="00E40B0D">
            <w:pPr>
              <w:spacing w:line="240" w:lineRule="auto"/>
              <w:jc w:val="left"/>
              <w:rPr>
                <w:color w:val="000000"/>
                <w:sz w:val="14"/>
                <w:szCs w:val="14"/>
              </w:rPr>
            </w:pPr>
          </w:p>
        </w:tc>
        <w:tc>
          <w:tcPr>
            <w:tcW w:w="2973" w:type="dxa"/>
          </w:tcPr>
          <w:p w14:paraId="06C3710A" w14:textId="77777777" w:rsidR="000F0341" w:rsidRPr="00BF62A1" w:rsidRDefault="000F0341" w:rsidP="00E40B0D">
            <w:pPr>
              <w:spacing w:line="240" w:lineRule="auto"/>
              <w:jc w:val="left"/>
              <w:rPr>
                <w:color w:val="000000"/>
                <w:sz w:val="14"/>
                <w:szCs w:val="14"/>
              </w:rPr>
            </w:pPr>
            <w:r w:rsidRPr="00BF62A1">
              <w:rPr>
                <w:color w:val="000000"/>
                <w:sz w:val="14"/>
                <w:szCs w:val="14"/>
              </w:rPr>
              <w:t>Hemihepatecotmy</w:t>
            </w:r>
          </w:p>
        </w:tc>
        <w:tc>
          <w:tcPr>
            <w:tcW w:w="1843" w:type="dxa"/>
          </w:tcPr>
          <w:p w14:paraId="12D4474E" w14:textId="77777777" w:rsidR="000F0341" w:rsidRPr="00BF62A1" w:rsidRDefault="000F0341" w:rsidP="00E40B0D">
            <w:pPr>
              <w:spacing w:line="240" w:lineRule="auto"/>
              <w:jc w:val="left"/>
              <w:rPr>
                <w:color w:val="000000"/>
                <w:sz w:val="14"/>
                <w:szCs w:val="14"/>
              </w:rPr>
            </w:pPr>
            <w:r w:rsidRPr="00BF62A1">
              <w:rPr>
                <w:color w:val="000000"/>
                <w:sz w:val="14"/>
                <w:szCs w:val="14"/>
              </w:rPr>
              <w:t>4829 (17.8)</w:t>
            </w:r>
          </w:p>
        </w:tc>
        <w:tc>
          <w:tcPr>
            <w:tcW w:w="1984" w:type="dxa"/>
            <w:vMerge/>
            <w:noWrap/>
          </w:tcPr>
          <w:p w14:paraId="74C0376D" w14:textId="77777777" w:rsidR="000F0341" w:rsidRPr="00BF62A1" w:rsidRDefault="000F0341" w:rsidP="00E40B0D">
            <w:pPr>
              <w:pStyle w:val="ListParagraph"/>
              <w:numPr>
                <w:ilvl w:val="0"/>
                <w:numId w:val="1"/>
              </w:numPr>
              <w:spacing w:line="240" w:lineRule="auto"/>
              <w:ind w:left="0"/>
              <w:jc w:val="left"/>
              <w:rPr>
                <w:color w:val="000000"/>
                <w:sz w:val="14"/>
                <w:szCs w:val="14"/>
              </w:rPr>
            </w:pPr>
          </w:p>
        </w:tc>
        <w:tc>
          <w:tcPr>
            <w:tcW w:w="3119" w:type="dxa"/>
            <w:vMerge/>
          </w:tcPr>
          <w:p w14:paraId="0D1B445E" w14:textId="77777777" w:rsidR="000F0341" w:rsidRPr="00BF62A1" w:rsidRDefault="000F0341" w:rsidP="00E40B0D">
            <w:pPr>
              <w:spacing w:line="240" w:lineRule="auto"/>
              <w:jc w:val="left"/>
              <w:rPr>
                <w:color w:val="000000"/>
                <w:sz w:val="14"/>
                <w:szCs w:val="14"/>
              </w:rPr>
            </w:pPr>
          </w:p>
        </w:tc>
        <w:tc>
          <w:tcPr>
            <w:tcW w:w="3234" w:type="dxa"/>
            <w:vMerge/>
          </w:tcPr>
          <w:p w14:paraId="6A1A6FAF" w14:textId="77777777" w:rsidR="000F0341" w:rsidRPr="00BF62A1" w:rsidRDefault="000F0341" w:rsidP="00E40B0D">
            <w:pPr>
              <w:spacing w:line="240" w:lineRule="auto"/>
              <w:jc w:val="left"/>
              <w:rPr>
                <w:color w:val="000000"/>
                <w:sz w:val="14"/>
                <w:szCs w:val="14"/>
              </w:rPr>
            </w:pPr>
          </w:p>
        </w:tc>
      </w:tr>
      <w:tr w:rsidR="000F0341" w:rsidRPr="00BF62A1" w14:paraId="69185E42" w14:textId="77777777" w:rsidTr="00E40B0D">
        <w:trPr>
          <w:trHeight w:val="64"/>
        </w:trPr>
        <w:tc>
          <w:tcPr>
            <w:tcW w:w="1422" w:type="dxa"/>
            <w:vMerge/>
          </w:tcPr>
          <w:p w14:paraId="6E975FD5" w14:textId="77777777" w:rsidR="000F0341" w:rsidRPr="00BF62A1" w:rsidRDefault="000F0341" w:rsidP="00E40B0D">
            <w:pPr>
              <w:spacing w:line="240" w:lineRule="auto"/>
              <w:jc w:val="left"/>
              <w:rPr>
                <w:color w:val="000000"/>
                <w:sz w:val="14"/>
                <w:szCs w:val="14"/>
              </w:rPr>
            </w:pPr>
          </w:p>
        </w:tc>
        <w:tc>
          <w:tcPr>
            <w:tcW w:w="2973" w:type="dxa"/>
          </w:tcPr>
          <w:p w14:paraId="40446A03" w14:textId="77777777" w:rsidR="000F0341" w:rsidRPr="00BF62A1" w:rsidRDefault="000F0341" w:rsidP="00E40B0D">
            <w:pPr>
              <w:spacing w:line="240" w:lineRule="auto"/>
              <w:jc w:val="left"/>
              <w:rPr>
                <w:color w:val="000000"/>
                <w:sz w:val="14"/>
                <w:szCs w:val="14"/>
              </w:rPr>
            </w:pPr>
            <w:r w:rsidRPr="00BF62A1">
              <w:rPr>
                <w:color w:val="000000"/>
                <w:sz w:val="14"/>
                <w:szCs w:val="14"/>
              </w:rPr>
              <w:t>Extended hemihepatectomy</w:t>
            </w:r>
          </w:p>
        </w:tc>
        <w:tc>
          <w:tcPr>
            <w:tcW w:w="1843" w:type="dxa"/>
          </w:tcPr>
          <w:p w14:paraId="1BA3C3D8" w14:textId="77777777" w:rsidR="000F0341" w:rsidRPr="00BF62A1" w:rsidRDefault="000F0341" w:rsidP="00E40B0D">
            <w:pPr>
              <w:spacing w:line="240" w:lineRule="auto"/>
              <w:jc w:val="left"/>
              <w:rPr>
                <w:color w:val="000000"/>
                <w:sz w:val="14"/>
                <w:szCs w:val="14"/>
              </w:rPr>
            </w:pPr>
            <w:r w:rsidRPr="00BF62A1">
              <w:rPr>
                <w:color w:val="000000"/>
                <w:sz w:val="14"/>
                <w:szCs w:val="14"/>
              </w:rPr>
              <w:t>3008 (11.1)</w:t>
            </w:r>
          </w:p>
        </w:tc>
        <w:tc>
          <w:tcPr>
            <w:tcW w:w="1984" w:type="dxa"/>
            <w:vMerge/>
            <w:noWrap/>
          </w:tcPr>
          <w:p w14:paraId="749CE545" w14:textId="77777777" w:rsidR="000F0341" w:rsidRPr="00BF62A1" w:rsidRDefault="000F0341" w:rsidP="00E40B0D">
            <w:pPr>
              <w:pStyle w:val="ListParagraph"/>
              <w:numPr>
                <w:ilvl w:val="0"/>
                <w:numId w:val="1"/>
              </w:numPr>
              <w:spacing w:line="240" w:lineRule="auto"/>
              <w:ind w:left="0"/>
              <w:jc w:val="left"/>
              <w:rPr>
                <w:color w:val="000000"/>
                <w:sz w:val="14"/>
                <w:szCs w:val="14"/>
              </w:rPr>
            </w:pPr>
          </w:p>
        </w:tc>
        <w:tc>
          <w:tcPr>
            <w:tcW w:w="3119" w:type="dxa"/>
            <w:vMerge/>
          </w:tcPr>
          <w:p w14:paraId="421483EC" w14:textId="77777777" w:rsidR="000F0341" w:rsidRPr="00BF62A1" w:rsidRDefault="000F0341" w:rsidP="00E40B0D">
            <w:pPr>
              <w:spacing w:line="240" w:lineRule="auto"/>
              <w:jc w:val="left"/>
              <w:rPr>
                <w:color w:val="000000"/>
                <w:sz w:val="14"/>
                <w:szCs w:val="14"/>
              </w:rPr>
            </w:pPr>
          </w:p>
        </w:tc>
        <w:tc>
          <w:tcPr>
            <w:tcW w:w="3234" w:type="dxa"/>
            <w:vMerge/>
          </w:tcPr>
          <w:p w14:paraId="2815D851" w14:textId="77777777" w:rsidR="000F0341" w:rsidRPr="00BF62A1" w:rsidRDefault="000F0341" w:rsidP="00E40B0D">
            <w:pPr>
              <w:spacing w:line="240" w:lineRule="auto"/>
              <w:jc w:val="left"/>
              <w:rPr>
                <w:color w:val="000000"/>
                <w:sz w:val="14"/>
                <w:szCs w:val="14"/>
              </w:rPr>
            </w:pPr>
          </w:p>
        </w:tc>
      </w:tr>
      <w:tr w:rsidR="000F0341" w:rsidRPr="00BF62A1" w14:paraId="0AA1B8CC" w14:textId="77777777" w:rsidTr="00E40B0D">
        <w:trPr>
          <w:trHeight w:val="108"/>
        </w:trPr>
        <w:tc>
          <w:tcPr>
            <w:tcW w:w="1422" w:type="dxa"/>
            <w:vMerge/>
            <w:tcBorders>
              <w:bottom w:val="single" w:sz="8" w:space="0" w:color="auto"/>
            </w:tcBorders>
          </w:tcPr>
          <w:p w14:paraId="66E50B13"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7BE6D6D4" w14:textId="77777777" w:rsidR="000F0341" w:rsidRPr="00BF62A1" w:rsidRDefault="000F0341" w:rsidP="00E40B0D">
            <w:pPr>
              <w:spacing w:line="240" w:lineRule="auto"/>
              <w:jc w:val="left"/>
              <w:rPr>
                <w:color w:val="000000"/>
                <w:sz w:val="14"/>
                <w:szCs w:val="14"/>
              </w:rPr>
            </w:pPr>
            <w:r w:rsidRPr="00BF62A1">
              <w:rPr>
                <w:color w:val="000000"/>
                <w:sz w:val="14"/>
                <w:szCs w:val="14"/>
              </w:rPr>
              <w:t>Laparoscopic hepatectomy</w:t>
            </w:r>
          </w:p>
        </w:tc>
        <w:tc>
          <w:tcPr>
            <w:tcW w:w="1843" w:type="dxa"/>
            <w:tcBorders>
              <w:bottom w:val="single" w:sz="8" w:space="0" w:color="auto"/>
            </w:tcBorders>
          </w:tcPr>
          <w:p w14:paraId="61CC77AD" w14:textId="77777777" w:rsidR="000F0341" w:rsidRPr="00BF62A1" w:rsidRDefault="000F0341" w:rsidP="00E40B0D">
            <w:pPr>
              <w:spacing w:line="240" w:lineRule="auto"/>
              <w:jc w:val="left"/>
              <w:rPr>
                <w:color w:val="000000"/>
                <w:sz w:val="14"/>
                <w:szCs w:val="14"/>
              </w:rPr>
            </w:pPr>
            <w:r w:rsidRPr="00BF62A1">
              <w:rPr>
                <w:color w:val="000000"/>
                <w:sz w:val="14"/>
                <w:szCs w:val="14"/>
              </w:rPr>
              <w:t>1130 (4.2)</w:t>
            </w:r>
          </w:p>
        </w:tc>
        <w:tc>
          <w:tcPr>
            <w:tcW w:w="1984" w:type="dxa"/>
            <w:vMerge/>
            <w:tcBorders>
              <w:bottom w:val="single" w:sz="8" w:space="0" w:color="auto"/>
            </w:tcBorders>
            <w:noWrap/>
          </w:tcPr>
          <w:p w14:paraId="7C182101" w14:textId="77777777" w:rsidR="000F0341" w:rsidRPr="00BF62A1" w:rsidRDefault="000F0341" w:rsidP="00E40B0D">
            <w:pPr>
              <w:pStyle w:val="ListParagraph"/>
              <w:numPr>
                <w:ilvl w:val="0"/>
                <w:numId w:val="1"/>
              </w:numPr>
              <w:spacing w:line="240" w:lineRule="auto"/>
              <w:ind w:left="0"/>
              <w:jc w:val="left"/>
              <w:rPr>
                <w:color w:val="000000"/>
                <w:sz w:val="14"/>
                <w:szCs w:val="14"/>
              </w:rPr>
            </w:pPr>
          </w:p>
        </w:tc>
        <w:tc>
          <w:tcPr>
            <w:tcW w:w="3119" w:type="dxa"/>
            <w:vMerge/>
            <w:tcBorders>
              <w:bottom w:val="single" w:sz="8" w:space="0" w:color="auto"/>
            </w:tcBorders>
          </w:tcPr>
          <w:p w14:paraId="44B7188D"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3F35B65C" w14:textId="77777777" w:rsidR="000F0341" w:rsidRPr="00BF62A1" w:rsidRDefault="000F0341" w:rsidP="00E40B0D">
            <w:pPr>
              <w:spacing w:line="240" w:lineRule="auto"/>
              <w:jc w:val="left"/>
              <w:rPr>
                <w:color w:val="000000"/>
                <w:sz w:val="14"/>
                <w:szCs w:val="14"/>
              </w:rPr>
            </w:pPr>
          </w:p>
        </w:tc>
      </w:tr>
      <w:tr w:rsidR="000F0341" w:rsidRPr="00BF62A1" w14:paraId="61B9B0CB" w14:textId="77777777" w:rsidTr="00E40B0D">
        <w:trPr>
          <w:trHeight w:val="79"/>
        </w:trPr>
        <w:tc>
          <w:tcPr>
            <w:tcW w:w="1422" w:type="dxa"/>
            <w:vMerge w:val="restart"/>
            <w:tcBorders>
              <w:top w:val="single" w:sz="8" w:space="0" w:color="auto"/>
            </w:tcBorders>
            <w:hideMark/>
          </w:tcPr>
          <w:p w14:paraId="793B279F" w14:textId="5E1212F9" w:rsidR="000F0341" w:rsidRPr="00BF62A1" w:rsidRDefault="000F0341" w:rsidP="00E40B0D">
            <w:pPr>
              <w:spacing w:line="240" w:lineRule="auto"/>
              <w:jc w:val="left"/>
              <w:rPr>
                <w:color w:val="000000"/>
                <w:sz w:val="14"/>
                <w:szCs w:val="14"/>
              </w:rPr>
            </w:pPr>
            <w:r w:rsidRPr="00BF62A1">
              <w:rPr>
                <w:color w:val="000000"/>
                <w:sz w:val="14"/>
                <w:szCs w:val="14"/>
              </w:rPr>
              <w:t xml:space="preserve">Sahara 2020 </w:t>
            </w:r>
            <w:r w:rsidRPr="00BF62A1">
              <w:rPr>
                <w:color w:val="000000"/>
                <w:sz w:val="14"/>
                <w:szCs w:val="14"/>
              </w:rPr>
              <w:fldChar w:fldCharType="begin"/>
            </w:r>
            <w:r>
              <w:rPr>
                <w:color w:val="000000"/>
                <w:sz w:val="14"/>
                <w:szCs w:val="14"/>
              </w:rPr>
              <w:instrText xml:space="preserve"> ADDIN ZOTERO_ITEM CSL_CITATION {"citationID":"47cAq9eX","properties":{"formattedCitation":"[78]","plainCitation":"[78]","noteIndex":0},"citationItems":[{"id":14162,"uris":["http://zotero.org/groups/4983919/items/3FLGF8T8"],"itemData":{"id":14162,"type":"article-journal","abstract":"BACKGROUND: Although the role of annual surgeon volume on perioperative outcomes after liver resection (LR) has been investigated, there is a paucity of data regarding the impact of surgeon volume on outcomes of minimally invasive LR (MILR) versus open LR (OLR). METHODS: Patients undergoing LR between 2013 and 2015 were identified in the Medicare inpatient Standard Analytic Files. Patients were classified into three groups based on surgeons' annual caseload: low (≤ 2 cases), medium (3-5 cases), or high (≥ 6 cases). Short-term outcomes and expenditures of LR, stratified by surgeon volume and minimally invasive surgery (MIS), were examined. RESULTS: Among 3403 surgeons performing LR on 7169 patients, approximately 90% of surgeons performed less than 5 liver resections per year for Medicare patients. Only 7.1% of patients underwent MILR (n = 506). After adjustment, the likelihood of experiencing a complication and death within 90 days decreased with increasing surgeon volume. Outcomes of open and MILR among low- or high-volume surgeon groups, including rates of complications, 30- and 90-day readmission and mortality were similar. However, the difference of average total episode payment between open and MIS was higher in the high-volume surgeon group (low volume: $2929 vs. medium volume: $2333 vs. high volume: $7055). CONCLUSION: Annual surgeon volume was an important predictor of outcomes following LR. MILR had comparable results to open LR among both the low- and high-volume surgeons.","container-title":"J Gastrointest Surg","DOI":"10.1007/s11605-019-04323-9","ISSN":"1091-255x","issue":"7","language":"eng","note":"publisher-place: Division of Surgical Oncology, Wexner Medical Center and James Comprehensive Cancer Center, The Ohio State University, Columbus, OH, USA. Gastroenterological Surgery Division, Yokohama City University School of Medicine, Yokohama, Japan. Division of Health Information Management and Systems, The Ohio State Wexner Medical Center, The Ohio State University, Columbus, OH, USA. Division of Surgical Oncology, Wexner Medical Center and James Comprehensive Cancer Center, The Ohio State University, Columbus, OH, USA. Tim.Pawlik@osumc.edu. Department of Surgery, The Urban Meyer III and Shelley Meyer Chair for Cancer Research, Wexner Medical Center, The Ohio State University, 395 W. 12th Ave., Suite 670, Columbus, OH, USA. Tim.Pawlik@osumc.edu.","page":"1520-1529","title":"Impact of Surgeon Volume on Outcomes and Expenditure Among Medicare Beneficiaries Undergoing Liver Resection: the Effect of Minimally Invasive Surgery","volume":"24","author":[{"family":"Sahara","given":"K."},{"family":"Merath","given":"K."},{"family":"Hyer","given":"J. M."},{"family":"Tsilimigras","given":"D. I."},{"family":"Paredes","given":"A. Z."},{"family":"Farooq","given":"A."},{"family":"Mehta","given":"R."},{"family":"Wu","given":"L."},{"family":"Beal","given":"E. W."},{"family":"White","given":"S."},{"family":"Endo","given":"I."},{"family":"Pawlik","given":"T. M."}],"issued":{"date-parts":[["2020",7]]}}}],"schema":"https://github.com/citation-style-language/schema/raw/master/csl-citation.json"} </w:instrText>
            </w:r>
            <w:r w:rsidRPr="00BF62A1">
              <w:rPr>
                <w:color w:val="000000"/>
                <w:sz w:val="14"/>
                <w:szCs w:val="14"/>
              </w:rPr>
              <w:fldChar w:fldCharType="separate"/>
            </w:r>
            <w:r w:rsidRPr="004125CE">
              <w:rPr>
                <w:sz w:val="14"/>
              </w:rPr>
              <w:t>[7</w:t>
            </w:r>
            <w:r w:rsidR="00D03F0D">
              <w:rPr>
                <w:sz w:val="14"/>
              </w:rPr>
              <w:t>6</w:t>
            </w:r>
            <w:r w:rsidRPr="004125CE">
              <w:rPr>
                <w:sz w:val="14"/>
              </w:rPr>
              <w:t>]</w:t>
            </w:r>
            <w:r w:rsidRPr="00BF62A1">
              <w:rPr>
                <w:color w:val="000000"/>
                <w:sz w:val="14"/>
                <w:szCs w:val="14"/>
              </w:rPr>
              <w:fldChar w:fldCharType="end"/>
            </w:r>
          </w:p>
        </w:tc>
        <w:tc>
          <w:tcPr>
            <w:tcW w:w="2973" w:type="dxa"/>
            <w:tcBorders>
              <w:top w:val="single" w:sz="8" w:space="0" w:color="auto"/>
            </w:tcBorders>
            <w:hideMark/>
          </w:tcPr>
          <w:p w14:paraId="6D6C03D5" w14:textId="77777777" w:rsidR="000F0341" w:rsidRPr="00BF62A1" w:rsidRDefault="000F0341" w:rsidP="00E40B0D">
            <w:pPr>
              <w:spacing w:line="240" w:lineRule="auto"/>
              <w:jc w:val="left"/>
              <w:rPr>
                <w:color w:val="000000"/>
                <w:sz w:val="14"/>
                <w:szCs w:val="14"/>
              </w:rPr>
            </w:pPr>
            <w:r w:rsidRPr="00BF62A1">
              <w:rPr>
                <w:color w:val="000000"/>
                <w:sz w:val="14"/>
                <w:szCs w:val="14"/>
              </w:rPr>
              <w:t>Lobectomy</w:t>
            </w:r>
            <w:r w:rsidRPr="00BF62A1">
              <w:rPr>
                <w:color w:val="000000"/>
                <w:sz w:val="14"/>
                <w:szCs w:val="14"/>
              </w:rPr>
              <w:br/>
            </w:r>
          </w:p>
        </w:tc>
        <w:tc>
          <w:tcPr>
            <w:tcW w:w="1843" w:type="dxa"/>
            <w:tcBorders>
              <w:top w:val="single" w:sz="8" w:space="0" w:color="auto"/>
            </w:tcBorders>
            <w:hideMark/>
          </w:tcPr>
          <w:p w14:paraId="63DBF2FF" w14:textId="77777777" w:rsidR="000F0341" w:rsidRPr="00BF62A1" w:rsidRDefault="000F0341" w:rsidP="00E40B0D">
            <w:pPr>
              <w:spacing w:line="240" w:lineRule="auto"/>
              <w:jc w:val="left"/>
              <w:rPr>
                <w:color w:val="000000"/>
                <w:sz w:val="14"/>
                <w:szCs w:val="14"/>
              </w:rPr>
            </w:pPr>
            <w:r w:rsidRPr="00BF62A1">
              <w:rPr>
                <w:color w:val="000000"/>
                <w:sz w:val="14"/>
                <w:szCs w:val="14"/>
              </w:rPr>
              <w:t>1491 (20.8)</w:t>
            </w:r>
            <w:r w:rsidRPr="00BF62A1">
              <w:rPr>
                <w:color w:val="000000"/>
                <w:sz w:val="14"/>
                <w:szCs w:val="14"/>
              </w:rPr>
              <w:br/>
            </w:r>
          </w:p>
        </w:tc>
        <w:tc>
          <w:tcPr>
            <w:tcW w:w="1984" w:type="dxa"/>
            <w:vMerge w:val="restart"/>
            <w:tcBorders>
              <w:top w:val="single" w:sz="8" w:space="0" w:color="auto"/>
            </w:tcBorders>
            <w:hideMark/>
          </w:tcPr>
          <w:p w14:paraId="0805FAC7" w14:textId="77777777" w:rsidR="000F0341" w:rsidRPr="00BF62A1" w:rsidRDefault="000F0341" w:rsidP="00E40B0D">
            <w:pPr>
              <w:spacing w:line="240" w:lineRule="auto"/>
              <w:jc w:val="left"/>
              <w:rPr>
                <w:color w:val="000000"/>
                <w:sz w:val="14"/>
                <w:szCs w:val="14"/>
              </w:rPr>
            </w:pPr>
            <w:r w:rsidRPr="00BF62A1">
              <w:rPr>
                <w:color w:val="000000"/>
                <w:sz w:val="14"/>
                <w:szCs w:val="14"/>
              </w:rPr>
              <w:t>ICD-9 CM: 50.3, 50.22, 17.49, 54.51. 54.21, 17.43, 17.42, 17.41, 17.49, 54.21</w:t>
            </w:r>
          </w:p>
        </w:tc>
        <w:tc>
          <w:tcPr>
            <w:tcW w:w="3119" w:type="dxa"/>
            <w:vMerge w:val="restart"/>
            <w:tcBorders>
              <w:top w:val="single" w:sz="8" w:space="0" w:color="auto"/>
            </w:tcBorders>
            <w:hideMark/>
          </w:tcPr>
          <w:p w14:paraId="68726B79" w14:textId="77777777" w:rsidR="000F0341" w:rsidRPr="00BF62A1" w:rsidRDefault="000F0341" w:rsidP="00E40B0D">
            <w:pPr>
              <w:spacing w:line="240" w:lineRule="auto"/>
              <w:jc w:val="left"/>
              <w:rPr>
                <w:color w:val="000000"/>
                <w:sz w:val="14"/>
                <w:szCs w:val="14"/>
              </w:rPr>
            </w:pPr>
            <w:r w:rsidRPr="00BF62A1">
              <w:rPr>
                <w:color w:val="000000"/>
                <w:sz w:val="14"/>
                <w:szCs w:val="14"/>
              </w:rPr>
              <w:t>&lt;65 years; ablation; trauma patients, liver transplantation; patients with missing information for hospital and surgeon identifier</w:t>
            </w:r>
          </w:p>
        </w:tc>
        <w:tc>
          <w:tcPr>
            <w:tcW w:w="3234" w:type="dxa"/>
            <w:vMerge w:val="restart"/>
            <w:tcBorders>
              <w:top w:val="single" w:sz="8" w:space="0" w:color="auto"/>
            </w:tcBorders>
            <w:hideMark/>
          </w:tcPr>
          <w:p w14:paraId="0891F03B" w14:textId="77777777" w:rsidR="000F0341" w:rsidRPr="00BF62A1" w:rsidRDefault="000F0341" w:rsidP="00E40B0D">
            <w:pPr>
              <w:spacing w:line="240" w:lineRule="auto"/>
              <w:jc w:val="left"/>
              <w:rPr>
                <w:color w:val="000000"/>
                <w:sz w:val="14"/>
                <w:szCs w:val="14"/>
              </w:rPr>
            </w:pPr>
            <w:r>
              <w:rPr>
                <w:color w:val="000000"/>
                <w:sz w:val="14"/>
                <w:szCs w:val="14"/>
              </w:rPr>
              <w:t>A</w:t>
            </w:r>
            <w:r w:rsidRPr="00BF62A1">
              <w:rPr>
                <w:color w:val="000000"/>
                <w:sz w:val="14"/>
                <w:szCs w:val="14"/>
              </w:rPr>
              <w:t>ge, caseload, CCI, cirrhosis, hospital type, indication, race, gender, surgery type</w:t>
            </w:r>
          </w:p>
        </w:tc>
      </w:tr>
      <w:tr w:rsidR="000F0341" w:rsidRPr="00BF62A1" w14:paraId="5F1638E6" w14:textId="77777777" w:rsidTr="00E40B0D">
        <w:trPr>
          <w:trHeight w:val="125"/>
        </w:trPr>
        <w:tc>
          <w:tcPr>
            <w:tcW w:w="1422" w:type="dxa"/>
            <w:vMerge/>
            <w:tcBorders>
              <w:bottom w:val="single" w:sz="8" w:space="0" w:color="auto"/>
            </w:tcBorders>
          </w:tcPr>
          <w:p w14:paraId="2BC03FC7"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095B7B94" w14:textId="77777777" w:rsidR="000F0341" w:rsidRPr="00BF62A1" w:rsidRDefault="000F0341" w:rsidP="00E40B0D">
            <w:pPr>
              <w:spacing w:line="240" w:lineRule="auto"/>
              <w:jc w:val="left"/>
              <w:rPr>
                <w:color w:val="000000"/>
                <w:sz w:val="14"/>
                <w:szCs w:val="14"/>
              </w:rPr>
            </w:pPr>
            <w:r w:rsidRPr="00BF62A1">
              <w:rPr>
                <w:color w:val="000000"/>
                <w:sz w:val="14"/>
                <w:szCs w:val="14"/>
              </w:rPr>
              <w:t>Partial Hepatectomy</w:t>
            </w:r>
          </w:p>
        </w:tc>
        <w:tc>
          <w:tcPr>
            <w:tcW w:w="1843" w:type="dxa"/>
            <w:tcBorders>
              <w:bottom w:val="single" w:sz="8" w:space="0" w:color="auto"/>
            </w:tcBorders>
          </w:tcPr>
          <w:p w14:paraId="15A09EC8" w14:textId="77777777" w:rsidR="000F0341" w:rsidRPr="00BF62A1" w:rsidRDefault="000F0341" w:rsidP="00E40B0D">
            <w:pPr>
              <w:spacing w:line="240" w:lineRule="auto"/>
              <w:jc w:val="left"/>
              <w:rPr>
                <w:color w:val="000000"/>
                <w:sz w:val="14"/>
                <w:szCs w:val="14"/>
              </w:rPr>
            </w:pPr>
            <w:r w:rsidRPr="00BF62A1">
              <w:rPr>
                <w:color w:val="000000"/>
                <w:sz w:val="14"/>
                <w:szCs w:val="14"/>
              </w:rPr>
              <w:t>5678 (79.2)</w:t>
            </w:r>
          </w:p>
        </w:tc>
        <w:tc>
          <w:tcPr>
            <w:tcW w:w="1984" w:type="dxa"/>
            <w:vMerge/>
            <w:tcBorders>
              <w:bottom w:val="single" w:sz="8" w:space="0" w:color="auto"/>
            </w:tcBorders>
          </w:tcPr>
          <w:p w14:paraId="4DF8131B"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4101D258"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7DEF4425" w14:textId="77777777" w:rsidR="000F0341" w:rsidRPr="00BF62A1" w:rsidRDefault="000F0341" w:rsidP="00E40B0D">
            <w:pPr>
              <w:spacing w:line="240" w:lineRule="auto"/>
              <w:jc w:val="left"/>
              <w:rPr>
                <w:color w:val="000000"/>
                <w:sz w:val="14"/>
                <w:szCs w:val="14"/>
              </w:rPr>
            </w:pPr>
          </w:p>
        </w:tc>
      </w:tr>
      <w:tr w:rsidR="000F0341" w:rsidRPr="00BF62A1" w14:paraId="5B794604" w14:textId="77777777" w:rsidTr="00E40B0D">
        <w:trPr>
          <w:trHeight w:val="64"/>
        </w:trPr>
        <w:tc>
          <w:tcPr>
            <w:tcW w:w="1422" w:type="dxa"/>
            <w:vMerge w:val="restart"/>
            <w:tcBorders>
              <w:top w:val="single" w:sz="8" w:space="0" w:color="auto"/>
            </w:tcBorders>
            <w:hideMark/>
          </w:tcPr>
          <w:p w14:paraId="7291BA53"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Sato 2012 </w:t>
            </w:r>
            <w:r w:rsidRPr="00BF62A1">
              <w:rPr>
                <w:color w:val="000000"/>
                <w:sz w:val="14"/>
                <w:szCs w:val="14"/>
              </w:rPr>
              <w:fldChar w:fldCharType="begin"/>
            </w:r>
            <w:r>
              <w:rPr>
                <w:color w:val="000000"/>
                <w:sz w:val="14"/>
                <w:szCs w:val="14"/>
              </w:rPr>
              <w:instrText xml:space="preserve"> ADDIN ZOTERO_ITEM CSL_CITATION {"citationID":"35INM28F","properties":{"formattedCitation":"[57]","plainCitation":"[57]","noteIndex":0},"citationItems":[{"id":14167,"uris":["http://zotero.org/groups/4983919/items/4SPP6UWC"],"itemData":{"id":14167,"type":"article-journal","abstract":"BACKGROUND: Reported mortalities and morbidities of therapeutic procedures for liver tumors vary between studies, because of different designs and small sample sizes. We investigated the mortalities and complication rates for hepatectomy, radiofrequency ablation (RFA), and trans-catheter arterial embolization (TAE) for hepatocellular carcinoma (HCC) in a large sample, using a nationwide Japanese database (the Diagnosis Procedure Combination database). METHODS: Data from the Diagnosis Procedure Combination database were analyzed for July 1 to December 31, 2007 and the same period in 2008. We identified 54,145 patients with HCC who underwent hepatectomy (n = 5,270), RFA (n = 11,688), or TAE (n = 37,187). In-hospital mortality and morbidity were analyzed for each procedure. The relationships between mortality and factors including patient characteristics and procedural backgrounds were assessed. RESULTS: In-hospital mortalities associated with hepatectomy, RFA, and TAE were 2.6 % [95 % confidence interval (CI) 2.2-3.1], 0.3 % (0.2-0.4), and 1.0 % (0.9-1.1), and post-procedural complication rates were 14.5 % (13.5-15.5), 4.5 % (4.2-4.9), and 4.5 % (4.3-4.7), respectively. Increased mortality following hepatectomy was significantly associated with older age, extended lobectomy (vs. partial hepatectomy; odds ratio [OR] 3.80, p &lt; 0.001), lower hospital volume (OR 2.74, p &lt; 0.001), and renal comorbidity (OR 3.01, p = 0.02). Older age and cardiac comorbidity (OR 5.14, p = 0.001) were significantly associated with RFA-related mortality, and lower hospital volume was significantly associated with TAE-related mortality (OR 1.60, p &lt; 0.001). CONCLUSIONS: Mortalities and morbidities associated with therapeutic procedures for liver tumors were acceptably low in Japan, but were affected by patient and institutional characteristics.","container-title":"J Gastroenterol","DOI":"10.1007/s00535-012-0569-0","ISSN":"0944-1174","issue":"10","language":"eng","note":"publisher-place: Department of Gastroenterology, Graduate School of Medicine, The University of Tokyo, 7-3-1 Hongo, Bunkyo-ku, Tokyo 113-8655, Japan.","page":"1125-33","title":"Mortality and morbidity of hepatectomy, radiofrequency ablation, and embolization for hepatocellular carcinoma: a national survey of 54,145 patients","volume":"47","author":[{"family":"Sato","given":"M."},{"family":"Tateishi","given":"R."},{"family":"Yasunaga","given":"H."},{"family":"Horiguchi","given":"H."},{"family":"Yoshida","given":"H."},{"family":"Matsuda","given":"S."},{"family":"Koike","given":"K."}],"issued":{"date-parts":[["2012",10]]}}}],"schema":"https://github.com/citation-style-language/schema/raw/master/csl-citation.json"} </w:instrText>
            </w:r>
            <w:r w:rsidRPr="00BF62A1">
              <w:rPr>
                <w:color w:val="000000"/>
                <w:sz w:val="14"/>
                <w:szCs w:val="14"/>
              </w:rPr>
              <w:fldChar w:fldCharType="separate"/>
            </w:r>
            <w:r w:rsidRPr="004125CE">
              <w:rPr>
                <w:sz w:val="14"/>
              </w:rPr>
              <w:t>[57]</w:t>
            </w:r>
            <w:r w:rsidRPr="00BF62A1">
              <w:rPr>
                <w:color w:val="000000"/>
                <w:sz w:val="14"/>
                <w:szCs w:val="14"/>
              </w:rPr>
              <w:fldChar w:fldCharType="end"/>
            </w:r>
          </w:p>
        </w:tc>
        <w:tc>
          <w:tcPr>
            <w:tcW w:w="2973" w:type="dxa"/>
            <w:tcBorders>
              <w:top w:val="single" w:sz="8" w:space="0" w:color="auto"/>
            </w:tcBorders>
            <w:hideMark/>
          </w:tcPr>
          <w:p w14:paraId="5BA5FC22" w14:textId="77777777" w:rsidR="000F0341" w:rsidRPr="00BF62A1" w:rsidRDefault="000F0341" w:rsidP="00E40B0D">
            <w:pPr>
              <w:spacing w:line="240" w:lineRule="auto"/>
              <w:jc w:val="left"/>
              <w:rPr>
                <w:color w:val="000000"/>
                <w:sz w:val="14"/>
                <w:szCs w:val="14"/>
              </w:rPr>
            </w:pPr>
            <w:r w:rsidRPr="00BF62A1">
              <w:rPr>
                <w:color w:val="000000"/>
                <w:sz w:val="14"/>
                <w:szCs w:val="14"/>
              </w:rPr>
              <w:t>Partial hepatectomy</w:t>
            </w:r>
            <w:r w:rsidRPr="00BF62A1">
              <w:rPr>
                <w:color w:val="000000"/>
                <w:sz w:val="14"/>
                <w:szCs w:val="14"/>
              </w:rPr>
              <w:br/>
            </w:r>
          </w:p>
        </w:tc>
        <w:tc>
          <w:tcPr>
            <w:tcW w:w="1843" w:type="dxa"/>
            <w:tcBorders>
              <w:top w:val="single" w:sz="8" w:space="0" w:color="auto"/>
            </w:tcBorders>
            <w:hideMark/>
          </w:tcPr>
          <w:p w14:paraId="09C69978" w14:textId="77777777" w:rsidR="000F0341" w:rsidRPr="00BF62A1" w:rsidRDefault="000F0341" w:rsidP="00E40B0D">
            <w:pPr>
              <w:spacing w:line="240" w:lineRule="auto"/>
              <w:jc w:val="left"/>
              <w:rPr>
                <w:color w:val="000000"/>
                <w:sz w:val="14"/>
                <w:szCs w:val="14"/>
              </w:rPr>
            </w:pPr>
            <w:r w:rsidRPr="00BF62A1">
              <w:rPr>
                <w:color w:val="000000"/>
                <w:sz w:val="14"/>
                <w:szCs w:val="14"/>
              </w:rPr>
              <w:t>2163 (41.0)</w:t>
            </w:r>
            <w:r w:rsidRPr="00BF62A1">
              <w:rPr>
                <w:color w:val="000000"/>
                <w:sz w:val="14"/>
                <w:szCs w:val="14"/>
                <w:vertAlign w:val="superscript"/>
              </w:rPr>
              <w:t>a</w:t>
            </w:r>
            <w:r w:rsidRPr="00BF62A1">
              <w:rPr>
                <w:color w:val="000000"/>
                <w:sz w:val="14"/>
                <w:szCs w:val="14"/>
              </w:rPr>
              <w:br/>
            </w:r>
          </w:p>
        </w:tc>
        <w:tc>
          <w:tcPr>
            <w:tcW w:w="1984" w:type="dxa"/>
            <w:vMerge w:val="restart"/>
            <w:tcBorders>
              <w:top w:val="single" w:sz="8" w:space="0" w:color="auto"/>
            </w:tcBorders>
            <w:noWrap/>
            <w:hideMark/>
          </w:tcPr>
          <w:p w14:paraId="22FA4066" w14:textId="77777777" w:rsidR="000F0341" w:rsidRPr="00BF62A1" w:rsidRDefault="000F0341" w:rsidP="00E40B0D">
            <w:pPr>
              <w:spacing w:line="240" w:lineRule="auto"/>
              <w:jc w:val="left"/>
              <w:rPr>
                <w:color w:val="000000"/>
                <w:sz w:val="14"/>
                <w:szCs w:val="14"/>
              </w:rPr>
            </w:pPr>
            <w:r w:rsidRPr="00BF62A1">
              <w:rPr>
                <w:color w:val="000000"/>
                <w:sz w:val="14"/>
                <w:szCs w:val="14"/>
              </w:rPr>
              <w:t>K695-(1-5) / ICD-10 C22.0</w:t>
            </w:r>
          </w:p>
        </w:tc>
        <w:tc>
          <w:tcPr>
            <w:tcW w:w="3119" w:type="dxa"/>
            <w:vMerge w:val="restart"/>
            <w:tcBorders>
              <w:top w:val="single" w:sz="8" w:space="0" w:color="auto"/>
            </w:tcBorders>
            <w:hideMark/>
          </w:tcPr>
          <w:p w14:paraId="75855E8C" w14:textId="77777777" w:rsidR="000F0341" w:rsidRPr="00BF62A1" w:rsidRDefault="000F0341" w:rsidP="00E40B0D">
            <w:pPr>
              <w:spacing w:line="240" w:lineRule="auto"/>
              <w:jc w:val="left"/>
              <w:rPr>
                <w:color w:val="000000"/>
                <w:sz w:val="14"/>
                <w:szCs w:val="14"/>
              </w:rPr>
            </w:pPr>
            <w:r>
              <w:rPr>
                <w:color w:val="000000"/>
                <w:sz w:val="14"/>
                <w:szCs w:val="14"/>
              </w:rPr>
              <w:t>P</w:t>
            </w:r>
            <w:r w:rsidRPr="00BF62A1">
              <w:rPr>
                <w:color w:val="000000"/>
                <w:sz w:val="14"/>
                <w:szCs w:val="14"/>
              </w:rPr>
              <w:t>atients who underwent two or more types of the included procedures, TAE for controlling tumor bleeding during emergency hospitalization</w:t>
            </w:r>
          </w:p>
        </w:tc>
        <w:tc>
          <w:tcPr>
            <w:tcW w:w="3234" w:type="dxa"/>
            <w:vMerge w:val="restart"/>
            <w:tcBorders>
              <w:top w:val="single" w:sz="8" w:space="0" w:color="auto"/>
            </w:tcBorders>
            <w:hideMark/>
          </w:tcPr>
          <w:p w14:paraId="1889045E" w14:textId="77777777" w:rsidR="000F0341" w:rsidRPr="00BF62A1" w:rsidRDefault="000F0341" w:rsidP="00E40B0D">
            <w:pPr>
              <w:spacing w:line="240" w:lineRule="auto"/>
              <w:jc w:val="left"/>
              <w:rPr>
                <w:color w:val="000000"/>
                <w:sz w:val="14"/>
                <w:szCs w:val="14"/>
              </w:rPr>
            </w:pPr>
            <w:r>
              <w:rPr>
                <w:color w:val="000000"/>
                <w:sz w:val="14"/>
                <w:szCs w:val="14"/>
              </w:rPr>
              <w:t>A</w:t>
            </w:r>
            <w:r w:rsidRPr="00BF62A1">
              <w:rPr>
                <w:color w:val="000000"/>
                <w:sz w:val="14"/>
                <w:szCs w:val="14"/>
              </w:rPr>
              <w:t>ge, comorbidities, surgery type</w:t>
            </w:r>
          </w:p>
        </w:tc>
      </w:tr>
      <w:tr w:rsidR="000F0341" w:rsidRPr="00BF62A1" w14:paraId="0BC24E63" w14:textId="77777777" w:rsidTr="00E40B0D">
        <w:trPr>
          <w:trHeight w:val="64"/>
        </w:trPr>
        <w:tc>
          <w:tcPr>
            <w:tcW w:w="1422" w:type="dxa"/>
            <w:vMerge/>
          </w:tcPr>
          <w:p w14:paraId="567FE650" w14:textId="77777777" w:rsidR="000F0341" w:rsidRPr="00BF62A1" w:rsidRDefault="000F0341" w:rsidP="00E40B0D">
            <w:pPr>
              <w:spacing w:line="240" w:lineRule="auto"/>
              <w:jc w:val="left"/>
              <w:rPr>
                <w:color w:val="000000"/>
                <w:sz w:val="14"/>
                <w:szCs w:val="14"/>
              </w:rPr>
            </w:pPr>
          </w:p>
        </w:tc>
        <w:tc>
          <w:tcPr>
            <w:tcW w:w="2973" w:type="dxa"/>
          </w:tcPr>
          <w:p w14:paraId="03B36342" w14:textId="77777777" w:rsidR="000F0341" w:rsidRPr="00BF62A1" w:rsidRDefault="000F0341" w:rsidP="00E40B0D">
            <w:pPr>
              <w:spacing w:line="240" w:lineRule="auto"/>
              <w:jc w:val="left"/>
              <w:rPr>
                <w:color w:val="000000"/>
                <w:sz w:val="14"/>
                <w:szCs w:val="14"/>
              </w:rPr>
            </w:pPr>
            <w:r w:rsidRPr="00BF62A1">
              <w:rPr>
                <w:color w:val="000000"/>
                <w:sz w:val="14"/>
                <w:szCs w:val="14"/>
              </w:rPr>
              <w:t>Hepatic segmentectomy</w:t>
            </w:r>
          </w:p>
        </w:tc>
        <w:tc>
          <w:tcPr>
            <w:tcW w:w="1843" w:type="dxa"/>
          </w:tcPr>
          <w:p w14:paraId="13F38670" w14:textId="77777777" w:rsidR="000F0341" w:rsidRPr="00BF62A1" w:rsidRDefault="000F0341" w:rsidP="00E40B0D">
            <w:pPr>
              <w:spacing w:line="240" w:lineRule="auto"/>
              <w:jc w:val="left"/>
              <w:rPr>
                <w:color w:val="000000"/>
                <w:sz w:val="14"/>
                <w:szCs w:val="14"/>
              </w:rPr>
            </w:pPr>
            <w:r w:rsidRPr="00BF62A1">
              <w:rPr>
                <w:color w:val="000000"/>
                <w:sz w:val="14"/>
                <w:szCs w:val="14"/>
              </w:rPr>
              <w:t>1921 (36.5)</w:t>
            </w:r>
            <w:r w:rsidRPr="00BF62A1">
              <w:rPr>
                <w:color w:val="000000"/>
                <w:sz w:val="14"/>
                <w:szCs w:val="14"/>
                <w:vertAlign w:val="superscript"/>
              </w:rPr>
              <w:t>a</w:t>
            </w:r>
          </w:p>
        </w:tc>
        <w:tc>
          <w:tcPr>
            <w:tcW w:w="1984" w:type="dxa"/>
            <w:vMerge/>
            <w:noWrap/>
          </w:tcPr>
          <w:p w14:paraId="007937A8" w14:textId="77777777" w:rsidR="000F0341" w:rsidRPr="00BF62A1" w:rsidRDefault="000F0341" w:rsidP="00E40B0D">
            <w:pPr>
              <w:spacing w:line="240" w:lineRule="auto"/>
              <w:jc w:val="left"/>
              <w:rPr>
                <w:color w:val="000000"/>
                <w:sz w:val="14"/>
                <w:szCs w:val="14"/>
              </w:rPr>
            </w:pPr>
          </w:p>
        </w:tc>
        <w:tc>
          <w:tcPr>
            <w:tcW w:w="3119" w:type="dxa"/>
            <w:vMerge/>
          </w:tcPr>
          <w:p w14:paraId="4558C7A7" w14:textId="77777777" w:rsidR="000F0341" w:rsidRPr="00BF62A1" w:rsidRDefault="000F0341" w:rsidP="00E40B0D">
            <w:pPr>
              <w:spacing w:line="240" w:lineRule="auto"/>
              <w:jc w:val="left"/>
              <w:rPr>
                <w:color w:val="000000"/>
                <w:sz w:val="14"/>
                <w:szCs w:val="14"/>
              </w:rPr>
            </w:pPr>
          </w:p>
        </w:tc>
        <w:tc>
          <w:tcPr>
            <w:tcW w:w="3234" w:type="dxa"/>
            <w:vMerge/>
          </w:tcPr>
          <w:p w14:paraId="79F01E2B" w14:textId="77777777" w:rsidR="000F0341" w:rsidRPr="00BF62A1" w:rsidRDefault="000F0341" w:rsidP="00E40B0D">
            <w:pPr>
              <w:spacing w:line="240" w:lineRule="auto"/>
              <w:jc w:val="left"/>
              <w:rPr>
                <w:color w:val="000000"/>
                <w:sz w:val="14"/>
                <w:szCs w:val="14"/>
              </w:rPr>
            </w:pPr>
          </w:p>
        </w:tc>
      </w:tr>
      <w:tr w:rsidR="000F0341" w:rsidRPr="00BF62A1" w14:paraId="796BDCA6" w14:textId="77777777" w:rsidTr="00E40B0D">
        <w:trPr>
          <w:trHeight w:val="99"/>
        </w:trPr>
        <w:tc>
          <w:tcPr>
            <w:tcW w:w="1422" w:type="dxa"/>
            <w:vMerge/>
          </w:tcPr>
          <w:p w14:paraId="3845DBB2" w14:textId="77777777" w:rsidR="000F0341" w:rsidRPr="00BF62A1" w:rsidRDefault="000F0341" w:rsidP="00E40B0D">
            <w:pPr>
              <w:spacing w:line="240" w:lineRule="auto"/>
              <w:jc w:val="left"/>
              <w:rPr>
                <w:color w:val="000000"/>
                <w:sz w:val="14"/>
                <w:szCs w:val="14"/>
              </w:rPr>
            </w:pPr>
          </w:p>
        </w:tc>
        <w:tc>
          <w:tcPr>
            <w:tcW w:w="2973" w:type="dxa"/>
          </w:tcPr>
          <w:p w14:paraId="6B0A0A30" w14:textId="77777777" w:rsidR="000F0341" w:rsidRPr="00BF62A1" w:rsidRDefault="000F0341" w:rsidP="00E40B0D">
            <w:pPr>
              <w:spacing w:line="240" w:lineRule="auto"/>
              <w:jc w:val="left"/>
              <w:rPr>
                <w:color w:val="000000"/>
                <w:sz w:val="14"/>
                <w:szCs w:val="14"/>
              </w:rPr>
            </w:pPr>
            <w:r w:rsidRPr="00BF62A1">
              <w:rPr>
                <w:color w:val="000000"/>
                <w:sz w:val="14"/>
                <w:szCs w:val="14"/>
              </w:rPr>
              <w:t>Hepatic lobectomy</w:t>
            </w:r>
          </w:p>
        </w:tc>
        <w:tc>
          <w:tcPr>
            <w:tcW w:w="1843" w:type="dxa"/>
          </w:tcPr>
          <w:p w14:paraId="7B35BB0F" w14:textId="77777777" w:rsidR="000F0341" w:rsidRPr="00BF62A1" w:rsidRDefault="000F0341" w:rsidP="00E40B0D">
            <w:pPr>
              <w:spacing w:line="240" w:lineRule="auto"/>
              <w:jc w:val="left"/>
              <w:rPr>
                <w:color w:val="000000"/>
                <w:sz w:val="14"/>
                <w:szCs w:val="14"/>
              </w:rPr>
            </w:pPr>
            <w:r w:rsidRPr="00BF62A1">
              <w:rPr>
                <w:color w:val="000000"/>
                <w:sz w:val="14"/>
                <w:szCs w:val="14"/>
              </w:rPr>
              <w:t>869 (16.5)</w:t>
            </w:r>
            <w:r w:rsidRPr="00BF62A1">
              <w:rPr>
                <w:color w:val="000000"/>
                <w:sz w:val="14"/>
                <w:szCs w:val="14"/>
                <w:vertAlign w:val="superscript"/>
              </w:rPr>
              <w:t>a</w:t>
            </w:r>
          </w:p>
        </w:tc>
        <w:tc>
          <w:tcPr>
            <w:tcW w:w="1984" w:type="dxa"/>
            <w:vMerge/>
            <w:noWrap/>
          </w:tcPr>
          <w:p w14:paraId="575636BE" w14:textId="77777777" w:rsidR="000F0341" w:rsidRPr="00BF62A1" w:rsidRDefault="000F0341" w:rsidP="00E40B0D">
            <w:pPr>
              <w:spacing w:line="240" w:lineRule="auto"/>
              <w:jc w:val="left"/>
              <w:rPr>
                <w:color w:val="000000"/>
                <w:sz w:val="14"/>
                <w:szCs w:val="14"/>
              </w:rPr>
            </w:pPr>
          </w:p>
        </w:tc>
        <w:tc>
          <w:tcPr>
            <w:tcW w:w="3119" w:type="dxa"/>
            <w:vMerge/>
          </w:tcPr>
          <w:p w14:paraId="217F0073" w14:textId="77777777" w:rsidR="000F0341" w:rsidRPr="00BF62A1" w:rsidRDefault="000F0341" w:rsidP="00E40B0D">
            <w:pPr>
              <w:spacing w:line="240" w:lineRule="auto"/>
              <w:jc w:val="left"/>
              <w:rPr>
                <w:color w:val="000000"/>
                <w:sz w:val="14"/>
                <w:szCs w:val="14"/>
              </w:rPr>
            </w:pPr>
          </w:p>
        </w:tc>
        <w:tc>
          <w:tcPr>
            <w:tcW w:w="3234" w:type="dxa"/>
            <w:vMerge/>
          </w:tcPr>
          <w:p w14:paraId="2041050F" w14:textId="77777777" w:rsidR="000F0341" w:rsidRPr="00BF62A1" w:rsidRDefault="000F0341" w:rsidP="00E40B0D">
            <w:pPr>
              <w:spacing w:line="240" w:lineRule="auto"/>
              <w:jc w:val="left"/>
              <w:rPr>
                <w:color w:val="000000"/>
                <w:sz w:val="14"/>
                <w:szCs w:val="14"/>
              </w:rPr>
            </w:pPr>
          </w:p>
        </w:tc>
      </w:tr>
      <w:tr w:rsidR="000F0341" w:rsidRPr="00BF62A1" w14:paraId="3EF24B79" w14:textId="77777777" w:rsidTr="00E40B0D">
        <w:trPr>
          <w:trHeight w:val="332"/>
        </w:trPr>
        <w:tc>
          <w:tcPr>
            <w:tcW w:w="1422" w:type="dxa"/>
            <w:vMerge/>
          </w:tcPr>
          <w:p w14:paraId="39FCC218" w14:textId="77777777" w:rsidR="000F0341" w:rsidRPr="00BF62A1" w:rsidRDefault="000F0341" w:rsidP="00E40B0D">
            <w:pPr>
              <w:spacing w:line="240" w:lineRule="auto"/>
              <w:jc w:val="left"/>
              <w:rPr>
                <w:color w:val="000000"/>
                <w:sz w:val="14"/>
                <w:szCs w:val="14"/>
              </w:rPr>
            </w:pPr>
          </w:p>
        </w:tc>
        <w:tc>
          <w:tcPr>
            <w:tcW w:w="2973" w:type="dxa"/>
          </w:tcPr>
          <w:p w14:paraId="30AEDAE0" w14:textId="77777777" w:rsidR="000F0341" w:rsidRPr="00BF62A1" w:rsidRDefault="000F0341" w:rsidP="00E40B0D">
            <w:pPr>
              <w:spacing w:line="240" w:lineRule="auto"/>
              <w:jc w:val="left"/>
              <w:rPr>
                <w:color w:val="000000"/>
                <w:sz w:val="14"/>
                <w:szCs w:val="14"/>
              </w:rPr>
            </w:pPr>
            <w:r w:rsidRPr="00BF62A1">
              <w:rPr>
                <w:color w:val="000000"/>
                <w:sz w:val="14"/>
                <w:szCs w:val="14"/>
              </w:rPr>
              <w:t>Extended hepatic lobectomy and extended hepatic lobectomy with revascularization procedure</w:t>
            </w:r>
          </w:p>
        </w:tc>
        <w:tc>
          <w:tcPr>
            <w:tcW w:w="1843" w:type="dxa"/>
          </w:tcPr>
          <w:p w14:paraId="3F0F9A24" w14:textId="77777777" w:rsidR="000F0341" w:rsidRPr="00BF62A1" w:rsidRDefault="000F0341" w:rsidP="00E40B0D">
            <w:pPr>
              <w:spacing w:line="240" w:lineRule="auto"/>
              <w:jc w:val="left"/>
              <w:rPr>
                <w:color w:val="000000"/>
                <w:sz w:val="14"/>
                <w:szCs w:val="14"/>
              </w:rPr>
            </w:pPr>
            <w:r w:rsidRPr="00BF62A1">
              <w:rPr>
                <w:color w:val="000000"/>
                <w:sz w:val="14"/>
                <w:szCs w:val="14"/>
              </w:rPr>
              <w:t>317 (6.0)</w:t>
            </w:r>
            <w:r w:rsidRPr="00BF62A1">
              <w:rPr>
                <w:color w:val="000000"/>
                <w:sz w:val="14"/>
                <w:szCs w:val="14"/>
                <w:vertAlign w:val="superscript"/>
              </w:rPr>
              <w:t>a</w:t>
            </w:r>
          </w:p>
        </w:tc>
        <w:tc>
          <w:tcPr>
            <w:tcW w:w="1984" w:type="dxa"/>
            <w:vMerge/>
            <w:noWrap/>
          </w:tcPr>
          <w:p w14:paraId="54993DF4" w14:textId="77777777" w:rsidR="000F0341" w:rsidRPr="00BF62A1" w:rsidRDefault="000F0341" w:rsidP="00E40B0D">
            <w:pPr>
              <w:spacing w:line="240" w:lineRule="auto"/>
              <w:jc w:val="left"/>
              <w:rPr>
                <w:color w:val="000000"/>
                <w:sz w:val="14"/>
                <w:szCs w:val="14"/>
              </w:rPr>
            </w:pPr>
          </w:p>
        </w:tc>
        <w:tc>
          <w:tcPr>
            <w:tcW w:w="3119" w:type="dxa"/>
            <w:vMerge/>
          </w:tcPr>
          <w:p w14:paraId="15EAA28B" w14:textId="77777777" w:rsidR="000F0341" w:rsidRPr="00BF62A1" w:rsidRDefault="000F0341" w:rsidP="00E40B0D">
            <w:pPr>
              <w:spacing w:line="240" w:lineRule="auto"/>
              <w:jc w:val="left"/>
              <w:rPr>
                <w:color w:val="000000"/>
                <w:sz w:val="14"/>
                <w:szCs w:val="14"/>
              </w:rPr>
            </w:pPr>
          </w:p>
        </w:tc>
        <w:tc>
          <w:tcPr>
            <w:tcW w:w="3234" w:type="dxa"/>
            <w:vMerge/>
          </w:tcPr>
          <w:p w14:paraId="656A6D5C" w14:textId="77777777" w:rsidR="000F0341" w:rsidRPr="00BF62A1" w:rsidRDefault="000F0341" w:rsidP="00E40B0D">
            <w:pPr>
              <w:spacing w:line="240" w:lineRule="auto"/>
              <w:jc w:val="left"/>
              <w:rPr>
                <w:color w:val="000000"/>
                <w:sz w:val="14"/>
                <w:szCs w:val="14"/>
              </w:rPr>
            </w:pPr>
          </w:p>
        </w:tc>
      </w:tr>
      <w:tr w:rsidR="000F0341" w:rsidRPr="00BF62A1" w14:paraId="2655EB4B" w14:textId="77777777" w:rsidTr="00E40B0D">
        <w:trPr>
          <w:trHeight w:val="125"/>
        </w:trPr>
        <w:tc>
          <w:tcPr>
            <w:tcW w:w="1422" w:type="dxa"/>
            <w:vMerge w:val="restart"/>
            <w:tcBorders>
              <w:top w:val="single" w:sz="8" w:space="0" w:color="auto"/>
            </w:tcBorders>
            <w:hideMark/>
          </w:tcPr>
          <w:p w14:paraId="70462DC2"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Shaw 2013 </w:t>
            </w:r>
            <w:r w:rsidRPr="00BF62A1">
              <w:rPr>
                <w:color w:val="000000"/>
                <w:sz w:val="14"/>
                <w:szCs w:val="14"/>
              </w:rPr>
              <w:fldChar w:fldCharType="begin"/>
            </w:r>
            <w:r>
              <w:rPr>
                <w:color w:val="000000"/>
                <w:sz w:val="14"/>
                <w:szCs w:val="14"/>
              </w:rPr>
              <w:instrText xml:space="preserve"> ADDIN ZOTERO_ITEM CSL_CITATION {"citationID":"do0aBzsW","properties":{"formattedCitation":"[71]","plainCitation":"[71]","noteIndex":0},"citationItems":[{"id":14154,"uris":["http://zotero.org/groups/4983919/items/HSBRVXJ5"],"itemData":{"id":14154,"type":"article-journal","abstract":"BACKGROUND: Specialized procedures such as hepatectomy are performed by a variety of specialties in surgery. We aimed to determine whether variation exists among utilization of resources, cost, and patient outcomes by specialty, surgeon case volume, and center case volume for hepatectomy. METHODS: We queried centers (n = 50) in the University Health Consortium database from 2007-2010 for patients who underwent elective hepatectomy in which specialty was designated general surgeon (n = 2685; 30%) or specialist surgeon (n = 6277; 70%), surgeon volume was designated high volume (&gt;38 cases annually) and center volume was designated high volume (&gt;100 cases annually). We then stratified our cohort by primary diagnosis, defined as primary tumor (n = 2241; 25%), secondary tumor (n = 5466; 61%), and benign (n = 1255; 14%). RESULTS: Specialist surgeons performed more cases for primary malignancy (primary 26% versus 15%) while general surgeons operated more for secondary malignancies (67% versus 61%) and benign disease (18% versus 13%). Specialists were associated with a shorter total length of stay (LOS) (5 d versus 6 d; P &lt; 0.01) and lower in-hospital morbidity (7% versus 11%; P &lt; 0.01). Patients treated by high volume surgeons or at high volume centers were less likely to die than those treated by low volume surgeons or at low volume centers, (OR 0.55; 95% CI 0.33-0.89) and (OR 0.44; 95% CI 0.13-0.56). CONCLUSIONS: Surgical specialization, surgeon volume and center volume may be important metrics for quality and utilization in complex procedures like hepatectomy. Further studies are necessary to link direct factors related to hospital performance in the changing healthcare environment.","container-title":"J Surg Res","DOI":"10.1016/j.jss.2013.04.072","ISSN":"0022-4804 (Print) 0022-4804","issue":"1","language":"eng","note":"publisher-place: Department of Surgery, Surgical Outcomes Analysis &amp; Research (SOAR), University of Massachusetts Medical School, Worcester, Massachusetts. Electronic address: joshua.shaw3@umassmemorial.org.","page":"433-40","title":"Specialization and utilization after hepatectomy in academic medical centers","volume":"185","author":[{"family":"Shaw","given":"J. J."},{"family":"Santry","given":"H. P."},{"family":"Shah","given":"S. A."}],"issued":{"date-parts":[["2013",11]]}}}],"schema":"https://github.com/citation-style-language/schema/raw/master/csl-citation.json"} </w:instrText>
            </w:r>
            <w:r w:rsidRPr="00BF62A1">
              <w:rPr>
                <w:color w:val="000000"/>
                <w:sz w:val="14"/>
                <w:szCs w:val="14"/>
              </w:rPr>
              <w:fldChar w:fldCharType="separate"/>
            </w:r>
            <w:r w:rsidRPr="004125CE">
              <w:rPr>
                <w:sz w:val="14"/>
              </w:rPr>
              <w:t>[71]</w:t>
            </w:r>
            <w:r w:rsidRPr="00BF62A1">
              <w:rPr>
                <w:color w:val="000000"/>
                <w:sz w:val="14"/>
                <w:szCs w:val="14"/>
              </w:rPr>
              <w:fldChar w:fldCharType="end"/>
            </w:r>
          </w:p>
        </w:tc>
        <w:tc>
          <w:tcPr>
            <w:tcW w:w="2973" w:type="dxa"/>
            <w:tcBorders>
              <w:top w:val="single" w:sz="8" w:space="0" w:color="auto"/>
            </w:tcBorders>
            <w:hideMark/>
          </w:tcPr>
          <w:p w14:paraId="4F564C49" w14:textId="77777777" w:rsidR="000F0341" w:rsidRPr="00BF62A1" w:rsidRDefault="000F0341" w:rsidP="00E40B0D">
            <w:pPr>
              <w:spacing w:line="240" w:lineRule="auto"/>
              <w:jc w:val="left"/>
              <w:rPr>
                <w:color w:val="000000"/>
                <w:sz w:val="14"/>
                <w:szCs w:val="14"/>
              </w:rPr>
            </w:pPr>
            <w:r w:rsidRPr="00BF62A1">
              <w:rPr>
                <w:color w:val="000000"/>
                <w:sz w:val="14"/>
                <w:szCs w:val="14"/>
              </w:rPr>
              <w:t>Lobectomy</w:t>
            </w:r>
            <w:r w:rsidRPr="00BF62A1">
              <w:rPr>
                <w:color w:val="000000"/>
                <w:sz w:val="14"/>
                <w:szCs w:val="14"/>
              </w:rPr>
              <w:br/>
            </w:r>
          </w:p>
        </w:tc>
        <w:tc>
          <w:tcPr>
            <w:tcW w:w="1843" w:type="dxa"/>
            <w:vMerge w:val="restart"/>
            <w:tcBorders>
              <w:top w:val="single" w:sz="8" w:space="0" w:color="auto"/>
            </w:tcBorders>
            <w:hideMark/>
          </w:tcPr>
          <w:p w14:paraId="3CB95A12" w14:textId="77777777" w:rsidR="000F0341" w:rsidRPr="00BF62A1" w:rsidRDefault="000F0341" w:rsidP="00E40B0D">
            <w:pPr>
              <w:pStyle w:val="ListParagraph"/>
              <w:numPr>
                <w:ilvl w:val="0"/>
                <w:numId w:val="1"/>
              </w:numPr>
              <w:spacing w:line="240" w:lineRule="auto"/>
              <w:ind w:left="0"/>
              <w:jc w:val="left"/>
              <w:rPr>
                <w:color w:val="000000"/>
                <w:sz w:val="14"/>
                <w:szCs w:val="14"/>
              </w:rPr>
            </w:pPr>
          </w:p>
        </w:tc>
        <w:tc>
          <w:tcPr>
            <w:tcW w:w="1984" w:type="dxa"/>
            <w:vMerge w:val="restart"/>
            <w:tcBorders>
              <w:top w:val="single" w:sz="8" w:space="0" w:color="auto"/>
            </w:tcBorders>
            <w:hideMark/>
          </w:tcPr>
          <w:p w14:paraId="2DC13E4E" w14:textId="77777777" w:rsidR="000F0341" w:rsidRPr="00BF62A1" w:rsidRDefault="000F0341" w:rsidP="00E40B0D">
            <w:pPr>
              <w:spacing w:line="240" w:lineRule="auto"/>
              <w:jc w:val="left"/>
              <w:rPr>
                <w:color w:val="000000"/>
                <w:sz w:val="14"/>
                <w:szCs w:val="14"/>
              </w:rPr>
            </w:pPr>
            <w:r w:rsidRPr="00BF62A1">
              <w:rPr>
                <w:color w:val="000000"/>
                <w:sz w:val="14"/>
                <w:szCs w:val="14"/>
              </w:rPr>
              <w:t>ICD-9-CM: 50.3, 50.22</w:t>
            </w:r>
          </w:p>
        </w:tc>
        <w:tc>
          <w:tcPr>
            <w:tcW w:w="3119" w:type="dxa"/>
            <w:vMerge w:val="restart"/>
            <w:tcBorders>
              <w:top w:val="single" w:sz="8" w:space="0" w:color="auto"/>
            </w:tcBorders>
            <w:hideMark/>
          </w:tcPr>
          <w:p w14:paraId="6980010A" w14:textId="77777777" w:rsidR="000F0341" w:rsidRPr="00BF62A1" w:rsidRDefault="000F0341" w:rsidP="00E40B0D">
            <w:pPr>
              <w:spacing w:line="240" w:lineRule="auto"/>
              <w:jc w:val="left"/>
              <w:rPr>
                <w:color w:val="000000"/>
                <w:sz w:val="14"/>
                <w:szCs w:val="14"/>
              </w:rPr>
            </w:pPr>
            <w:r>
              <w:rPr>
                <w:color w:val="000000"/>
                <w:sz w:val="14"/>
                <w:szCs w:val="14"/>
              </w:rPr>
              <w:t>S</w:t>
            </w:r>
            <w:r w:rsidRPr="00BF62A1">
              <w:rPr>
                <w:color w:val="000000"/>
                <w:sz w:val="14"/>
                <w:szCs w:val="14"/>
              </w:rPr>
              <w:t>urgeons performing &lt;5 surgeries/year</w:t>
            </w:r>
          </w:p>
        </w:tc>
        <w:tc>
          <w:tcPr>
            <w:tcW w:w="3234" w:type="dxa"/>
            <w:vMerge w:val="restart"/>
            <w:tcBorders>
              <w:top w:val="single" w:sz="8" w:space="0" w:color="auto"/>
            </w:tcBorders>
            <w:hideMark/>
          </w:tcPr>
          <w:p w14:paraId="6EB4BA24" w14:textId="77777777" w:rsidR="000F0341" w:rsidRPr="00BF62A1" w:rsidRDefault="000F0341" w:rsidP="00E40B0D">
            <w:pPr>
              <w:spacing w:line="240" w:lineRule="auto"/>
              <w:jc w:val="left"/>
              <w:rPr>
                <w:color w:val="000000"/>
                <w:sz w:val="14"/>
                <w:szCs w:val="14"/>
              </w:rPr>
            </w:pPr>
            <w:r>
              <w:rPr>
                <w:color w:val="000000"/>
                <w:sz w:val="14"/>
                <w:szCs w:val="14"/>
              </w:rPr>
              <w:t>H</w:t>
            </w:r>
            <w:r w:rsidRPr="00BF62A1">
              <w:rPr>
                <w:color w:val="000000"/>
                <w:sz w:val="14"/>
                <w:szCs w:val="14"/>
              </w:rPr>
              <w:t>ospital volume, primary diagnosis, severity of illness, surgeon specialty, surgeon volume</w:t>
            </w:r>
          </w:p>
        </w:tc>
      </w:tr>
      <w:tr w:rsidR="000F0341" w:rsidRPr="00BF62A1" w14:paraId="43955AC5" w14:textId="77777777" w:rsidTr="00E40B0D">
        <w:trPr>
          <w:trHeight w:val="124"/>
        </w:trPr>
        <w:tc>
          <w:tcPr>
            <w:tcW w:w="1422" w:type="dxa"/>
            <w:vMerge/>
            <w:tcBorders>
              <w:bottom w:val="single" w:sz="8" w:space="0" w:color="auto"/>
            </w:tcBorders>
          </w:tcPr>
          <w:p w14:paraId="49306B98"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619C8DC5" w14:textId="77777777" w:rsidR="000F0341" w:rsidRPr="00BF62A1" w:rsidRDefault="000F0341" w:rsidP="00E40B0D">
            <w:pPr>
              <w:spacing w:line="240" w:lineRule="auto"/>
              <w:jc w:val="left"/>
              <w:rPr>
                <w:color w:val="000000"/>
                <w:sz w:val="14"/>
                <w:szCs w:val="14"/>
              </w:rPr>
            </w:pPr>
            <w:r w:rsidRPr="00BF62A1">
              <w:rPr>
                <w:color w:val="000000"/>
                <w:sz w:val="14"/>
                <w:szCs w:val="14"/>
              </w:rPr>
              <w:t>Partial hepatectomy</w:t>
            </w:r>
          </w:p>
        </w:tc>
        <w:tc>
          <w:tcPr>
            <w:tcW w:w="1843" w:type="dxa"/>
            <w:vMerge/>
            <w:tcBorders>
              <w:bottom w:val="single" w:sz="8" w:space="0" w:color="auto"/>
            </w:tcBorders>
          </w:tcPr>
          <w:p w14:paraId="4DF79974" w14:textId="77777777" w:rsidR="000F0341" w:rsidRPr="00BF62A1" w:rsidRDefault="000F0341" w:rsidP="00E40B0D">
            <w:pPr>
              <w:pStyle w:val="ListParagraph"/>
              <w:numPr>
                <w:ilvl w:val="0"/>
                <w:numId w:val="1"/>
              </w:numPr>
              <w:spacing w:line="240" w:lineRule="auto"/>
              <w:ind w:left="0"/>
              <w:jc w:val="left"/>
              <w:rPr>
                <w:color w:val="000000"/>
                <w:sz w:val="14"/>
                <w:szCs w:val="14"/>
              </w:rPr>
            </w:pPr>
          </w:p>
        </w:tc>
        <w:tc>
          <w:tcPr>
            <w:tcW w:w="1984" w:type="dxa"/>
            <w:vMerge/>
            <w:tcBorders>
              <w:bottom w:val="single" w:sz="8" w:space="0" w:color="auto"/>
            </w:tcBorders>
          </w:tcPr>
          <w:p w14:paraId="2EC6DDA5"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1E31C900"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76F8D878" w14:textId="77777777" w:rsidR="000F0341" w:rsidRPr="00BF62A1" w:rsidRDefault="000F0341" w:rsidP="00E40B0D">
            <w:pPr>
              <w:spacing w:line="240" w:lineRule="auto"/>
              <w:jc w:val="left"/>
              <w:rPr>
                <w:color w:val="000000"/>
                <w:sz w:val="14"/>
                <w:szCs w:val="14"/>
              </w:rPr>
            </w:pPr>
          </w:p>
        </w:tc>
      </w:tr>
      <w:tr w:rsidR="000F0341" w:rsidRPr="00BF62A1" w14:paraId="228FC4FB" w14:textId="77777777" w:rsidTr="00E40B0D">
        <w:trPr>
          <w:trHeight w:val="237"/>
        </w:trPr>
        <w:tc>
          <w:tcPr>
            <w:tcW w:w="1422" w:type="dxa"/>
            <w:vMerge w:val="restart"/>
            <w:tcBorders>
              <w:top w:val="single" w:sz="8" w:space="0" w:color="auto"/>
            </w:tcBorders>
            <w:hideMark/>
          </w:tcPr>
          <w:p w14:paraId="53C8160D"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Siegel 2021 </w:t>
            </w:r>
            <w:r w:rsidRPr="00BF62A1">
              <w:rPr>
                <w:color w:val="000000"/>
                <w:sz w:val="14"/>
                <w:szCs w:val="14"/>
              </w:rPr>
              <w:fldChar w:fldCharType="begin"/>
            </w:r>
            <w:r>
              <w:rPr>
                <w:color w:val="000000"/>
                <w:sz w:val="14"/>
                <w:szCs w:val="14"/>
              </w:rPr>
              <w:instrText xml:space="preserve"> ADDIN ZOTERO_ITEM CSL_CITATION {"citationID":"ZiYEHknr","properties":{"formattedCitation":"[68]","plainCitation":"[68]","noteIndex":0},"citationItems":[{"id":14337,"uris":["http://zotero.org/groups/4983919/items/ALX4CSRJ"],"itemData":{"id":14337,"type":"article-journal","abstract":"BACKGROUND: Our objective was to assess the relationship between overall survival (OS) and distance travelled to the treating facility for patients undergoing liver resection for hepatocellular carcinoma and to determine whether this relationship was dependent upon the structural factors of the treating facility. METHODS: Using National Cancer Database, we focused on extremes of travel: Local (&lt;12.5 miles to treating facility) and Travel (≥50 miles). We analyzed OS with Cox models; we estimated stratified models to assess interaction between distance and facility characteristics (volume, academic status). RESULTS: We included 6860 patients. After correction for confounding, distance travelled was not associated with OS (p = 0.444). However, Travel patients treated at high-volume, academic centers had worse OS compared to Local patients (HR 1.54, 95%CI 1.07-2.21); this association was not seen for patients treated at low volume, academic centers (p = 0.708) high volume non-academic centers (p = 0.174) or low volume non-academic centers (p = 515). CONCLUSION: For those patients treated at high-volume, academic centers, living far from the facility was associated with worse OS. The reasons for this association should be investigated further.","container-title":"Am J Surg","DOI":"10.1016/j.amjsurg.2020.12.052","ISSN":"0002-9610","issue":"3","language":"eng","page":"584-593","title":"Travel distance and overall survival in hepatocellular cancer care","volume":"222","author":[{"family":"Siegel","given":"J. B."},{"family":"Allen","given":"S."},{"family":"Engelhardt","given":"K. E."},{"family":"Morgan","given":"K. A."},{"family":"Lancaster","given":"W. P."}],"issued":{"date-parts":[["2021",9]]}}}],"schema":"https://github.com/citation-style-language/schema/raw/master/csl-citation.json"} </w:instrText>
            </w:r>
            <w:r w:rsidRPr="00BF62A1">
              <w:rPr>
                <w:color w:val="000000"/>
                <w:sz w:val="14"/>
                <w:szCs w:val="14"/>
              </w:rPr>
              <w:fldChar w:fldCharType="separate"/>
            </w:r>
            <w:r w:rsidRPr="004125CE">
              <w:rPr>
                <w:sz w:val="14"/>
              </w:rPr>
              <w:t>[68]</w:t>
            </w:r>
            <w:r w:rsidRPr="00BF62A1">
              <w:rPr>
                <w:color w:val="000000"/>
                <w:sz w:val="14"/>
                <w:szCs w:val="14"/>
              </w:rPr>
              <w:fldChar w:fldCharType="end"/>
            </w:r>
          </w:p>
        </w:tc>
        <w:tc>
          <w:tcPr>
            <w:tcW w:w="2973" w:type="dxa"/>
            <w:tcBorders>
              <w:top w:val="single" w:sz="8" w:space="0" w:color="auto"/>
            </w:tcBorders>
            <w:hideMark/>
          </w:tcPr>
          <w:p w14:paraId="3E02CC6F" w14:textId="77777777" w:rsidR="000F0341" w:rsidRPr="00BF62A1" w:rsidRDefault="000F0341" w:rsidP="00E40B0D">
            <w:pPr>
              <w:spacing w:line="240" w:lineRule="auto"/>
              <w:jc w:val="left"/>
              <w:rPr>
                <w:color w:val="000000"/>
                <w:sz w:val="14"/>
                <w:szCs w:val="14"/>
              </w:rPr>
            </w:pPr>
            <w:r w:rsidRPr="00BF62A1">
              <w:rPr>
                <w:color w:val="000000"/>
                <w:sz w:val="14"/>
                <w:szCs w:val="14"/>
              </w:rPr>
              <w:t>Wedge/segementecomy</w:t>
            </w:r>
            <w:r w:rsidRPr="00BF62A1">
              <w:rPr>
                <w:color w:val="000000"/>
                <w:sz w:val="14"/>
                <w:szCs w:val="14"/>
              </w:rPr>
              <w:br/>
            </w:r>
          </w:p>
        </w:tc>
        <w:tc>
          <w:tcPr>
            <w:tcW w:w="1843" w:type="dxa"/>
            <w:tcBorders>
              <w:top w:val="single" w:sz="8" w:space="0" w:color="auto"/>
            </w:tcBorders>
            <w:hideMark/>
          </w:tcPr>
          <w:p w14:paraId="0C69A4C1" w14:textId="77777777" w:rsidR="000F0341" w:rsidRPr="00BF62A1" w:rsidRDefault="000F0341" w:rsidP="00E40B0D">
            <w:pPr>
              <w:spacing w:line="240" w:lineRule="auto"/>
              <w:jc w:val="left"/>
              <w:rPr>
                <w:color w:val="000000"/>
                <w:sz w:val="14"/>
                <w:szCs w:val="14"/>
              </w:rPr>
            </w:pPr>
            <w:r w:rsidRPr="00BF62A1">
              <w:rPr>
                <w:color w:val="000000"/>
                <w:sz w:val="14"/>
                <w:szCs w:val="14"/>
              </w:rPr>
              <w:t>3872(56.4)</w:t>
            </w:r>
            <w:r w:rsidRPr="00BF62A1">
              <w:rPr>
                <w:color w:val="000000"/>
                <w:sz w:val="14"/>
                <w:szCs w:val="14"/>
              </w:rPr>
              <w:br/>
            </w:r>
          </w:p>
        </w:tc>
        <w:tc>
          <w:tcPr>
            <w:tcW w:w="1984" w:type="dxa"/>
            <w:vMerge w:val="restart"/>
            <w:tcBorders>
              <w:top w:val="single" w:sz="8" w:space="0" w:color="auto"/>
            </w:tcBorders>
            <w:noWrap/>
            <w:hideMark/>
          </w:tcPr>
          <w:p w14:paraId="4BE23F34" w14:textId="77777777" w:rsidR="000F0341" w:rsidRPr="00BF62A1" w:rsidRDefault="000F0341" w:rsidP="00E40B0D">
            <w:pPr>
              <w:pStyle w:val="ListParagraph"/>
              <w:numPr>
                <w:ilvl w:val="0"/>
                <w:numId w:val="1"/>
              </w:numPr>
              <w:spacing w:line="240" w:lineRule="auto"/>
              <w:ind w:left="0"/>
              <w:jc w:val="left"/>
              <w:rPr>
                <w:color w:val="000000"/>
                <w:sz w:val="14"/>
                <w:szCs w:val="14"/>
              </w:rPr>
            </w:pPr>
          </w:p>
        </w:tc>
        <w:tc>
          <w:tcPr>
            <w:tcW w:w="3119" w:type="dxa"/>
            <w:vMerge w:val="restart"/>
            <w:tcBorders>
              <w:top w:val="single" w:sz="8" w:space="0" w:color="auto"/>
            </w:tcBorders>
            <w:hideMark/>
          </w:tcPr>
          <w:p w14:paraId="419F857B" w14:textId="77777777" w:rsidR="000F0341" w:rsidRPr="00BF62A1" w:rsidRDefault="000F0341" w:rsidP="00E40B0D">
            <w:pPr>
              <w:spacing w:line="240" w:lineRule="auto"/>
              <w:jc w:val="left"/>
              <w:rPr>
                <w:color w:val="000000"/>
                <w:sz w:val="14"/>
                <w:szCs w:val="14"/>
              </w:rPr>
            </w:pPr>
            <w:r>
              <w:rPr>
                <w:color w:val="000000"/>
                <w:sz w:val="14"/>
                <w:szCs w:val="14"/>
              </w:rPr>
              <w:t>D</w:t>
            </w:r>
            <w:r w:rsidRPr="00BF62A1">
              <w:rPr>
                <w:color w:val="000000"/>
                <w:sz w:val="14"/>
                <w:szCs w:val="14"/>
              </w:rPr>
              <w:t>ifferent primary tumor; no diagnosis or treatment data from the reporting facility; missing follow up data; metastatic disease at presentation; unknown stage; wrong travel distance criteria</w:t>
            </w:r>
          </w:p>
        </w:tc>
        <w:tc>
          <w:tcPr>
            <w:tcW w:w="3234" w:type="dxa"/>
            <w:vMerge w:val="restart"/>
            <w:tcBorders>
              <w:top w:val="single" w:sz="8" w:space="0" w:color="auto"/>
            </w:tcBorders>
            <w:hideMark/>
          </w:tcPr>
          <w:p w14:paraId="1FD0A67D" w14:textId="77777777" w:rsidR="000F0341" w:rsidRPr="00BF62A1" w:rsidRDefault="000F0341" w:rsidP="00E40B0D">
            <w:pPr>
              <w:spacing w:line="240" w:lineRule="auto"/>
              <w:jc w:val="left"/>
              <w:rPr>
                <w:color w:val="000000"/>
                <w:sz w:val="14"/>
                <w:szCs w:val="14"/>
              </w:rPr>
            </w:pPr>
            <w:r>
              <w:rPr>
                <w:color w:val="000000"/>
                <w:sz w:val="14"/>
                <w:szCs w:val="14"/>
              </w:rPr>
              <w:t>A</w:t>
            </w:r>
            <w:r w:rsidRPr="00BF62A1">
              <w:rPr>
                <w:color w:val="000000"/>
                <w:sz w:val="14"/>
                <w:szCs w:val="14"/>
              </w:rPr>
              <w:t>ge, CCI, education, hospital location, income, gender, surgery type, urban/rural status</w:t>
            </w:r>
          </w:p>
        </w:tc>
      </w:tr>
      <w:tr w:rsidR="000F0341" w:rsidRPr="00BF62A1" w14:paraId="7E09EC05" w14:textId="77777777" w:rsidTr="00E40B0D">
        <w:trPr>
          <w:trHeight w:val="197"/>
        </w:trPr>
        <w:tc>
          <w:tcPr>
            <w:tcW w:w="1422" w:type="dxa"/>
            <w:vMerge/>
          </w:tcPr>
          <w:p w14:paraId="0084942C" w14:textId="77777777" w:rsidR="000F0341" w:rsidRPr="00BF62A1" w:rsidRDefault="000F0341" w:rsidP="00E40B0D">
            <w:pPr>
              <w:spacing w:line="240" w:lineRule="auto"/>
              <w:jc w:val="left"/>
              <w:rPr>
                <w:color w:val="000000"/>
                <w:sz w:val="14"/>
                <w:szCs w:val="14"/>
              </w:rPr>
            </w:pPr>
          </w:p>
        </w:tc>
        <w:tc>
          <w:tcPr>
            <w:tcW w:w="2973" w:type="dxa"/>
          </w:tcPr>
          <w:p w14:paraId="79351E4B" w14:textId="77777777" w:rsidR="000F0341" w:rsidRPr="00BF62A1" w:rsidRDefault="000F0341" w:rsidP="00E40B0D">
            <w:pPr>
              <w:spacing w:line="240" w:lineRule="auto"/>
              <w:jc w:val="left"/>
              <w:rPr>
                <w:color w:val="000000"/>
                <w:sz w:val="14"/>
                <w:szCs w:val="14"/>
              </w:rPr>
            </w:pPr>
            <w:r w:rsidRPr="00BF62A1">
              <w:rPr>
                <w:color w:val="000000"/>
                <w:sz w:val="14"/>
                <w:szCs w:val="14"/>
              </w:rPr>
              <w:t>Lobecotmy</w:t>
            </w:r>
          </w:p>
        </w:tc>
        <w:tc>
          <w:tcPr>
            <w:tcW w:w="1843" w:type="dxa"/>
          </w:tcPr>
          <w:p w14:paraId="05D819F0" w14:textId="77777777" w:rsidR="000F0341" w:rsidRPr="00BF62A1" w:rsidRDefault="000F0341" w:rsidP="00E40B0D">
            <w:pPr>
              <w:spacing w:line="240" w:lineRule="auto"/>
              <w:jc w:val="left"/>
              <w:rPr>
                <w:color w:val="000000"/>
                <w:sz w:val="14"/>
                <w:szCs w:val="14"/>
              </w:rPr>
            </w:pPr>
            <w:r w:rsidRPr="00BF62A1">
              <w:rPr>
                <w:color w:val="000000"/>
                <w:sz w:val="14"/>
                <w:szCs w:val="14"/>
              </w:rPr>
              <w:t>2414 (35.2)</w:t>
            </w:r>
          </w:p>
        </w:tc>
        <w:tc>
          <w:tcPr>
            <w:tcW w:w="1984" w:type="dxa"/>
            <w:vMerge/>
            <w:noWrap/>
          </w:tcPr>
          <w:p w14:paraId="4E67C069" w14:textId="77777777" w:rsidR="000F0341" w:rsidRPr="00BF62A1" w:rsidRDefault="000F0341" w:rsidP="00E40B0D">
            <w:pPr>
              <w:pStyle w:val="ListParagraph"/>
              <w:numPr>
                <w:ilvl w:val="0"/>
                <w:numId w:val="1"/>
              </w:numPr>
              <w:spacing w:line="240" w:lineRule="auto"/>
              <w:ind w:left="0"/>
              <w:jc w:val="left"/>
              <w:rPr>
                <w:color w:val="000000"/>
                <w:sz w:val="14"/>
                <w:szCs w:val="14"/>
              </w:rPr>
            </w:pPr>
          </w:p>
        </w:tc>
        <w:tc>
          <w:tcPr>
            <w:tcW w:w="3119" w:type="dxa"/>
            <w:vMerge/>
          </w:tcPr>
          <w:p w14:paraId="7D4D6D22" w14:textId="77777777" w:rsidR="000F0341" w:rsidRPr="00BF62A1" w:rsidRDefault="000F0341" w:rsidP="00E40B0D">
            <w:pPr>
              <w:spacing w:line="240" w:lineRule="auto"/>
              <w:jc w:val="left"/>
              <w:rPr>
                <w:color w:val="000000"/>
                <w:sz w:val="14"/>
                <w:szCs w:val="14"/>
              </w:rPr>
            </w:pPr>
          </w:p>
        </w:tc>
        <w:tc>
          <w:tcPr>
            <w:tcW w:w="3234" w:type="dxa"/>
            <w:vMerge/>
          </w:tcPr>
          <w:p w14:paraId="1E60AE42" w14:textId="77777777" w:rsidR="000F0341" w:rsidRPr="00BF62A1" w:rsidRDefault="000F0341" w:rsidP="00E40B0D">
            <w:pPr>
              <w:spacing w:line="240" w:lineRule="auto"/>
              <w:jc w:val="left"/>
              <w:rPr>
                <w:color w:val="000000"/>
                <w:sz w:val="14"/>
                <w:szCs w:val="14"/>
              </w:rPr>
            </w:pPr>
          </w:p>
        </w:tc>
      </w:tr>
      <w:tr w:rsidR="000F0341" w:rsidRPr="00BF62A1" w14:paraId="25335C41" w14:textId="77777777" w:rsidTr="00E40B0D">
        <w:trPr>
          <w:trHeight w:val="64"/>
        </w:trPr>
        <w:tc>
          <w:tcPr>
            <w:tcW w:w="1422" w:type="dxa"/>
            <w:vMerge/>
            <w:tcBorders>
              <w:bottom w:val="single" w:sz="8" w:space="0" w:color="auto"/>
            </w:tcBorders>
          </w:tcPr>
          <w:p w14:paraId="5DB0780C"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55FA447E" w14:textId="77777777" w:rsidR="000F0341" w:rsidRPr="00BF62A1" w:rsidRDefault="000F0341" w:rsidP="00E40B0D">
            <w:pPr>
              <w:spacing w:line="240" w:lineRule="auto"/>
              <w:jc w:val="left"/>
              <w:rPr>
                <w:color w:val="000000"/>
                <w:sz w:val="14"/>
                <w:szCs w:val="14"/>
              </w:rPr>
            </w:pPr>
            <w:r w:rsidRPr="00BF62A1">
              <w:rPr>
                <w:color w:val="000000"/>
                <w:sz w:val="14"/>
                <w:szCs w:val="14"/>
              </w:rPr>
              <w:t>Extended lobectomy</w:t>
            </w:r>
          </w:p>
        </w:tc>
        <w:tc>
          <w:tcPr>
            <w:tcW w:w="1843" w:type="dxa"/>
            <w:tcBorders>
              <w:bottom w:val="single" w:sz="8" w:space="0" w:color="auto"/>
            </w:tcBorders>
          </w:tcPr>
          <w:p w14:paraId="7D227155" w14:textId="77777777" w:rsidR="000F0341" w:rsidRPr="00BF62A1" w:rsidRDefault="000F0341" w:rsidP="00E40B0D">
            <w:pPr>
              <w:spacing w:line="240" w:lineRule="auto"/>
              <w:jc w:val="left"/>
              <w:rPr>
                <w:color w:val="000000"/>
                <w:sz w:val="14"/>
                <w:szCs w:val="14"/>
              </w:rPr>
            </w:pPr>
            <w:r w:rsidRPr="00BF62A1">
              <w:rPr>
                <w:color w:val="000000"/>
                <w:sz w:val="14"/>
                <w:szCs w:val="14"/>
              </w:rPr>
              <w:t>574 (8.4)</w:t>
            </w:r>
          </w:p>
        </w:tc>
        <w:tc>
          <w:tcPr>
            <w:tcW w:w="1984" w:type="dxa"/>
            <w:vMerge/>
            <w:tcBorders>
              <w:bottom w:val="single" w:sz="8" w:space="0" w:color="auto"/>
            </w:tcBorders>
            <w:noWrap/>
          </w:tcPr>
          <w:p w14:paraId="2D62C8BC" w14:textId="77777777" w:rsidR="000F0341" w:rsidRPr="00BF62A1" w:rsidRDefault="000F0341" w:rsidP="00E40B0D">
            <w:pPr>
              <w:pStyle w:val="ListParagraph"/>
              <w:numPr>
                <w:ilvl w:val="0"/>
                <w:numId w:val="1"/>
              </w:numPr>
              <w:spacing w:line="240" w:lineRule="auto"/>
              <w:ind w:left="0"/>
              <w:jc w:val="left"/>
              <w:rPr>
                <w:color w:val="000000"/>
                <w:sz w:val="14"/>
                <w:szCs w:val="14"/>
              </w:rPr>
            </w:pPr>
          </w:p>
        </w:tc>
        <w:tc>
          <w:tcPr>
            <w:tcW w:w="3119" w:type="dxa"/>
            <w:vMerge/>
            <w:tcBorders>
              <w:bottom w:val="single" w:sz="8" w:space="0" w:color="auto"/>
            </w:tcBorders>
          </w:tcPr>
          <w:p w14:paraId="41BB9BB4"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55512633" w14:textId="77777777" w:rsidR="000F0341" w:rsidRPr="00BF62A1" w:rsidRDefault="000F0341" w:rsidP="00E40B0D">
            <w:pPr>
              <w:spacing w:line="240" w:lineRule="auto"/>
              <w:jc w:val="left"/>
              <w:rPr>
                <w:color w:val="000000"/>
                <w:sz w:val="14"/>
                <w:szCs w:val="14"/>
              </w:rPr>
            </w:pPr>
          </w:p>
        </w:tc>
      </w:tr>
      <w:tr w:rsidR="000F0341" w:rsidRPr="00BF62A1" w14:paraId="21B1A6D1" w14:textId="77777777" w:rsidTr="00E40B0D">
        <w:trPr>
          <w:trHeight w:val="147"/>
        </w:trPr>
        <w:tc>
          <w:tcPr>
            <w:tcW w:w="1422" w:type="dxa"/>
            <w:vMerge w:val="restart"/>
            <w:tcBorders>
              <w:top w:val="single" w:sz="8" w:space="0" w:color="auto"/>
            </w:tcBorders>
            <w:hideMark/>
          </w:tcPr>
          <w:p w14:paraId="3E66E867" w14:textId="478C61B4" w:rsidR="000F0341" w:rsidRPr="00BF62A1" w:rsidRDefault="000F0341" w:rsidP="00E40B0D">
            <w:pPr>
              <w:spacing w:line="240" w:lineRule="auto"/>
              <w:jc w:val="left"/>
              <w:rPr>
                <w:color w:val="000000"/>
                <w:sz w:val="14"/>
                <w:szCs w:val="14"/>
              </w:rPr>
            </w:pPr>
            <w:r w:rsidRPr="00BF62A1">
              <w:rPr>
                <w:color w:val="000000"/>
                <w:sz w:val="14"/>
                <w:szCs w:val="14"/>
              </w:rPr>
              <w:t xml:space="preserve">Spolverato 2014 </w:t>
            </w:r>
            <w:r w:rsidRPr="00BF62A1">
              <w:rPr>
                <w:color w:val="000000"/>
                <w:sz w:val="14"/>
                <w:szCs w:val="14"/>
              </w:rPr>
              <w:fldChar w:fldCharType="begin"/>
            </w:r>
            <w:r>
              <w:rPr>
                <w:color w:val="000000"/>
                <w:sz w:val="14"/>
                <w:szCs w:val="14"/>
              </w:rPr>
              <w:instrText xml:space="preserve"> ADDIN ZOTERO_ITEM CSL_CITATION {"citationID":"l9wpgwmv","properties":{"formattedCitation":"[91]","plainCitation":"[91]","noteIndex":0},"citationItems":[{"id":14153,"uris":["http://zotero.org/groups/4983919/items/BVMJ69S8"],"itemData":{"id":14153,"type":"article-journal","abstract":"BACKGROUND: The mechanisms that underlie the association between high surgical volume and improved outcomes remain uncertain. This study examined the impact of complications and failure to rescue patients from these complications on mortality following hepatic resection. METHODS: The Nationwide Inpatient Sample was used to identify patients who had liver surgery between 2000 and 2010. Hospital volume was stratified into tertiles (low, intermediate and high). Rates of major complications, failure to rescue and mortality following hepatic surgery were compared. RESULTS: Some 9874 patients were identified. The major complication rate was 19.6 per cent in low-volume, 19.3 per cent in intermediate-volume and 16.6 per cent in high-volume hospitals (P &lt; 0.001). Most common major complications included respiratory insufficiency or failure (8.8 per cent), acute renal failure (4.2 per cent) and gastrointestinal bleeding (3.9 per cent), with each of these complications being less common in high-volume hospitals (P &lt; 0.050). The incidence of major morbidity following hepatectomy remained the same over the past decade, but failure to rescue patients from these complications decreased (P = 0.011). The overall inpatient mortality rate following liver surgery was 3.2 per cent (3.8, 3.6 and 2.3 per cent for low-, intermediate- and high-volume hospitals respectively; P &lt; 0.001). The rate of failure to rescue (death after a complication) was higher at low- and intermediate-volume hospitals (16.8 and 16.1 per cent respectively) compared with high-volume hospitals (11.8 per cent) (P = 0.032). After accounting for patient and hospital characteristics, patients treated at low-volume hospitals who had a complication were 40 per cent more likely to die than patients with a complication in a high-volume hospital (odds ratio 1.40, 95 per cent confidence interval 1.02 to 1.93). CONCLUSION: The risk of death following hepatic surgery is lower at high-volume hospitals. The reduction in mortality appears to be the result of both lower complication rates and a better ability in high-volume hospitals to rescue patients with major complications.","container-title":"Br J Surg","DOI":"10.1002/bjs.9492","ISSN":"0007-1323","issue":"7","language":"eng","note":"publisher-place: Department of Surgery, The Johns Hopkins University School of Medicine, Baltimore, Maryland, USA.","page":"836-46","title":"Failure to rescue as a source of variation in hospital mortality after hepatic surgery","volume":"101","author":[{"family":"Spolverato","given":"G."},{"family":"Ejaz","given":"A."},{"family":"Hyder","given":"O."},{"family":"Kim","given":"Y."},{"family":"Pawlik","given":"T. M."}],"issued":{"date-parts":[["2014",6]]}}}],"schema":"https://github.com/citation-style-language/schema/raw/master/csl-citation.json"} </w:instrText>
            </w:r>
            <w:r w:rsidRPr="00BF62A1">
              <w:rPr>
                <w:color w:val="000000"/>
                <w:sz w:val="14"/>
                <w:szCs w:val="14"/>
              </w:rPr>
              <w:fldChar w:fldCharType="separate"/>
            </w:r>
            <w:r w:rsidRPr="004125CE">
              <w:rPr>
                <w:sz w:val="14"/>
              </w:rPr>
              <w:t>[</w:t>
            </w:r>
            <w:r w:rsidR="00D03F0D">
              <w:rPr>
                <w:sz w:val="14"/>
              </w:rPr>
              <w:t>83</w:t>
            </w:r>
            <w:r w:rsidRPr="004125CE">
              <w:rPr>
                <w:sz w:val="14"/>
              </w:rPr>
              <w:t>]</w:t>
            </w:r>
            <w:r w:rsidRPr="00BF62A1">
              <w:rPr>
                <w:color w:val="000000"/>
                <w:sz w:val="14"/>
                <w:szCs w:val="14"/>
              </w:rPr>
              <w:fldChar w:fldCharType="end"/>
            </w:r>
            <w:r w:rsidRPr="00BF62A1">
              <w:rPr>
                <w:color w:val="000000"/>
                <w:sz w:val="14"/>
                <w:szCs w:val="14"/>
              </w:rPr>
              <w:t xml:space="preserve"> </w:t>
            </w:r>
          </w:p>
        </w:tc>
        <w:tc>
          <w:tcPr>
            <w:tcW w:w="2973" w:type="dxa"/>
            <w:tcBorders>
              <w:top w:val="single" w:sz="8" w:space="0" w:color="auto"/>
            </w:tcBorders>
            <w:hideMark/>
          </w:tcPr>
          <w:p w14:paraId="0CEE9981" w14:textId="77777777" w:rsidR="000F0341" w:rsidRPr="00BF62A1" w:rsidRDefault="000F0341" w:rsidP="00E40B0D">
            <w:pPr>
              <w:spacing w:line="240" w:lineRule="auto"/>
              <w:jc w:val="left"/>
              <w:rPr>
                <w:color w:val="000000"/>
                <w:sz w:val="14"/>
                <w:szCs w:val="14"/>
              </w:rPr>
            </w:pPr>
            <w:r w:rsidRPr="00BF62A1">
              <w:rPr>
                <w:color w:val="000000"/>
                <w:sz w:val="14"/>
                <w:szCs w:val="14"/>
              </w:rPr>
              <w:t>“At least a hemihepatectomy”</w:t>
            </w:r>
          </w:p>
        </w:tc>
        <w:tc>
          <w:tcPr>
            <w:tcW w:w="1843" w:type="dxa"/>
            <w:tcBorders>
              <w:top w:val="single" w:sz="8" w:space="0" w:color="auto"/>
            </w:tcBorders>
            <w:hideMark/>
          </w:tcPr>
          <w:p w14:paraId="3883946C" w14:textId="77777777" w:rsidR="000F0341" w:rsidRPr="00BF62A1" w:rsidRDefault="000F0341" w:rsidP="00E40B0D">
            <w:pPr>
              <w:spacing w:line="240" w:lineRule="auto"/>
              <w:jc w:val="left"/>
              <w:rPr>
                <w:color w:val="000000"/>
                <w:sz w:val="14"/>
                <w:szCs w:val="14"/>
              </w:rPr>
            </w:pPr>
            <w:r w:rsidRPr="00BF62A1">
              <w:rPr>
                <w:color w:val="000000"/>
                <w:sz w:val="14"/>
                <w:szCs w:val="14"/>
              </w:rPr>
              <w:t>3960 (40.1)</w:t>
            </w:r>
            <w:r w:rsidRPr="00BF62A1">
              <w:rPr>
                <w:color w:val="000000"/>
                <w:sz w:val="14"/>
                <w:szCs w:val="14"/>
              </w:rPr>
              <w:br/>
            </w:r>
          </w:p>
        </w:tc>
        <w:tc>
          <w:tcPr>
            <w:tcW w:w="1984" w:type="dxa"/>
            <w:vMerge w:val="restart"/>
            <w:tcBorders>
              <w:top w:val="single" w:sz="8" w:space="0" w:color="auto"/>
            </w:tcBorders>
            <w:hideMark/>
          </w:tcPr>
          <w:p w14:paraId="2AE1D3AB" w14:textId="77777777" w:rsidR="000F0341" w:rsidRPr="00BF62A1" w:rsidRDefault="000F0341" w:rsidP="00E40B0D">
            <w:pPr>
              <w:spacing w:line="240" w:lineRule="auto"/>
              <w:jc w:val="left"/>
              <w:rPr>
                <w:color w:val="000000"/>
                <w:sz w:val="14"/>
                <w:szCs w:val="14"/>
              </w:rPr>
            </w:pPr>
            <w:r w:rsidRPr="00BF62A1">
              <w:rPr>
                <w:color w:val="000000"/>
                <w:sz w:val="14"/>
                <w:szCs w:val="14"/>
              </w:rPr>
              <w:t>ICD-9-CM: 50.3, 50.4, 50.22 / ICD-9CM 155.0, 197.7</w:t>
            </w:r>
          </w:p>
        </w:tc>
        <w:tc>
          <w:tcPr>
            <w:tcW w:w="3119" w:type="dxa"/>
            <w:vMerge w:val="restart"/>
            <w:tcBorders>
              <w:top w:val="single" w:sz="8" w:space="0" w:color="auto"/>
            </w:tcBorders>
            <w:hideMark/>
          </w:tcPr>
          <w:p w14:paraId="34821832" w14:textId="77777777" w:rsidR="000F0341" w:rsidRPr="00BF62A1" w:rsidRDefault="000F0341" w:rsidP="00E40B0D">
            <w:pPr>
              <w:pStyle w:val="ListParagraph"/>
              <w:numPr>
                <w:ilvl w:val="0"/>
                <w:numId w:val="1"/>
              </w:numPr>
              <w:spacing w:line="240" w:lineRule="auto"/>
              <w:ind w:left="0"/>
              <w:jc w:val="left"/>
              <w:rPr>
                <w:color w:val="000000"/>
                <w:sz w:val="14"/>
                <w:szCs w:val="14"/>
              </w:rPr>
            </w:pPr>
          </w:p>
        </w:tc>
        <w:tc>
          <w:tcPr>
            <w:tcW w:w="3234" w:type="dxa"/>
            <w:vMerge w:val="restart"/>
            <w:tcBorders>
              <w:top w:val="single" w:sz="8" w:space="0" w:color="auto"/>
            </w:tcBorders>
            <w:hideMark/>
          </w:tcPr>
          <w:p w14:paraId="7DE6FE2B" w14:textId="77777777" w:rsidR="000F0341" w:rsidRPr="00BF62A1" w:rsidRDefault="000F0341" w:rsidP="00E40B0D">
            <w:pPr>
              <w:spacing w:line="240" w:lineRule="auto"/>
              <w:jc w:val="left"/>
              <w:rPr>
                <w:color w:val="000000"/>
                <w:sz w:val="14"/>
                <w:szCs w:val="14"/>
              </w:rPr>
            </w:pPr>
            <w:r>
              <w:rPr>
                <w:color w:val="000000"/>
                <w:sz w:val="14"/>
                <w:szCs w:val="14"/>
              </w:rPr>
              <w:t>A</w:t>
            </w:r>
            <w:r w:rsidRPr="00BF62A1">
              <w:rPr>
                <w:color w:val="000000"/>
                <w:sz w:val="14"/>
                <w:szCs w:val="14"/>
              </w:rPr>
              <w:t>ge, comorbidities, emergency surgery, race, gender, surgery type</w:t>
            </w:r>
          </w:p>
        </w:tc>
      </w:tr>
      <w:tr w:rsidR="000F0341" w:rsidRPr="00BF62A1" w14:paraId="1E245960" w14:textId="77777777" w:rsidTr="00E40B0D">
        <w:trPr>
          <w:trHeight w:val="108"/>
        </w:trPr>
        <w:tc>
          <w:tcPr>
            <w:tcW w:w="1422" w:type="dxa"/>
            <w:vMerge/>
            <w:tcBorders>
              <w:bottom w:val="single" w:sz="8" w:space="0" w:color="auto"/>
            </w:tcBorders>
          </w:tcPr>
          <w:p w14:paraId="375968AF"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7C11C35C" w14:textId="77777777" w:rsidR="000F0341" w:rsidRPr="00BF62A1" w:rsidRDefault="000F0341" w:rsidP="00E40B0D">
            <w:pPr>
              <w:spacing w:line="240" w:lineRule="auto"/>
              <w:jc w:val="left"/>
              <w:rPr>
                <w:color w:val="000000"/>
                <w:sz w:val="14"/>
                <w:szCs w:val="14"/>
              </w:rPr>
            </w:pPr>
            <w:r w:rsidRPr="00BF62A1">
              <w:rPr>
                <w:color w:val="000000"/>
                <w:sz w:val="14"/>
                <w:szCs w:val="14"/>
              </w:rPr>
              <w:t>“Less than a hemihepatectomy”</w:t>
            </w:r>
          </w:p>
        </w:tc>
        <w:tc>
          <w:tcPr>
            <w:tcW w:w="1843" w:type="dxa"/>
            <w:tcBorders>
              <w:bottom w:val="single" w:sz="8" w:space="0" w:color="auto"/>
            </w:tcBorders>
          </w:tcPr>
          <w:p w14:paraId="50808CB1" w14:textId="77777777" w:rsidR="000F0341" w:rsidRPr="00BF62A1" w:rsidRDefault="000F0341" w:rsidP="00E40B0D">
            <w:pPr>
              <w:spacing w:line="240" w:lineRule="auto"/>
              <w:jc w:val="left"/>
              <w:rPr>
                <w:color w:val="000000"/>
                <w:sz w:val="14"/>
                <w:szCs w:val="14"/>
              </w:rPr>
            </w:pPr>
            <w:r w:rsidRPr="00BF62A1">
              <w:rPr>
                <w:color w:val="000000"/>
                <w:sz w:val="14"/>
                <w:szCs w:val="14"/>
              </w:rPr>
              <w:t>5914 (59.9)</w:t>
            </w:r>
          </w:p>
        </w:tc>
        <w:tc>
          <w:tcPr>
            <w:tcW w:w="1984" w:type="dxa"/>
            <w:vMerge/>
            <w:tcBorders>
              <w:bottom w:val="single" w:sz="8" w:space="0" w:color="auto"/>
            </w:tcBorders>
          </w:tcPr>
          <w:p w14:paraId="6EA24E45"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63A1A374" w14:textId="77777777" w:rsidR="000F0341" w:rsidRPr="00BF62A1" w:rsidRDefault="000F0341" w:rsidP="00E40B0D">
            <w:pPr>
              <w:pStyle w:val="ListParagraph"/>
              <w:numPr>
                <w:ilvl w:val="0"/>
                <w:numId w:val="1"/>
              </w:numPr>
              <w:spacing w:line="240" w:lineRule="auto"/>
              <w:ind w:left="0"/>
              <w:jc w:val="left"/>
              <w:rPr>
                <w:color w:val="000000"/>
                <w:sz w:val="14"/>
                <w:szCs w:val="14"/>
              </w:rPr>
            </w:pPr>
          </w:p>
        </w:tc>
        <w:tc>
          <w:tcPr>
            <w:tcW w:w="3234" w:type="dxa"/>
            <w:vMerge/>
            <w:tcBorders>
              <w:bottom w:val="single" w:sz="8" w:space="0" w:color="auto"/>
            </w:tcBorders>
          </w:tcPr>
          <w:p w14:paraId="4B0872AE" w14:textId="77777777" w:rsidR="000F0341" w:rsidRPr="00BF62A1" w:rsidRDefault="000F0341" w:rsidP="00E40B0D">
            <w:pPr>
              <w:spacing w:line="240" w:lineRule="auto"/>
              <w:jc w:val="left"/>
              <w:rPr>
                <w:color w:val="000000"/>
                <w:sz w:val="14"/>
                <w:szCs w:val="14"/>
              </w:rPr>
            </w:pPr>
          </w:p>
        </w:tc>
      </w:tr>
      <w:tr w:rsidR="000F0341" w:rsidRPr="00BF62A1" w14:paraId="3C2E4517" w14:textId="77777777" w:rsidTr="00E40B0D">
        <w:trPr>
          <w:trHeight w:val="95"/>
        </w:trPr>
        <w:tc>
          <w:tcPr>
            <w:tcW w:w="1422" w:type="dxa"/>
            <w:tcBorders>
              <w:top w:val="single" w:sz="8" w:space="0" w:color="auto"/>
              <w:bottom w:val="single" w:sz="8" w:space="0" w:color="auto"/>
            </w:tcBorders>
            <w:hideMark/>
          </w:tcPr>
          <w:p w14:paraId="73857B62" w14:textId="10EB4229" w:rsidR="000F0341" w:rsidRPr="00BF62A1" w:rsidRDefault="000F0341" w:rsidP="00E40B0D">
            <w:pPr>
              <w:spacing w:line="240" w:lineRule="auto"/>
              <w:jc w:val="left"/>
              <w:rPr>
                <w:color w:val="000000"/>
                <w:sz w:val="14"/>
                <w:szCs w:val="14"/>
              </w:rPr>
            </w:pPr>
            <w:r w:rsidRPr="00BF62A1">
              <w:rPr>
                <w:color w:val="000000"/>
                <w:sz w:val="14"/>
                <w:szCs w:val="14"/>
              </w:rPr>
              <w:t xml:space="preserve">Sutton 2016 </w:t>
            </w:r>
            <w:r w:rsidRPr="00BF62A1">
              <w:rPr>
                <w:color w:val="000000"/>
                <w:sz w:val="14"/>
                <w:szCs w:val="14"/>
              </w:rPr>
              <w:fldChar w:fldCharType="begin"/>
            </w:r>
            <w:r>
              <w:rPr>
                <w:color w:val="000000"/>
                <w:sz w:val="14"/>
                <w:szCs w:val="14"/>
              </w:rPr>
              <w:instrText xml:space="preserve"> ADDIN ZOTERO_ITEM CSL_CITATION {"citationID":"IPhf84r2","properties":{"formattedCitation":"[76]","plainCitation":"[76]","noteIndex":0},"citationItems":[{"id":14152,"uris":["http://zotero.org/groups/4983919/items/T3H2U3YG"],"itemData":{"id":14152,"type":"article-journal","abstract":"OBJECTIVE(S): Higher-volume centers demonstrate better perioperative outcomes for complex surgical interventions, though resource utilization implications of this hospital-level variation are unclear. We hypothesized that for hepatic lobectomy, higher operative volume correlates with better outcomes and lower costs. METHODS: From 2009 to 2011, 4163 patients undergoing hepatic lobectomy were identified from the University HealthSystems Consortium database. Univariate, multivariate logistic regression, and decision analytic models were constructed to identify differences in hospital utilization and cost. Cost included both index and readmission hospitalizations, when applicable. RESULTS: The annual number of hepatic lobectomies performed by the institutions within the study ranged from 1 to 86. The median age of the 4163 patients was 58 years with a roughly equal gender split (M/F 49 %:51 %) and a racial breakdown which reflected that of the general US population. For all patients, the overall perioperative mortality rate was 2.3 % and the 30-day readmission rate was 13.4 %. Hospitals performing &gt;30 hepatic lobectomies per year had significantly lower mortality and readmission rates than those hospitals performing ≤15 lobectomies annually (both p &lt; 0.05). On multivariate analysis, higher severity of illness (odd ratio (OR) 2.13, 95 % confidence interval (CI) [1.48-3.07], p &lt; 0.001), discharge to rehab (OR 1.84, [1.28-2.64], p &lt; 0.001), home with home health care (OR 1.38, [1.08-1.76], p = 0.01), and surgery at a low-volume hospital (OR 1.49, [1.18-1.88], p &lt; 0.001) were significant predictors of readmission. Conversely, surgical intervention at high-volume centers was associated with decreased risk of readmission (OR 0.67, [0.53-0.85], p &lt; 0.001). When both index and readmission costs were considered, per-patient cost at low-volume centers was 21.9 % higher than at high-volume centers ($19,669 vs. $16,137). Sensitivity analyses adjusting for perioperative mortality and readmission at all centers did not significantly change the analysis. CONCLUSIONS: These data, for the first time, demonstrate that hospital volume in hepatic lobectomy is an important, modifiable risk factor for readmission and cost. To optimize resource utilization, patients undergoing complex hepatic surgery should be directed to higher-volume surgical institutions.","container-title":"J Gastrointest Surg","DOI":"10.1007/s11605-015-2964-3","ISSN":"1091-255x","issue":"2","language":"eng","note":"publisher-place: Department of Surgery, University of Cincinnati Medical Center, Cincinnati, OH, USA. Division of Surgical Oncology, Department of Surgery, University of Cincinnati Medical Center, 234 Goodman Street, ML 0772, Cincinnati, OH, 45219, USA. Department of Surgery, University of Cincinnati Medical Center, Cincinnati, OH, USA. abbottdl@uc.edu. Division of Surgical Oncology, Department of Surgery, University of Cincinnati Medical Center, 234 Goodman Street, ML 0772, Cincinnati, OH, 45219, USA. abbottdl@uc.edu.","page":"253-61","title":"Cost-Effectiveness in Hepatic Lobectomy: the Effect of Case Volume on Mortality, Readmission, and Cost of Care","volume":"20","author":[{"family":"Sutton","given":"J. M."},{"family":"Hoehn","given":"R. S."},{"family":"Ertel","given":"A. E."},{"family":"Wilson","given":"G. C."},{"family":"Hanseman","given":"D. J."},{"family":"Wima","given":"K."},{"family":"Sussman","given":"J. J."},{"family":"Ahmad","given":"S. A."},{"family":"Shah","given":"S. A."},{"family":"Abbott","given":"D. E."}],"issued":{"date-parts":[["2016",2]]}}}],"schema":"https://github.com/citation-style-language/schema/raw/master/csl-citation.json"} </w:instrText>
            </w:r>
            <w:r w:rsidRPr="00BF62A1">
              <w:rPr>
                <w:color w:val="000000"/>
                <w:sz w:val="14"/>
                <w:szCs w:val="14"/>
              </w:rPr>
              <w:fldChar w:fldCharType="separate"/>
            </w:r>
            <w:r w:rsidRPr="004125CE">
              <w:rPr>
                <w:sz w:val="14"/>
              </w:rPr>
              <w:t>[7</w:t>
            </w:r>
            <w:r w:rsidR="00D03F0D">
              <w:rPr>
                <w:sz w:val="14"/>
              </w:rPr>
              <w:t>5</w:t>
            </w:r>
            <w:r w:rsidRPr="004125CE">
              <w:rPr>
                <w:sz w:val="14"/>
              </w:rPr>
              <w:t>]</w:t>
            </w:r>
            <w:r w:rsidRPr="00BF62A1">
              <w:rPr>
                <w:color w:val="000000"/>
                <w:sz w:val="14"/>
                <w:szCs w:val="14"/>
              </w:rPr>
              <w:fldChar w:fldCharType="end"/>
            </w:r>
            <w:r w:rsidRPr="00BF62A1">
              <w:rPr>
                <w:color w:val="000000"/>
                <w:sz w:val="14"/>
                <w:szCs w:val="14"/>
              </w:rPr>
              <w:t xml:space="preserve"> </w:t>
            </w:r>
          </w:p>
        </w:tc>
        <w:tc>
          <w:tcPr>
            <w:tcW w:w="2973" w:type="dxa"/>
            <w:tcBorders>
              <w:top w:val="single" w:sz="8" w:space="0" w:color="auto"/>
              <w:bottom w:val="single" w:sz="8" w:space="0" w:color="auto"/>
            </w:tcBorders>
            <w:hideMark/>
          </w:tcPr>
          <w:p w14:paraId="62DB51B1" w14:textId="77777777" w:rsidR="000F0341" w:rsidRPr="00BF62A1" w:rsidRDefault="000F0341" w:rsidP="00E40B0D">
            <w:pPr>
              <w:spacing w:line="240" w:lineRule="auto"/>
              <w:jc w:val="left"/>
              <w:rPr>
                <w:color w:val="000000"/>
                <w:sz w:val="14"/>
                <w:szCs w:val="14"/>
              </w:rPr>
            </w:pPr>
            <w:r w:rsidRPr="00BF62A1">
              <w:rPr>
                <w:color w:val="000000"/>
                <w:sz w:val="14"/>
                <w:szCs w:val="14"/>
              </w:rPr>
              <w:t>Lobectomy</w:t>
            </w:r>
          </w:p>
        </w:tc>
        <w:tc>
          <w:tcPr>
            <w:tcW w:w="1843" w:type="dxa"/>
            <w:tcBorders>
              <w:top w:val="single" w:sz="8" w:space="0" w:color="auto"/>
              <w:bottom w:val="single" w:sz="8" w:space="0" w:color="auto"/>
            </w:tcBorders>
            <w:noWrap/>
            <w:hideMark/>
          </w:tcPr>
          <w:p w14:paraId="12D9CD25" w14:textId="77777777" w:rsidR="000F0341" w:rsidRPr="00BF62A1" w:rsidRDefault="000F0341" w:rsidP="00E40B0D">
            <w:pPr>
              <w:spacing w:line="240" w:lineRule="auto"/>
              <w:jc w:val="left"/>
              <w:rPr>
                <w:color w:val="000000"/>
                <w:sz w:val="14"/>
                <w:szCs w:val="14"/>
              </w:rPr>
            </w:pPr>
            <w:r w:rsidRPr="00BF62A1">
              <w:rPr>
                <w:color w:val="000000"/>
                <w:sz w:val="14"/>
                <w:szCs w:val="14"/>
              </w:rPr>
              <w:t>4163</w:t>
            </w:r>
          </w:p>
        </w:tc>
        <w:tc>
          <w:tcPr>
            <w:tcW w:w="1984" w:type="dxa"/>
            <w:tcBorders>
              <w:top w:val="single" w:sz="8" w:space="0" w:color="auto"/>
              <w:bottom w:val="single" w:sz="8" w:space="0" w:color="auto"/>
            </w:tcBorders>
            <w:hideMark/>
          </w:tcPr>
          <w:p w14:paraId="489FAFC0" w14:textId="77777777" w:rsidR="000F0341" w:rsidRPr="00BF62A1" w:rsidRDefault="000F0341" w:rsidP="00E40B0D">
            <w:pPr>
              <w:spacing w:line="240" w:lineRule="auto"/>
              <w:jc w:val="left"/>
              <w:rPr>
                <w:color w:val="000000"/>
                <w:sz w:val="14"/>
                <w:szCs w:val="14"/>
              </w:rPr>
            </w:pPr>
            <w:r w:rsidRPr="00BF62A1">
              <w:rPr>
                <w:color w:val="000000"/>
                <w:sz w:val="14"/>
                <w:szCs w:val="14"/>
              </w:rPr>
              <w:t>ICD-9-CM: 50.3</w:t>
            </w:r>
          </w:p>
        </w:tc>
        <w:tc>
          <w:tcPr>
            <w:tcW w:w="3119" w:type="dxa"/>
            <w:tcBorders>
              <w:top w:val="single" w:sz="8" w:space="0" w:color="auto"/>
              <w:bottom w:val="single" w:sz="8" w:space="0" w:color="auto"/>
            </w:tcBorders>
            <w:hideMark/>
          </w:tcPr>
          <w:p w14:paraId="31263224" w14:textId="77777777" w:rsidR="000F0341" w:rsidRPr="00BF62A1" w:rsidRDefault="000F0341" w:rsidP="00E40B0D">
            <w:pPr>
              <w:spacing w:line="240" w:lineRule="auto"/>
              <w:jc w:val="left"/>
              <w:rPr>
                <w:color w:val="000000"/>
                <w:sz w:val="14"/>
                <w:szCs w:val="14"/>
              </w:rPr>
            </w:pPr>
            <w:r w:rsidRPr="00BF62A1">
              <w:rPr>
                <w:color w:val="000000"/>
                <w:sz w:val="14"/>
                <w:szCs w:val="14"/>
              </w:rPr>
              <w:t>&lt;18 years</w:t>
            </w:r>
          </w:p>
        </w:tc>
        <w:tc>
          <w:tcPr>
            <w:tcW w:w="3234" w:type="dxa"/>
            <w:tcBorders>
              <w:top w:val="single" w:sz="8" w:space="0" w:color="auto"/>
              <w:bottom w:val="single" w:sz="8" w:space="0" w:color="auto"/>
            </w:tcBorders>
            <w:hideMark/>
          </w:tcPr>
          <w:p w14:paraId="215E5D4E" w14:textId="77777777" w:rsidR="000F0341" w:rsidRPr="00BF62A1" w:rsidRDefault="000F0341" w:rsidP="00E40B0D">
            <w:pPr>
              <w:spacing w:line="240" w:lineRule="auto"/>
              <w:jc w:val="left"/>
              <w:rPr>
                <w:color w:val="000000"/>
                <w:sz w:val="14"/>
                <w:szCs w:val="14"/>
              </w:rPr>
            </w:pPr>
            <w:r>
              <w:rPr>
                <w:color w:val="000000"/>
                <w:sz w:val="14"/>
                <w:szCs w:val="14"/>
              </w:rPr>
              <w:t>C</w:t>
            </w:r>
            <w:r w:rsidRPr="00BF62A1">
              <w:rPr>
                <w:color w:val="000000"/>
                <w:sz w:val="14"/>
                <w:szCs w:val="14"/>
              </w:rPr>
              <w:t>enter volume, discharge status, severity of illness</w:t>
            </w:r>
          </w:p>
        </w:tc>
      </w:tr>
      <w:tr w:rsidR="000F0341" w:rsidRPr="00BF62A1" w14:paraId="2FAB4F72" w14:textId="77777777" w:rsidTr="00E40B0D">
        <w:trPr>
          <w:trHeight w:val="197"/>
        </w:trPr>
        <w:tc>
          <w:tcPr>
            <w:tcW w:w="1422" w:type="dxa"/>
            <w:vMerge w:val="restart"/>
            <w:tcBorders>
              <w:top w:val="single" w:sz="8" w:space="0" w:color="auto"/>
            </w:tcBorders>
            <w:hideMark/>
          </w:tcPr>
          <w:p w14:paraId="561D4F55" w14:textId="765FB68E" w:rsidR="000F0341" w:rsidRPr="00BF62A1" w:rsidRDefault="000F0341" w:rsidP="00E40B0D">
            <w:pPr>
              <w:spacing w:line="240" w:lineRule="auto"/>
              <w:jc w:val="left"/>
              <w:rPr>
                <w:color w:val="000000"/>
                <w:sz w:val="14"/>
                <w:szCs w:val="14"/>
              </w:rPr>
            </w:pPr>
            <w:r w:rsidRPr="00BF62A1">
              <w:rPr>
                <w:color w:val="000000"/>
                <w:sz w:val="14"/>
                <w:szCs w:val="14"/>
              </w:rPr>
              <w:t xml:space="preserve">Tsilimigras 2021 </w:t>
            </w:r>
            <w:r w:rsidRPr="00BF62A1">
              <w:rPr>
                <w:color w:val="000000"/>
                <w:sz w:val="14"/>
                <w:szCs w:val="14"/>
              </w:rPr>
              <w:fldChar w:fldCharType="begin"/>
            </w:r>
            <w:r>
              <w:rPr>
                <w:color w:val="000000"/>
                <w:sz w:val="14"/>
                <w:szCs w:val="14"/>
              </w:rPr>
              <w:instrText xml:space="preserve"> ADDIN ZOTERO_ITEM CSL_CITATION {"citationID":"m6t9anE5","properties":{"formattedCitation":"[79]","plainCitation":"[79]","noteIndex":0},"citationItems":[{"id":14156,"uris":["http://zotero.org/groups/4983919/items/QM7IMTCE"],"itemData":{"id":14156,"type":"article-journal","abstract":"INTRODUCTION: Minimally invasive liver surgery (MILS) has been increasingly adopted in clinical practice; yet, inter-surgeon variability in operative approach (MILS vs. open), as well as the impact of providers on the likelihood of undergoing MILS have not been well characterized. METHODS: The Medicare 100% Standard Analytic Files were reviewed to identify Medicare beneficiaries who underwent hepatectomy between 2013 - 2017. The impact of patient- and procedure- related factors on the likelihood of MILS was investigated. RESULTS: Overall 12,110 (91.6%) patients underwent open liver resection, while 1,112 (8.4%) patients had MILS. Based on total MILS volume, surgeons were categorized into average (1-3 cases), above average (4-7 cases) and high (&gt;8 or more cases) MILS volume surgeons. While male patients (OR = 0.85, 95%CI 0.75-0.97) were less likely to undergo MILS, patients operated on more recently (year 2017; OR = 1.72, 95%CI 1.38-2.14) for a cancer indication (OR = 1.23, 95%CI 1.05-1.42) had a higher chance of MILS. After controlling for patient- and procedure-related characteristics, there was almost a two-fold variation in the odds that a patient underwent MILS versus open hepatectomy based on the individual surgeon provider (MOR = 1.75, 95%CI 1.48-1.99). Patients who had a MILS performed by a high-volume MILS surgeon had 36% lower odds of death within 90-days (OR = 0.64, 95%CI 0.51-0.79). CONCLUSION: The likelihood of undergoing MILS, as well as post-operative mortality, was heavily influenced by the individual surgeon provider rather than patient- or procedure-related factors.","container-title":"HPB (Oxford)","DOI":"10.1016/j.hpb.2020.11.003","ISSN":"1365-182x","issue":"6","language":"eng","note":"publisher-place: Department of Surgery, Division of Surgical Oncology, The Ohio State University Wexner Medical Center and James Comprehensive Cancer Center, Columbus, OH, USA. Department of Surgery, Duke University Medical Center, Durham, NC, USA. Department of Surgery, Division of Surgical Oncology, The Ohio State University Wexner Medical Center and James Comprehensive Cancer Center, Columbus, OH, USA. Electronic address: tim.pawlik@osumc.edu.","page":"840-846","title":"Inter-surgeon variability is associated with likelihood to undergo minimally invasive hepatectomy and postoperative mortality","volume":"23","author":[{"family":"Tsilimigras","given":"D. I."},{"family":"Hyer","given":"J. M."},{"family":"Chen","given":"Q."},{"family":"Diaz","given":"A."},{"family":"Paredes","given":"A. Z."},{"family":"Moris","given":"D."},{"family":"Dillhoff","given":"M."},{"family":"Cloyd","given":"J. M."},{"family":"Beane","given":"J. D."},{"family":"Tsung","given":"A."},{"family":"Ejaz","given":"A."},{"family":"Pawlik","given":"T. M."}],"issued":{"date-parts":[["2021",6]]}}}],"schema":"https://github.com/citation-style-language/schema/raw/master/csl-citation.json"} </w:instrText>
            </w:r>
            <w:r w:rsidRPr="00BF62A1">
              <w:rPr>
                <w:color w:val="000000"/>
                <w:sz w:val="14"/>
                <w:szCs w:val="14"/>
              </w:rPr>
              <w:fldChar w:fldCharType="separate"/>
            </w:r>
            <w:r w:rsidRPr="004125CE">
              <w:rPr>
                <w:sz w:val="14"/>
              </w:rPr>
              <w:t>[7</w:t>
            </w:r>
            <w:r w:rsidR="00D03F0D">
              <w:rPr>
                <w:sz w:val="14"/>
              </w:rPr>
              <w:t>7</w:t>
            </w:r>
            <w:r w:rsidRPr="004125CE">
              <w:rPr>
                <w:sz w:val="14"/>
              </w:rPr>
              <w:t>]</w:t>
            </w:r>
            <w:r w:rsidRPr="00BF62A1">
              <w:rPr>
                <w:color w:val="000000"/>
                <w:sz w:val="14"/>
                <w:szCs w:val="14"/>
              </w:rPr>
              <w:fldChar w:fldCharType="end"/>
            </w:r>
          </w:p>
        </w:tc>
        <w:tc>
          <w:tcPr>
            <w:tcW w:w="2973" w:type="dxa"/>
            <w:tcBorders>
              <w:top w:val="single" w:sz="8" w:space="0" w:color="auto"/>
            </w:tcBorders>
            <w:hideMark/>
          </w:tcPr>
          <w:p w14:paraId="3D7950C3" w14:textId="77777777" w:rsidR="000F0341" w:rsidRPr="00BF62A1" w:rsidRDefault="000F0341" w:rsidP="00E40B0D">
            <w:pPr>
              <w:spacing w:line="240" w:lineRule="auto"/>
              <w:jc w:val="left"/>
              <w:rPr>
                <w:color w:val="000000"/>
                <w:sz w:val="14"/>
                <w:szCs w:val="14"/>
              </w:rPr>
            </w:pPr>
            <w:r w:rsidRPr="00BF62A1">
              <w:rPr>
                <w:color w:val="000000"/>
                <w:sz w:val="14"/>
                <w:szCs w:val="14"/>
              </w:rPr>
              <w:t>Lobectomy and Partial hepatectomy:</w:t>
            </w:r>
            <w:r w:rsidRPr="00BF62A1">
              <w:rPr>
                <w:color w:val="000000"/>
                <w:sz w:val="14"/>
                <w:szCs w:val="14"/>
              </w:rPr>
              <w:br/>
            </w:r>
          </w:p>
        </w:tc>
        <w:tc>
          <w:tcPr>
            <w:tcW w:w="1843" w:type="dxa"/>
            <w:tcBorders>
              <w:top w:val="single" w:sz="8" w:space="0" w:color="auto"/>
            </w:tcBorders>
            <w:hideMark/>
          </w:tcPr>
          <w:p w14:paraId="721C1D5B" w14:textId="77777777" w:rsidR="000F0341" w:rsidRPr="00BF62A1" w:rsidRDefault="000F0341" w:rsidP="00E40B0D">
            <w:pPr>
              <w:spacing w:line="240" w:lineRule="auto"/>
              <w:jc w:val="left"/>
              <w:rPr>
                <w:color w:val="000000"/>
                <w:sz w:val="14"/>
                <w:szCs w:val="14"/>
              </w:rPr>
            </w:pPr>
            <w:r w:rsidRPr="00BF62A1">
              <w:rPr>
                <w:color w:val="000000"/>
                <w:sz w:val="14"/>
                <w:szCs w:val="14"/>
              </w:rPr>
              <w:br/>
            </w:r>
          </w:p>
        </w:tc>
        <w:tc>
          <w:tcPr>
            <w:tcW w:w="1984" w:type="dxa"/>
            <w:vMerge w:val="restart"/>
            <w:tcBorders>
              <w:top w:val="single" w:sz="8" w:space="0" w:color="auto"/>
            </w:tcBorders>
            <w:hideMark/>
          </w:tcPr>
          <w:p w14:paraId="3B9F2811" w14:textId="77777777" w:rsidR="000F0341" w:rsidRPr="00BF62A1" w:rsidRDefault="000F0341" w:rsidP="00E40B0D">
            <w:pPr>
              <w:spacing w:line="240" w:lineRule="auto"/>
              <w:jc w:val="left"/>
              <w:rPr>
                <w:color w:val="000000"/>
                <w:sz w:val="14"/>
                <w:szCs w:val="14"/>
              </w:rPr>
            </w:pPr>
            <w:r w:rsidRPr="00BF62A1">
              <w:rPr>
                <w:color w:val="000000"/>
                <w:sz w:val="14"/>
                <w:szCs w:val="14"/>
              </w:rPr>
              <w:t>ICD-9-CM: 50.3, 50.22, 17.4, 17.41, 17.42, 17.43, 17.49</w:t>
            </w:r>
          </w:p>
        </w:tc>
        <w:tc>
          <w:tcPr>
            <w:tcW w:w="3119" w:type="dxa"/>
            <w:vMerge w:val="restart"/>
            <w:tcBorders>
              <w:top w:val="single" w:sz="8" w:space="0" w:color="auto"/>
            </w:tcBorders>
            <w:hideMark/>
          </w:tcPr>
          <w:p w14:paraId="63D0DF54" w14:textId="77777777" w:rsidR="000F0341" w:rsidRPr="00BF62A1" w:rsidRDefault="000F0341" w:rsidP="00E40B0D">
            <w:pPr>
              <w:spacing w:line="240" w:lineRule="auto"/>
              <w:jc w:val="left"/>
              <w:rPr>
                <w:color w:val="000000"/>
                <w:sz w:val="14"/>
                <w:szCs w:val="14"/>
              </w:rPr>
            </w:pPr>
            <w:r>
              <w:rPr>
                <w:color w:val="000000"/>
                <w:sz w:val="14"/>
                <w:szCs w:val="14"/>
              </w:rPr>
              <w:t>N</w:t>
            </w:r>
            <w:r w:rsidRPr="00BF62A1">
              <w:rPr>
                <w:color w:val="000000"/>
                <w:sz w:val="14"/>
                <w:szCs w:val="14"/>
              </w:rPr>
              <w:t>ot enrolled in Medicare Part A or B at the time of surgery, patients with additional payments from a health maintenance organization (HMO), patients with payments from a primary payer</w:t>
            </w:r>
          </w:p>
        </w:tc>
        <w:tc>
          <w:tcPr>
            <w:tcW w:w="3234" w:type="dxa"/>
            <w:vMerge w:val="restart"/>
            <w:tcBorders>
              <w:top w:val="single" w:sz="8" w:space="0" w:color="auto"/>
            </w:tcBorders>
            <w:hideMark/>
          </w:tcPr>
          <w:p w14:paraId="5F147A79" w14:textId="77777777" w:rsidR="000F0341" w:rsidRPr="00BF62A1" w:rsidRDefault="000F0341" w:rsidP="00E40B0D">
            <w:pPr>
              <w:spacing w:line="240" w:lineRule="auto"/>
              <w:jc w:val="left"/>
              <w:rPr>
                <w:color w:val="000000"/>
                <w:sz w:val="14"/>
                <w:szCs w:val="14"/>
              </w:rPr>
            </w:pPr>
            <w:r>
              <w:rPr>
                <w:color w:val="000000"/>
                <w:sz w:val="14"/>
                <w:szCs w:val="14"/>
              </w:rPr>
              <w:t>A</w:t>
            </w:r>
            <w:r w:rsidRPr="00BF62A1">
              <w:rPr>
                <w:color w:val="000000"/>
                <w:sz w:val="14"/>
                <w:szCs w:val="14"/>
              </w:rPr>
              <w:t>dmission type, age, CCI, cirrhosis, hospital type, hospital volume, indication (benign or malignant), race/ethnicity, region, gender, surgery type, year of surgery</w:t>
            </w:r>
          </w:p>
        </w:tc>
      </w:tr>
      <w:tr w:rsidR="000F0341" w:rsidRPr="00BF62A1" w14:paraId="25585F73" w14:textId="77777777" w:rsidTr="00E40B0D">
        <w:trPr>
          <w:trHeight w:val="166"/>
        </w:trPr>
        <w:tc>
          <w:tcPr>
            <w:tcW w:w="1422" w:type="dxa"/>
            <w:vMerge/>
          </w:tcPr>
          <w:p w14:paraId="5A1399EF" w14:textId="77777777" w:rsidR="000F0341" w:rsidRPr="00BF62A1" w:rsidRDefault="000F0341" w:rsidP="00E40B0D">
            <w:pPr>
              <w:spacing w:line="240" w:lineRule="auto"/>
              <w:jc w:val="left"/>
              <w:rPr>
                <w:color w:val="000000"/>
                <w:sz w:val="14"/>
                <w:szCs w:val="14"/>
              </w:rPr>
            </w:pPr>
          </w:p>
        </w:tc>
        <w:tc>
          <w:tcPr>
            <w:tcW w:w="2973" w:type="dxa"/>
          </w:tcPr>
          <w:p w14:paraId="3D0557A4" w14:textId="77777777" w:rsidR="000F0341" w:rsidRPr="00BF62A1" w:rsidRDefault="000F0341" w:rsidP="00E40B0D">
            <w:pPr>
              <w:spacing w:line="240" w:lineRule="auto"/>
              <w:jc w:val="left"/>
              <w:rPr>
                <w:color w:val="000000"/>
                <w:sz w:val="14"/>
                <w:szCs w:val="14"/>
              </w:rPr>
            </w:pPr>
            <w:r w:rsidRPr="00BF62A1">
              <w:rPr>
                <w:color w:val="000000"/>
                <w:sz w:val="14"/>
                <w:szCs w:val="14"/>
              </w:rPr>
              <w:t>Minimally invasive</w:t>
            </w:r>
          </w:p>
        </w:tc>
        <w:tc>
          <w:tcPr>
            <w:tcW w:w="1843" w:type="dxa"/>
          </w:tcPr>
          <w:p w14:paraId="1100050C" w14:textId="77777777" w:rsidR="000F0341" w:rsidRPr="00BF62A1" w:rsidRDefault="000F0341" w:rsidP="00E40B0D">
            <w:pPr>
              <w:spacing w:line="240" w:lineRule="auto"/>
              <w:jc w:val="left"/>
              <w:rPr>
                <w:color w:val="000000"/>
                <w:sz w:val="14"/>
                <w:szCs w:val="14"/>
              </w:rPr>
            </w:pPr>
            <w:r w:rsidRPr="00BF62A1">
              <w:rPr>
                <w:color w:val="000000"/>
                <w:sz w:val="14"/>
                <w:szCs w:val="14"/>
              </w:rPr>
              <w:t>12110 (91.6)</w:t>
            </w:r>
          </w:p>
        </w:tc>
        <w:tc>
          <w:tcPr>
            <w:tcW w:w="1984" w:type="dxa"/>
            <w:vMerge/>
          </w:tcPr>
          <w:p w14:paraId="48CE685D" w14:textId="77777777" w:rsidR="000F0341" w:rsidRPr="00BF62A1" w:rsidRDefault="000F0341" w:rsidP="00E40B0D">
            <w:pPr>
              <w:spacing w:line="240" w:lineRule="auto"/>
              <w:jc w:val="left"/>
              <w:rPr>
                <w:color w:val="000000"/>
                <w:sz w:val="14"/>
                <w:szCs w:val="14"/>
              </w:rPr>
            </w:pPr>
          </w:p>
        </w:tc>
        <w:tc>
          <w:tcPr>
            <w:tcW w:w="3119" w:type="dxa"/>
            <w:vMerge/>
          </w:tcPr>
          <w:p w14:paraId="31868ACF" w14:textId="77777777" w:rsidR="000F0341" w:rsidRPr="00BF62A1" w:rsidRDefault="000F0341" w:rsidP="00E40B0D">
            <w:pPr>
              <w:spacing w:line="240" w:lineRule="auto"/>
              <w:jc w:val="left"/>
              <w:rPr>
                <w:color w:val="000000"/>
                <w:sz w:val="14"/>
                <w:szCs w:val="14"/>
              </w:rPr>
            </w:pPr>
          </w:p>
        </w:tc>
        <w:tc>
          <w:tcPr>
            <w:tcW w:w="3234" w:type="dxa"/>
            <w:vMerge/>
          </w:tcPr>
          <w:p w14:paraId="1187E492" w14:textId="77777777" w:rsidR="000F0341" w:rsidRPr="00BF62A1" w:rsidRDefault="000F0341" w:rsidP="00E40B0D">
            <w:pPr>
              <w:spacing w:line="240" w:lineRule="auto"/>
              <w:jc w:val="left"/>
              <w:rPr>
                <w:color w:val="000000"/>
                <w:sz w:val="14"/>
                <w:szCs w:val="14"/>
              </w:rPr>
            </w:pPr>
          </w:p>
        </w:tc>
      </w:tr>
      <w:tr w:rsidR="000F0341" w:rsidRPr="00BF62A1" w14:paraId="1E08C08A" w14:textId="77777777" w:rsidTr="00E40B0D">
        <w:trPr>
          <w:trHeight w:val="245"/>
        </w:trPr>
        <w:tc>
          <w:tcPr>
            <w:tcW w:w="1422" w:type="dxa"/>
            <w:vMerge/>
            <w:tcBorders>
              <w:bottom w:val="single" w:sz="8" w:space="0" w:color="auto"/>
            </w:tcBorders>
          </w:tcPr>
          <w:p w14:paraId="4A529146"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5C9C03BE" w14:textId="77777777" w:rsidR="000F0341" w:rsidRPr="00BF62A1" w:rsidRDefault="000F0341" w:rsidP="00E40B0D">
            <w:pPr>
              <w:spacing w:line="240" w:lineRule="auto"/>
              <w:jc w:val="left"/>
              <w:rPr>
                <w:color w:val="000000"/>
                <w:sz w:val="14"/>
                <w:szCs w:val="14"/>
              </w:rPr>
            </w:pPr>
            <w:r w:rsidRPr="00BF62A1">
              <w:rPr>
                <w:color w:val="000000"/>
                <w:sz w:val="14"/>
                <w:szCs w:val="14"/>
              </w:rPr>
              <w:t>Open surgery</w:t>
            </w:r>
          </w:p>
        </w:tc>
        <w:tc>
          <w:tcPr>
            <w:tcW w:w="1843" w:type="dxa"/>
            <w:tcBorders>
              <w:bottom w:val="single" w:sz="8" w:space="0" w:color="auto"/>
            </w:tcBorders>
          </w:tcPr>
          <w:p w14:paraId="68487DA4" w14:textId="77777777" w:rsidR="000F0341" w:rsidRPr="00BF62A1" w:rsidRDefault="000F0341" w:rsidP="00E40B0D">
            <w:pPr>
              <w:spacing w:line="240" w:lineRule="auto"/>
              <w:jc w:val="left"/>
              <w:rPr>
                <w:color w:val="000000"/>
                <w:sz w:val="14"/>
                <w:szCs w:val="14"/>
              </w:rPr>
            </w:pPr>
            <w:r w:rsidRPr="00BF62A1">
              <w:rPr>
                <w:color w:val="000000"/>
                <w:sz w:val="14"/>
                <w:szCs w:val="14"/>
              </w:rPr>
              <w:t>1112 (8.4)</w:t>
            </w:r>
          </w:p>
        </w:tc>
        <w:tc>
          <w:tcPr>
            <w:tcW w:w="1984" w:type="dxa"/>
            <w:vMerge/>
            <w:tcBorders>
              <w:bottom w:val="single" w:sz="8" w:space="0" w:color="auto"/>
            </w:tcBorders>
          </w:tcPr>
          <w:p w14:paraId="4008F2D1"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32580788"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7625AA72" w14:textId="77777777" w:rsidR="000F0341" w:rsidRPr="00BF62A1" w:rsidRDefault="000F0341" w:rsidP="00E40B0D">
            <w:pPr>
              <w:spacing w:line="240" w:lineRule="auto"/>
              <w:jc w:val="left"/>
              <w:rPr>
                <w:color w:val="000000"/>
                <w:sz w:val="14"/>
                <w:szCs w:val="14"/>
              </w:rPr>
            </w:pPr>
          </w:p>
        </w:tc>
      </w:tr>
      <w:tr w:rsidR="000F0341" w:rsidRPr="00BF62A1" w14:paraId="546C5334" w14:textId="77777777" w:rsidTr="00E40B0D">
        <w:trPr>
          <w:trHeight w:val="108"/>
        </w:trPr>
        <w:tc>
          <w:tcPr>
            <w:tcW w:w="1422" w:type="dxa"/>
            <w:vMerge w:val="restart"/>
            <w:tcBorders>
              <w:top w:val="single" w:sz="8" w:space="0" w:color="auto"/>
            </w:tcBorders>
            <w:hideMark/>
          </w:tcPr>
          <w:p w14:paraId="50CF41FA"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van der Poel 2019 </w:t>
            </w:r>
            <w:r w:rsidRPr="00BF62A1">
              <w:rPr>
                <w:color w:val="000000"/>
                <w:sz w:val="14"/>
                <w:szCs w:val="14"/>
              </w:rPr>
              <w:fldChar w:fldCharType="begin"/>
            </w:r>
            <w:r>
              <w:rPr>
                <w:color w:val="000000"/>
                <w:sz w:val="14"/>
                <w:szCs w:val="14"/>
              </w:rPr>
              <w:instrText xml:space="preserve"> ADDIN ZOTERO_ITEM CSL_CITATION {"citationID":"dGvDqMps","properties":{"formattedCitation":"[60]","plainCitation":"[60]","noteIndex":0},"citationItems":[{"id":14332,"uris":["http://zotero.org/groups/4983919/items/EKW2SXW3"],"itemData":{"id":14332,"type":"article-journal","abstract":"BACKGROUND: While most of the evidence on minimally invasive liver surgery (MILS) is derived from expert centers, nationwide outcomes remain underreported. This study aimed to evaluate the implementation and outcome of MILS on a nationwide scale. METHODS: Electronic patient files were reviewed in all Dutch liver surgery centers and all patients undergoing MILS between 2011 and 2016 were selected. Operative outcomes were stratified based on extent of the resection and annual MILS volume. RESULTS: Overall, 6951 liver resections were included, with a median annual volume of 50 resections per center. The overall use of MILS was 13% (n = 916), which varied from 3% to 36% (P &lt; 0.001) between centers. The nationwide use of MILS increased from 6% in 2011 to 23% in 2016 (P &lt; 0.001). Outcomes of minor MILS were comparable with international studies (conversion 0-13%, mortality &lt;1%). In centers which performed ≥20 MILS annually, major MILS was associated with less conversions (14 (11%) versus 41 (30%), P &lt; 0.001), shorter operating time (184 (117-239) versus 200 (139-308) minutes, P = 0.010), and less overall complications (37 (30%) versus 58 (42%), P = 0.040). CONCLUSION: The nationwide use of MILS is increasing, although large variation remains between centers. Outcomes of major MILS are better in centers with higher volumes.","container-title":"HPB (Oxford)","DOI":"10.1016/j.hpb.2019.05.002","ISSN":"1365-182x","issue":"12","language":"eng","page":"1734-1743","title":"Implementation and outcome of minor and major minimally invasive liver surgery in the Netherlands","volume":"21","author":[{"family":"Poel","given":"M. J.","non-dropping-particle":"van der"},{"family":"Fichtinger","given":"R. S."},{"family":"Bemelmans","given":"M."},{"family":"Bosscha","given":"K."},{"family":"Braat","given":"A. E."},{"family":"Boer","given":"M. T.","non-dropping-particle":"de"},{"family":"Dejong","given":"C. H. C."},{"family":"Doornebosch","given":"P. G."},{"family":"Draaisma","given":"W. A."},{"family":"Gerhards","given":"M. F."},{"family":"Gobardhan","given":"P. D."},{"family":"Gorgec","given":"B."},{"family":"Hagendoorn","given":"J."},{"family":"Kazemier","given":"G."},{"family":"Klaase","given":"J."},{"family":"Leclercq","given":"W. K. G."},{"family":"Liem","given":"M. S."},{"family":"Lips","given":"D. J."},{"family":"Marsman","given":"H. A."},{"family":"Mieog","given":"J. S. D."},{"family":"Molenaar","given":"Q. I."},{"family":"Nieuwenhuijs","given":"V. B."},{"family":"Nota","given":"C. L."},{"family":"Patijn","given":"G. A."},{"family":"Rijken","given":"A. M."},{"family":"Slooter","given":"G. D."},{"family":"Stommel","given":"M. W. J."},{"family":"Swijnenburg","given":"R. J."},{"family":"Tanis","given":"P. J."},{"family":"Te Riele","given":"W. W."},{"family":"Terkivatan","given":"T."},{"family":"Tol","given":"P. M.","non-dropping-particle":"van den"},{"family":"Boezem","given":"P. B.","non-dropping-particle":"van den"},{"family":"Hoeven","given":"J. A.","non-dropping-particle":"van der"},{"family":"Vermaas","given":"M."},{"family":"Abu Hilal","given":"M."},{"family":"Dam","given":"R. M.","non-dropping-particle":"van"},{"family":"Besselink","given":"M. G."}],"issued":{"date-parts":[["2019",12]]}}}],"schema":"https://github.com/citation-style-language/schema/raw/master/csl-citation.json"} </w:instrText>
            </w:r>
            <w:r w:rsidRPr="00BF62A1">
              <w:rPr>
                <w:color w:val="000000"/>
                <w:sz w:val="14"/>
                <w:szCs w:val="14"/>
              </w:rPr>
              <w:fldChar w:fldCharType="separate"/>
            </w:r>
            <w:r w:rsidRPr="004125CE">
              <w:rPr>
                <w:sz w:val="14"/>
              </w:rPr>
              <w:t>[60]</w:t>
            </w:r>
            <w:r w:rsidRPr="00BF62A1">
              <w:rPr>
                <w:color w:val="000000"/>
                <w:sz w:val="14"/>
                <w:szCs w:val="14"/>
              </w:rPr>
              <w:fldChar w:fldCharType="end"/>
            </w:r>
          </w:p>
        </w:tc>
        <w:tc>
          <w:tcPr>
            <w:tcW w:w="2973" w:type="dxa"/>
            <w:tcBorders>
              <w:top w:val="single" w:sz="8" w:space="0" w:color="auto"/>
            </w:tcBorders>
            <w:hideMark/>
          </w:tcPr>
          <w:p w14:paraId="3A22F77A" w14:textId="77777777" w:rsidR="000F0341" w:rsidRPr="00493118" w:rsidRDefault="000F0341" w:rsidP="00E40B0D">
            <w:pPr>
              <w:spacing w:line="240" w:lineRule="auto"/>
              <w:jc w:val="left"/>
              <w:rPr>
                <w:b/>
                <w:bCs/>
                <w:color w:val="000000"/>
                <w:sz w:val="14"/>
                <w:szCs w:val="14"/>
              </w:rPr>
            </w:pPr>
            <w:r w:rsidRPr="00493118">
              <w:rPr>
                <w:b/>
                <w:bCs/>
                <w:color w:val="000000"/>
                <w:sz w:val="14"/>
                <w:szCs w:val="14"/>
              </w:rPr>
              <w:t>Minor MILS</w:t>
            </w:r>
            <w:r>
              <w:rPr>
                <w:b/>
                <w:bCs/>
                <w:color w:val="000000"/>
                <w:sz w:val="14"/>
                <w:szCs w:val="14"/>
              </w:rPr>
              <w:t>:</w:t>
            </w:r>
          </w:p>
        </w:tc>
        <w:tc>
          <w:tcPr>
            <w:tcW w:w="1843" w:type="dxa"/>
            <w:tcBorders>
              <w:top w:val="single" w:sz="8" w:space="0" w:color="auto"/>
            </w:tcBorders>
            <w:hideMark/>
          </w:tcPr>
          <w:p w14:paraId="6A7CCD1F" w14:textId="77777777" w:rsidR="000F0341" w:rsidRPr="00BF62A1" w:rsidRDefault="000F0341" w:rsidP="00E40B0D">
            <w:pPr>
              <w:spacing w:line="240" w:lineRule="auto"/>
              <w:jc w:val="left"/>
              <w:rPr>
                <w:color w:val="000000"/>
                <w:sz w:val="14"/>
                <w:szCs w:val="14"/>
              </w:rPr>
            </w:pPr>
            <w:r w:rsidRPr="00BF62A1">
              <w:rPr>
                <w:color w:val="000000"/>
                <w:sz w:val="14"/>
                <w:szCs w:val="14"/>
              </w:rPr>
              <w:t>Minor MILS</w:t>
            </w:r>
          </w:p>
        </w:tc>
        <w:tc>
          <w:tcPr>
            <w:tcW w:w="1984" w:type="dxa"/>
            <w:vMerge w:val="restart"/>
            <w:tcBorders>
              <w:top w:val="single" w:sz="8" w:space="0" w:color="auto"/>
            </w:tcBorders>
            <w:hideMark/>
          </w:tcPr>
          <w:p w14:paraId="50D61B3E" w14:textId="77777777" w:rsidR="000F0341" w:rsidRPr="00BF62A1" w:rsidRDefault="000F0341" w:rsidP="00E40B0D">
            <w:pPr>
              <w:spacing w:line="240" w:lineRule="auto"/>
              <w:jc w:val="left"/>
              <w:rPr>
                <w:color w:val="000000"/>
                <w:sz w:val="14"/>
                <w:szCs w:val="14"/>
              </w:rPr>
            </w:pPr>
            <w:r w:rsidRPr="00BF62A1">
              <w:rPr>
                <w:color w:val="000000"/>
                <w:sz w:val="14"/>
                <w:szCs w:val="14"/>
              </w:rPr>
              <w:t>-</w:t>
            </w:r>
          </w:p>
        </w:tc>
        <w:tc>
          <w:tcPr>
            <w:tcW w:w="3119" w:type="dxa"/>
            <w:vMerge w:val="restart"/>
            <w:tcBorders>
              <w:top w:val="single" w:sz="8" w:space="0" w:color="auto"/>
            </w:tcBorders>
            <w:hideMark/>
          </w:tcPr>
          <w:p w14:paraId="40DFF277" w14:textId="77777777" w:rsidR="000F0341" w:rsidRPr="00BF62A1" w:rsidRDefault="000F0341" w:rsidP="00E40B0D">
            <w:pPr>
              <w:spacing w:line="240" w:lineRule="auto"/>
              <w:jc w:val="left"/>
              <w:rPr>
                <w:color w:val="000000"/>
                <w:sz w:val="14"/>
                <w:szCs w:val="14"/>
              </w:rPr>
            </w:pPr>
            <w:r>
              <w:rPr>
                <w:color w:val="000000"/>
                <w:sz w:val="14"/>
                <w:szCs w:val="14"/>
              </w:rPr>
              <w:t>I</w:t>
            </w:r>
            <w:r w:rsidRPr="00BF62A1">
              <w:rPr>
                <w:color w:val="000000"/>
                <w:sz w:val="14"/>
                <w:szCs w:val="14"/>
              </w:rPr>
              <w:t>nsufficient data; non-surgical interventions (e.g. fenestration/deroofing of cysts, biopsies, diagnostic laparoscopy); emergency surgery</w:t>
            </w:r>
          </w:p>
        </w:tc>
        <w:tc>
          <w:tcPr>
            <w:tcW w:w="3234" w:type="dxa"/>
            <w:vMerge w:val="restart"/>
            <w:tcBorders>
              <w:top w:val="single" w:sz="8" w:space="0" w:color="auto"/>
            </w:tcBorders>
            <w:hideMark/>
          </w:tcPr>
          <w:p w14:paraId="6A658A02" w14:textId="77777777" w:rsidR="000F0341" w:rsidRPr="00BF62A1" w:rsidRDefault="000F0341" w:rsidP="00E40B0D">
            <w:pPr>
              <w:spacing w:line="240" w:lineRule="auto"/>
              <w:jc w:val="left"/>
              <w:rPr>
                <w:color w:val="000000"/>
                <w:sz w:val="14"/>
                <w:szCs w:val="14"/>
              </w:rPr>
            </w:pPr>
            <w:r>
              <w:rPr>
                <w:color w:val="000000"/>
                <w:sz w:val="14"/>
                <w:szCs w:val="14"/>
              </w:rPr>
              <w:t>N</w:t>
            </w:r>
            <w:r w:rsidRPr="00BF62A1">
              <w:rPr>
                <w:color w:val="000000"/>
                <w:sz w:val="14"/>
                <w:szCs w:val="14"/>
              </w:rPr>
              <w:t>ot adjusted</w:t>
            </w:r>
          </w:p>
        </w:tc>
      </w:tr>
      <w:tr w:rsidR="000F0341" w:rsidRPr="00BF62A1" w14:paraId="5568CB61" w14:textId="77777777" w:rsidTr="00E40B0D">
        <w:trPr>
          <w:trHeight w:val="82"/>
        </w:trPr>
        <w:tc>
          <w:tcPr>
            <w:tcW w:w="1422" w:type="dxa"/>
            <w:vMerge/>
          </w:tcPr>
          <w:p w14:paraId="5AC0E1FB" w14:textId="77777777" w:rsidR="000F0341" w:rsidRPr="00BF62A1" w:rsidRDefault="000F0341" w:rsidP="00E40B0D">
            <w:pPr>
              <w:spacing w:line="240" w:lineRule="auto"/>
              <w:jc w:val="left"/>
              <w:rPr>
                <w:color w:val="000000"/>
                <w:sz w:val="14"/>
                <w:szCs w:val="14"/>
              </w:rPr>
            </w:pPr>
          </w:p>
        </w:tc>
        <w:tc>
          <w:tcPr>
            <w:tcW w:w="2973" w:type="dxa"/>
          </w:tcPr>
          <w:p w14:paraId="34AA5032" w14:textId="77777777" w:rsidR="000F0341" w:rsidRPr="00BF62A1" w:rsidRDefault="000F0341" w:rsidP="00E40B0D">
            <w:pPr>
              <w:spacing w:line="240" w:lineRule="auto"/>
              <w:jc w:val="left"/>
              <w:rPr>
                <w:color w:val="000000"/>
                <w:sz w:val="14"/>
                <w:szCs w:val="14"/>
              </w:rPr>
            </w:pPr>
            <w:r w:rsidRPr="00BF62A1">
              <w:rPr>
                <w:color w:val="000000"/>
                <w:sz w:val="14"/>
                <w:szCs w:val="14"/>
              </w:rPr>
              <w:t>Wedge/non-anatomical resection</w:t>
            </w:r>
          </w:p>
        </w:tc>
        <w:tc>
          <w:tcPr>
            <w:tcW w:w="1843" w:type="dxa"/>
          </w:tcPr>
          <w:p w14:paraId="04D36B3B" w14:textId="77777777" w:rsidR="000F0341" w:rsidRPr="00BF62A1" w:rsidRDefault="000F0341" w:rsidP="00E40B0D">
            <w:pPr>
              <w:spacing w:line="240" w:lineRule="auto"/>
              <w:jc w:val="left"/>
              <w:rPr>
                <w:color w:val="000000"/>
                <w:sz w:val="14"/>
                <w:szCs w:val="14"/>
              </w:rPr>
            </w:pPr>
            <w:r w:rsidRPr="00BF62A1">
              <w:rPr>
                <w:color w:val="000000"/>
                <w:sz w:val="14"/>
                <w:szCs w:val="14"/>
              </w:rPr>
              <w:t>331 (36.1)</w:t>
            </w:r>
            <w:r w:rsidRPr="00BF62A1">
              <w:rPr>
                <w:color w:val="000000"/>
                <w:sz w:val="14"/>
                <w:szCs w:val="14"/>
                <w:vertAlign w:val="superscript"/>
              </w:rPr>
              <w:t>a</w:t>
            </w:r>
          </w:p>
        </w:tc>
        <w:tc>
          <w:tcPr>
            <w:tcW w:w="1984" w:type="dxa"/>
            <w:vMerge/>
          </w:tcPr>
          <w:p w14:paraId="3DC55A79" w14:textId="77777777" w:rsidR="000F0341" w:rsidRPr="00BF62A1" w:rsidRDefault="000F0341" w:rsidP="00E40B0D">
            <w:pPr>
              <w:spacing w:line="240" w:lineRule="auto"/>
              <w:jc w:val="left"/>
              <w:rPr>
                <w:color w:val="000000"/>
                <w:sz w:val="14"/>
                <w:szCs w:val="14"/>
              </w:rPr>
            </w:pPr>
          </w:p>
        </w:tc>
        <w:tc>
          <w:tcPr>
            <w:tcW w:w="3119" w:type="dxa"/>
            <w:vMerge/>
          </w:tcPr>
          <w:p w14:paraId="572CBBF5" w14:textId="77777777" w:rsidR="000F0341" w:rsidRPr="00BF62A1" w:rsidRDefault="000F0341" w:rsidP="00E40B0D">
            <w:pPr>
              <w:spacing w:line="240" w:lineRule="auto"/>
              <w:jc w:val="left"/>
              <w:rPr>
                <w:color w:val="000000"/>
                <w:sz w:val="14"/>
                <w:szCs w:val="14"/>
              </w:rPr>
            </w:pPr>
          </w:p>
        </w:tc>
        <w:tc>
          <w:tcPr>
            <w:tcW w:w="3234" w:type="dxa"/>
            <w:vMerge/>
          </w:tcPr>
          <w:p w14:paraId="6A338456" w14:textId="77777777" w:rsidR="000F0341" w:rsidRPr="00BF62A1" w:rsidRDefault="000F0341" w:rsidP="00E40B0D">
            <w:pPr>
              <w:spacing w:line="240" w:lineRule="auto"/>
              <w:jc w:val="left"/>
              <w:rPr>
                <w:color w:val="000000"/>
                <w:sz w:val="14"/>
                <w:szCs w:val="14"/>
              </w:rPr>
            </w:pPr>
          </w:p>
        </w:tc>
      </w:tr>
      <w:tr w:rsidR="000F0341" w:rsidRPr="00BF62A1" w14:paraId="7C2A4722" w14:textId="77777777" w:rsidTr="00E40B0D">
        <w:trPr>
          <w:trHeight w:val="64"/>
        </w:trPr>
        <w:tc>
          <w:tcPr>
            <w:tcW w:w="1422" w:type="dxa"/>
            <w:vMerge/>
          </w:tcPr>
          <w:p w14:paraId="304F36E9" w14:textId="77777777" w:rsidR="000F0341" w:rsidRPr="00BF62A1" w:rsidRDefault="000F0341" w:rsidP="00E40B0D">
            <w:pPr>
              <w:spacing w:line="240" w:lineRule="auto"/>
              <w:jc w:val="left"/>
              <w:rPr>
                <w:color w:val="000000"/>
                <w:sz w:val="14"/>
                <w:szCs w:val="14"/>
              </w:rPr>
            </w:pPr>
          </w:p>
        </w:tc>
        <w:tc>
          <w:tcPr>
            <w:tcW w:w="2973" w:type="dxa"/>
          </w:tcPr>
          <w:p w14:paraId="69FA46FC" w14:textId="77777777" w:rsidR="000F0341" w:rsidRPr="00BF62A1" w:rsidRDefault="000F0341" w:rsidP="00E40B0D">
            <w:pPr>
              <w:spacing w:line="240" w:lineRule="auto"/>
              <w:jc w:val="left"/>
              <w:rPr>
                <w:color w:val="000000"/>
                <w:sz w:val="14"/>
                <w:szCs w:val="14"/>
              </w:rPr>
            </w:pPr>
            <w:r w:rsidRPr="00BF62A1">
              <w:rPr>
                <w:color w:val="000000"/>
                <w:sz w:val="14"/>
                <w:szCs w:val="14"/>
              </w:rPr>
              <w:t>Segmentectomy</w:t>
            </w:r>
          </w:p>
        </w:tc>
        <w:tc>
          <w:tcPr>
            <w:tcW w:w="1843" w:type="dxa"/>
          </w:tcPr>
          <w:p w14:paraId="4182102E" w14:textId="77777777" w:rsidR="000F0341" w:rsidRPr="00BF62A1" w:rsidRDefault="000F0341" w:rsidP="00E40B0D">
            <w:pPr>
              <w:spacing w:line="240" w:lineRule="auto"/>
              <w:jc w:val="left"/>
              <w:rPr>
                <w:color w:val="000000"/>
                <w:sz w:val="14"/>
                <w:szCs w:val="14"/>
              </w:rPr>
            </w:pPr>
            <w:r w:rsidRPr="00BF62A1">
              <w:rPr>
                <w:color w:val="000000"/>
                <w:sz w:val="14"/>
                <w:szCs w:val="14"/>
              </w:rPr>
              <w:t>78 (8.5)</w:t>
            </w:r>
            <w:r w:rsidRPr="00BF62A1">
              <w:rPr>
                <w:color w:val="000000"/>
                <w:sz w:val="14"/>
                <w:szCs w:val="14"/>
                <w:vertAlign w:val="superscript"/>
              </w:rPr>
              <w:t>a</w:t>
            </w:r>
          </w:p>
        </w:tc>
        <w:tc>
          <w:tcPr>
            <w:tcW w:w="1984" w:type="dxa"/>
            <w:vMerge/>
          </w:tcPr>
          <w:p w14:paraId="35B39E5C" w14:textId="77777777" w:rsidR="000F0341" w:rsidRPr="00BF62A1" w:rsidRDefault="000F0341" w:rsidP="00E40B0D">
            <w:pPr>
              <w:spacing w:line="240" w:lineRule="auto"/>
              <w:jc w:val="left"/>
              <w:rPr>
                <w:color w:val="000000"/>
                <w:sz w:val="14"/>
                <w:szCs w:val="14"/>
              </w:rPr>
            </w:pPr>
          </w:p>
        </w:tc>
        <w:tc>
          <w:tcPr>
            <w:tcW w:w="3119" w:type="dxa"/>
            <w:vMerge/>
          </w:tcPr>
          <w:p w14:paraId="46CF0D9B" w14:textId="77777777" w:rsidR="000F0341" w:rsidRPr="00BF62A1" w:rsidRDefault="000F0341" w:rsidP="00E40B0D">
            <w:pPr>
              <w:spacing w:line="240" w:lineRule="auto"/>
              <w:jc w:val="left"/>
              <w:rPr>
                <w:color w:val="000000"/>
                <w:sz w:val="14"/>
                <w:szCs w:val="14"/>
              </w:rPr>
            </w:pPr>
          </w:p>
        </w:tc>
        <w:tc>
          <w:tcPr>
            <w:tcW w:w="3234" w:type="dxa"/>
            <w:vMerge/>
          </w:tcPr>
          <w:p w14:paraId="1049D984" w14:textId="77777777" w:rsidR="000F0341" w:rsidRPr="00BF62A1" w:rsidRDefault="000F0341" w:rsidP="00E40B0D">
            <w:pPr>
              <w:spacing w:line="240" w:lineRule="auto"/>
              <w:jc w:val="left"/>
              <w:rPr>
                <w:color w:val="000000"/>
                <w:sz w:val="14"/>
                <w:szCs w:val="14"/>
              </w:rPr>
            </w:pPr>
          </w:p>
        </w:tc>
      </w:tr>
      <w:tr w:rsidR="000F0341" w:rsidRPr="00BF62A1" w14:paraId="29105326" w14:textId="77777777" w:rsidTr="00E40B0D">
        <w:trPr>
          <w:trHeight w:val="64"/>
        </w:trPr>
        <w:tc>
          <w:tcPr>
            <w:tcW w:w="1422" w:type="dxa"/>
            <w:vMerge/>
          </w:tcPr>
          <w:p w14:paraId="7CF7EDAA" w14:textId="77777777" w:rsidR="000F0341" w:rsidRPr="00BF62A1" w:rsidRDefault="000F0341" w:rsidP="00E40B0D">
            <w:pPr>
              <w:spacing w:line="240" w:lineRule="auto"/>
              <w:jc w:val="left"/>
              <w:rPr>
                <w:color w:val="000000"/>
                <w:sz w:val="14"/>
                <w:szCs w:val="14"/>
              </w:rPr>
            </w:pPr>
          </w:p>
        </w:tc>
        <w:tc>
          <w:tcPr>
            <w:tcW w:w="2973" w:type="dxa"/>
          </w:tcPr>
          <w:p w14:paraId="4E659EF3" w14:textId="77777777" w:rsidR="000F0341" w:rsidRPr="00BF62A1" w:rsidRDefault="000F0341" w:rsidP="00E40B0D">
            <w:pPr>
              <w:spacing w:line="240" w:lineRule="auto"/>
              <w:jc w:val="left"/>
              <w:rPr>
                <w:color w:val="000000"/>
                <w:sz w:val="14"/>
                <w:szCs w:val="14"/>
              </w:rPr>
            </w:pPr>
            <w:r w:rsidRPr="00BF62A1">
              <w:rPr>
                <w:color w:val="000000"/>
                <w:sz w:val="14"/>
                <w:szCs w:val="14"/>
              </w:rPr>
              <w:t>Bisegmentectomy</w:t>
            </w:r>
          </w:p>
        </w:tc>
        <w:tc>
          <w:tcPr>
            <w:tcW w:w="1843" w:type="dxa"/>
          </w:tcPr>
          <w:p w14:paraId="2B8FA46C" w14:textId="77777777" w:rsidR="000F0341" w:rsidRPr="00BF62A1" w:rsidRDefault="000F0341" w:rsidP="00E40B0D">
            <w:pPr>
              <w:spacing w:line="240" w:lineRule="auto"/>
              <w:jc w:val="left"/>
              <w:rPr>
                <w:color w:val="000000"/>
                <w:sz w:val="14"/>
                <w:szCs w:val="14"/>
              </w:rPr>
            </w:pPr>
            <w:r w:rsidRPr="00BF62A1">
              <w:rPr>
                <w:color w:val="000000"/>
                <w:sz w:val="14"/>
                <w:szCs w:val="14"/>
              </w:rPr>
              <w:t>247 (27.0)</w:t>
            </w:r>
            <w:r w:rsidRPr="00BF62A1">
              <w:rPr>
                <w:color w:val="000000"/>
                <w:sz w:val="14"/>
                <w:szCs w:val="14"/>
                <w:vertAlign w:val="superscript"/>
              </w:rPr>
              <w:t>a</w:t>
            </w:r>
          </w:p>
        </w:tc>
        <w:tc>
          <w:tcPr>
            <w:tcW w:w="1984" w:type="dxa"/>
            <w:vMerge/>
          </w:tcPr>
          <w:p w14:paraId="40A39C66" w14:textId="77777777" w:rsidR="000F0341" w:rsidRPr="00BF62A1" w:rsidRDefault="000F0341" w:rsidP="00E40B0D">
            <w:pPr>
              <w:spacing w:line="240" w:lineRule="auto"/>
              <w:jc w:val="left"/>
              <w:rPr>
                <w:color w:val="000000"/>
                <w:sz w:val="14"/>
                <w:szCs w:val="14"/>
              </w:rPr>
            </w:pPr>
          </w:p>
        </w:tc>
        <w:tc>
          <w:tcPr>
            <w:tcW w:w="3119" w:type="dxa"/>
            <w:vMerge/>
          </w:tcPr>
          <w:p w14:paraId="5FB3D4BD" w14:textId="77777777" w:rsidR="000F0341" w:rsidRPr="00BF62A1" w:rsidRDefault="000F0341" w:rsidP="00E40B0D">
            <w:pPr>
              <w:spacing w:line="240" w:lineRule="auto"/>
              <w:jc w:val="left"/>
              <w:rPr>
                <w:color w:val="000000"/>
                <w:sz w:val="14"/>
                <w:szCs w:val="14"/>
              </w:rPr>
            </w:pPr>
          </w:p>
        </w:tc>
        <w:tc>
          <w:tcPr>
            <w:tcW w:w="3234" w:type="dxa"/>
            <w:vMerge/>
          </w:tcPr>
          <w:p w14:paraId="10F52EC7" w14:textId="77777777" w:rsidR="000F0341" w:rsidRPr="00BF62A1" w:rsidRDefault="000F0341" w:rsidP="00E40B0D">
            <w:pPr>
              <w:spacing w:line="240" w:lineRule="auto"/>
              <w:jc w:val="left"/>
              <w:rPr>
                <w:color w:val="000000"/>
                <w:sz w:val="14"/>
                <w:szCs w:val="14"/>
              </w:rPr>
            </w:pPr>
          </w:p>
        </w:tc>
      </w:tr>
      <w:tr w:rsidR="000F0341" w:rsidRPr="00BF62A1" w14:paraId="2BF276F2" w14:textId="77777777" w:rsidTr="00E40B0D">
        <w:trPr>
          <w:trHeight w:val="64"/>
        </w:trPr>
        <w:tc>
          <w:tcPr>
            <w:tcW w:w="1422" w:type="dxa"/>
            <w:vMerge/>
          </w:tcPr>
          <w:p w14:paraId="72529DE3" w14:textId="77777777" w:rsidR="000F0341" w:rsidRPr="00BF62A1" w:rsidRDefault="000F0341" w:rsidP="00E40B0D">
            <w:pPr>
              <w:spacing w:line="240" w:lineRule="auto"/>
              <w:jc w:val="left"/>
              <w:rPr>
                <w:color w:val="000000"/>
                <w:sz w:val="14"/>
                <w:szCs w:val="14"/>
              </w:rPr>
            </w:pPr>
          </w:p>
        </w:tc>
        <w:tc>
          <w:tcPr>
            <w:tcW w:w="2973" w:type="dxa"/>
          </w:tcPr>
          <w:p w14:paraId="667FF96F" w14:textId="77777777" w:rsidR="000F0341" w:rsidRPr="00493118" w:rsidRDefault="000F0341" w:rsidP="00E40B0D">
            <w:pPr>
              <w:spacing w:line="240" w:lineRule="auto"/>
              <w:jc w:val="left"/>
              <w:rPr>
                <w:b/>
                <w:bCs/>
                <w:color w:val="000000"/>
                <w:sz w:val="14"/>
                <w:szCs w:val="14"/>
              </w:rPr>
            </w:pPr>
            <w:r w:rsidRPr="00493118">
              <w:rPr>
                <w:b/>
                <w:bCs/>
                <w:color w:val="000000"/>
                <w:sz w:val="14"/>
                <w:szCs w:val="14"/>
              </w:rPr>
              <w:t>Technically major MILS:</w:t>
            </w:r>
          </w:p>
        </w:tc>
        <w:tc>
          <w:tcPr>
            <w:tcW w:w="1843" w:type="dxa"/>
          </w:tcPr>
          <w:p w14:paraId="56910DC9" w14:textId="77777777" w:rsidR="000F0341" w:rsidRPr="00BF62A1" w:rsidRDefault="000F0341" w:rsidP="00E40B0D">
            <w:pPr>
              <w:spacing w:line="240" w:lineRule="auto"/>
              <w:jc w:val="left"/>
              <w:rPr>
                <w:color w:val="000000"/>
                <w:sz w:val="14"/>
                <w:szCs w:val="14"/>
              </w:rPr>
            </w:pPr>
            <w:r w:rsidRPr="00BF62A1">
              <w:rPr>
                <w:color w:val="000000"/>
                <w:sz w:val="14"/>
                <w:szCs w:val="14"/>
              </w:rPr>
              <w:t>Technically major MILS</w:t>
            </w:r>
          </w:p>
        </w:tc>
        <w:tc>
          <w:tcPr>
            <w:tcW w:w="1984" w:type="dxa"/>
            <w:vMerge/>
          </w:tcPr>
          <w:p w14:paraId="15CAB888" w14:textId="77777777" w:rsidR="000F0341" w:rsidRPr="00BF62A1" w:rsidRDefault="000F0341" w:rsidP="00E40B0D">
            <w:pPr>
              <w:spacing w:line="240" w:lineRule="auto"/>
              <w:jc w:val="left"/>
              <w:rPr>
                <w:color w:val="000000"/>
                <w:sz w:val="14"/>
                <w:szCs w:val="14"/>
              </w:rPr>
            </w:pPr>
          </w:p>
        </w:tc>
        <w:tc>
          <w:tcPr>
            <w:tcW w:w="3119" w:type="dxa"/>
            <w:vMerge/>
          </w:tcPr>
          <w:p w14:paraId="1D15EB16" w14:textId="77777777" w:rsidR="000F0341" w:rsidRPr="00BF62A1" w:rsidRDefault="000F0341" w:rsidP="00E40B0D">
            <w:pPr>
              <w:spacing w:line="240" w:lineRule="auto"/>
              <w:jc w:val="left"/>
              <w:rPr>
                <w:color w:val="000000"/>
                <w:sz w:val="14"/>
                <w:szCs w:val="14"/>
              </w:rPr>
            </w:pPr>
          </w:p>
        </w:tc>
        <w:tc>
          <w:tcPr>
            <w:tcW w:w="3234" w:type="dxa"/>
            <w:vMerge/>
          </w:tcPr>
          <w:p w14:paraId="6CE86EE0" w14:textId="77777777" w:rsidR="000F0341" w:rsidRPr="00BF62A1" w:rsidRDefault="000F0341" w:rsidP="00E40B0D">
            <w:pPr>
              <w:spacing w:line="240" w:lineRule="auto"/>
              <w:jc w:val="left"/>
              <w:rPr>
                <w:color w:val="000000"/>
                <w:sz w:val="14"/>
                <w:szCs w:val="14"/>
              </w:rPr>
            </w:pPr>
          </w:p>
        </w:tc>
      </w:tr>
      <w:tr w:rsidR="000F0341" w:rsidRPr="00BF62A1" w14:paraId="0AB8776D" w14:textId="77777777" w:rsidTr="00E40B0D">
        <w:trPr>
          <w:trHeight w:val="93"/>
        </w:trPr>
        <w:tc>
          <w:tcPr>
            <w:tcW w:w="1422" w:type="dxa"/>
            <w:vMerge/>
          </w:tcPr>
          <w:p w14:paraId="0FC9E73A" w14:textId="77777777" w:rsidR="000F0341" w:rsidRPr="00BF62A1" w:rsidRDefault="000F0341" w:rsidP="00E40B0D">
            <w:pPr>
              <w:spacing w:line="240" w:lineRule="auto"/>
              <w:jc w:val="left"/>
              <w:rPr>
                <w:color w:val="000000"/>
                <w:sz w:val="14"/>
                <w:szCs w:val="14"/>
              </w:rPr>
            </w:pPr>
          </w:p>
        </w:tc>
        <w:tc>
          <w:tcPr>
            <w:tcW w:w="2973" w:type="dxa"/>
          </w:tcPr>
          <w:p w14:paraId="4FB85038" w14:textId="77777777" w:rsidR="000F0341" w:rsidRPr="00BF62A1" w:rsidRDefault="000F0341" w:rsidP="00E40B0D">
            <w:pPr>
              <w:spacing w:line="240" w:lineRule="auto"/>
              <w:jc w:val="left"/>
              <w:rPr>
                <w:color w:val="000000"/>
                <w:sz w:val="14"/>
                <w:szCs w:val="14"/>
              </w:rPr>
            </w:pPr>
            <w:r w:rsidRPr="00BF62A1">
              <w:rPr>
                <w:color w:val="000000"/>
                <w:sz w:val="14"/>
                <w:szCs w:val="14"/>
              </w:rPr>
              <w:t>Wedge/non-anatomical resection</w:t>
            </w:r>
          </w:p>
        </w:tc>
        <w:tc>
          <w:tcPr>
            <w:tcW w:w="1843" w:type="dxa"/>
          </w:tcPr>
          <w:p w14:paraId="6CEA5E5D" w14:textId="77777777" w:rsidR="000F0341" w:rsidRPr="00BF62A1" w:rsidRDefault="000F0341" w:rsidP="00E40B0D">
            <w:pPr>
              <w:spacing w:line="240" w:lineRule="auto"/>
              <w:jc w:val="left"/>
              <w:rPr>
                <w:color w:val="000000"/>
                <w:sz w:val="14"/>
                <w:szCs w:val="14"/>
              </w:rPr>
            </w:pPr>
            <w:r w:rsidRPr="00BF62A1">
              <w:rPr>
                <w:color w:val="000000"/>
                <w:sz w:val="14"/>
                <w:szCs w:val="14"/>
              </w:rPr>
              <w:t>141 (15.4)</w:t>
            </w:r>
            <w:r w:rsidRPr="00BF62A1">
              <w:rPr>
                <w:color w:val="000000"/>
                <w:sz w:val="14"/>
                <w:szCs w:val="14"/>
                <w:vertAlign w:val="superscript"/>
              </w:rPr>
              <w:t>a</w:t>
            </w:r>
          </w:p>
        </w:tc>
        <w:tc>
          <w:tcPr>
            <w:tcW w:w="1984" w:type="dxa"/>
            <w:vMerge/>
          </w:tcPr>
          <w:p w14:paraId="763316CF" w14:textId="77777777" w:rsidR="000F0341" w:rsidRPr="00BF62A1" w:rsidRDefault="000F0341" w:rsidP="00E40B0D">
            <w:pPr>
              <w:spacing w:line="240" w:lineRule="auto"/>
              <w:jc w:val="left"/>
              <w:rPr>
                <w:color w:val="000000"/>
                <w:sz w:val="14"/>
                <w:szCs w:val="14"/>
              </w:rPr>
            </w:pPr>
          </w:p>
        </w:tc>
        <w:tc>
          <w:tcPr>
            <w:tcW w:w="3119" w:type="dxa"/>
            <w:vMerge/>
          </w:tcPr>
          <w:p w14:paraId="20FEFB50" w14:textId="77777777" w:rsidR="000F0341" w:rsidRPr="00BF62A1" w:rsidRDefault="000F0341" w:rsidP="00E40B0D">
            <w:pPr>
              <w:spacing w:line="240" w:lineRule="auto"/>
              <w:jc w:val="left"/>
              <w:rPr>
                <w:color w:val="000000"/>
                <w:sz w:val="14"/>
                <w:szCs w:val="14"/>
              </w:rPr>
            </w:pPr>
          </w:p>
        </w:tc>
        <w:tc>
          <w:tcPr>
            <w:tcW w:w="3234" w:type="dxa"/>
            <w:vMerge/>
          </w:tcPr>
          <w:p w14:paraId="70FBE621" w14:textId="77777777" w:rsidR="000F0341" w:rsidRPr="00BF62A1" w:rsidRDefault="000F0341" w:rsidP="00E40B0D">
            <w:pPr>
              <w:spacing w:line="240" w:lineRule="auto"/>
              <w:jc w:val="left"/>
              <w:rPr>
                <w:color w:val="000000"/>
                <w:sz w:val="14"/>
                <w:szCs w:val="14"/>
              </w:rPr>
            </w:pPr>
          </w:p>
        </w:tc>
      </w:tr>
      <w:tr w:rsidR="000F0341" w:rsidRPr="00BF62A1" w14:paraId="442148BB" w14:textId="77777777" w:rsidTr="00E40B0D">
        <w:trPr>
          <w:trHeight w:val="64"/>
        </w:trPr>
        <w:tc>
          <w:tcPr>
            <w:tcW w:w="1422" w:type="dxa"/>
            <w:vMerge/>
          </w:tcPr>
          <w:p w14:paraId="61CA58C0" w14:textId="77777777" w:rsidR="000F0341" w:rsidRPr="00BF62A1" w:rsidRDefault="000F0341" w:rsidP="00E40B0D">
            <w:pPr>
              <w:spacing w:line="240" w:lineRule="auto"/>
              <w:jc w:val="left"/>
              <w:rPr>
                <w:color w:val="000000"/>
                <w:sz w:val="14"/>
                <w:szCs w:val="14"/>
              </w:rPr>
            </w:pPr>
          </w:p>
        </w:tc>
        <w:tc>
          <w:tcPr>
            <w:tcW w:w="2973" w:type="dxa"/>
          </w:tcPr>
          <w:p w14:paraId="2ABBBAE2" w14:textId="77777777" w:rsidR="000F0341" w:rsidRPr="00BF62A1" w:rsidRDefault="000F0341" w:rsidP="00E40B0D">
            <w:pPr>
              <w:spacing w:line="240" w:lineRule="auto"/>
              <w:jc w:val="left"/>
              <w:rPr>
                <w:color w:val="000000"/>
                <w:sz w:val="14"/>
                <w:szCs w:val="14"/>
              </w:rPr>
            </w:pPr>
            <w:r w:rsidRPr="00BF62A1">
              <w:rPr>
                <w:color w:val="000000"/>
                <w:sz w:val="14"/>
                <w:szCs w:val="14"/>
              </w:rPr>
              <w:t>Segmentectomy</w:t>
            </w:r>
          </w:p>
        </w:tc>
        <w:tc>
          <w:tcPr>
            <w:tcW w:w="1843" w:type="dxa"/>
          </w:tcPr>
          <w:p w14:paraId="7EFD309C" w14:textId="77777777" w:rsidR="000F0341" w:rsidRPr="00BF62A1" w:rsidRDefault="000F0341" w:rsidP="00E40B0D">
            <w:pPr>
              <w:spacing w:line="240" w:lineRule="auto"/>
              <w:jc w:val="left"/>
              <w:rPr>
                <w:color w:val="000000"/>
                <w:sz w:val="14"/>
                <w:szCs w:val="14"/>
              </w:rPr>
            </w:pPr>
            <w:r w:rsidRPr="00BF62A1">
              <w:rPr>
                <w:color w:val="000000"/>
                <w:sz w:val="14"/>
                <w:szCs w:val="14"/>
              </w:rPr>
              <w:t>21 (2.3)</w:t>
            </w:r>
            <w:r w:rsidRPr="00BF62A1">
              <w:rPr>
                <w:color w:val="000000"/>
                <w:sz w:val="14"/>
                <w:szCs w:val="14"/>
                <w:vertAlign w:val="superscript"/>
              </w:rPr>
              <w:t>a</w:t>
            </w:r>
          </w:p>
        </w:tc>
        <w:tc>
          <w:tcPr>
            <w:tcW w:w="1984" w:type="dxa"/>
            <w:vMerge/>
          </w:tcPr>
          <w:p w14:paraId="523EDFEF" w14:textId="77777777" w:rsidR="000F0341" w:rsidRPr="00BF62A1" w:rsidRDefault="000F0341" w:rsidP="00E40B0D">
            <w:pPr>
              <w:spacing w:line="240" w:lineRule="auto"/>
              <w:jc w:val="left"/>
              <w:rPr>
                <w:color w:val="000000"/>
                <w:sz w:val="14"/>
                <w:szCs w:val="14"/>
              </w:rPr>
            </w:pPr>
          </w:p>
        </w:tc>
        <w:tc>
          <w:tcPr>
            <w:tcW w:w="3119" w:type="dxa"/>
            <w:vMerge/>
          </w:tcPr>
          <w:p w14:paraId="5121B90D" w14:textId="77777777" w:rsidR="000F0341" w:rsidRPr="00BF62A1" w:rsidRDefault="000F0341" w:rsidP="00E40B0D">
            <w:pPr>
              <w:spacing w:line="240" w:lineRule="auto"/>
              <w:jc w:val="left"/>
              <w:rPr>
                <w:color w:val="000000"/>
                <w:sz w:val="14"/>
                <w:szCs w:val="14"/>
              </w:rPr>
            </w:pPr>
          </w:p>
        </w:tc>
        <w:tc>
          <w:tcPr>
            <w:tcW w:w="3234" w:type="dxa"/>
            <w:vMerge/>
          </w:tcPr>
          <w:p w14:paraId="15C510C6" w14:textId="77777777" w:rsidR="000F0341" w:rsidRPr="00BF62A1" w:rsidRDefault="000F0341" w:rsidP="00E40B0D">
            <w:pPr>
              <w:spacing w:line="240" w:lineRule="auto"/>
              <w:jc w:val="left"/>
              <w:rPr>
                <w:color w:val="000000"/>
                <w:sz w:val="14"/>
                <w:szCs w:val="14"/>
              </w:rPr>
            </w:pPr>
          </w:p>
        </w:tc>
      </w:tr>
      <w:tr w:rsidR="000F0341" w:rsidRPr="00BF62A1" w14:paraId="24FC78F3" w14:textId="77777777" w:rsidTr="00E40B0D">
        <w:trPr>
          <w:trHeight w:val="64"/>
        </w:trPr>
        <w:tc>
          <w:tcPr>
            <w:tcW w:w="1422" w:type="dxa"/>
            <w:vMerge/>
          </w:tcPr>
          <w:p w14:paraId="4BF00EBE" w14:textId="77777777" w:rsidR="000F0341" w:rsidRPr="00BF62A1" w:rsidRDefault="000F0341" w:rsidP="00E40B0D">
            <w:pPr>
              <w:spacing w:line="240" w:lineRule="auto"/>
              <w:jc w:val="left"/>
              <w:rPr>
                <w:color w:val="000000"/>
                <w:sz w:val="14"/>
                <w:szCs w:val="14"/>
              </w:rPr>
            </w:pPr>
          </w:p>
        </w:tc>
        <w:tc>
          <w:tcPr>
            <w:tcW w:w="2973" w:type="dxa"/>
          </w:tcPr>
          <w:p w14:paraId="53725C93" w14:textId="77777777" w:rsidR="000F0341" w:rsidRPr="00BF62A1" w:rsidRDefault="000F0341" w:rsidP="00E40B0D">
            <w:pPr>
              <w:spacing w:line="240" w:lineRule="auto"/>
              <w:jc w:val="left"/>
              <w:rPr>
                <w:color w:val="000000"/>
                <w:sz w:val="14"/>
                <w:szCs w:val="14"/>
              </w:rPr>
            </w:pPr>
            <w:r w:rsidRPr="00BF62A1">
              <w:rPr>
                <w:color w:val="000000"/>
                <w:sz w:val="14"/>
                <w:szCs w:val="14"/>
              </w:rPr>
              <w:t>Bisegmentectomy</w:t>
            </w:r>
          </w:p>
        </w:tc>
        <w:tc>
          <w:tcPr>
            <w:tcW w:w="1843" w:type="dxa"/>
          </w:tcPr>
          <w:p w14:paraId="65564D2A" w14:textId="77777777" w:rsidR="000F0341" w:rsidRPr="00BF62A1" w:rsidRDefault="000F0341" w:rsidP="00E40B0D">
            <w:pPr>
              <w:spacing w:line="240" w:lineRule="auto"/>
              <w:jc w:val="left"/>
              <w:rPr>
                <w:color w:val="000000"/>
                <w:sz w:val="14"/>
                <w:szCs w:val="14"/>
              </w:rPr>
            </w:pPr>
            <w:r w:rsidRPr="00BF62A1">
              <w:rPr>
                <w:color w:val="000000"/>
                <w:sz w:val="14"/>
                <w:szCs w:val="14"/>
              </w:rPr>
              <w:t>34 (3.8)</w:t>
            </w:r>
            <w:r w:rsidRPr="00BF62A1">
              <w:rPr>
                <w:color w:val="000000"/>
                <w:sz w:val="14"/>
                <w:szCs w:val="14"/>
                <w:vertAlign w:val="superscript"/>
              </w:rPr>
              <w:t>a</w:t>
            </w:r>
          </w:p>
        </w:tc>
        <w:tc>
          <w:tcPr>
            <w:tcW w:w="1984" w:type="dxa"/>
            <w:vMerge/>
          </w:tcPr>
          <w:p w14:paraId="3ADB3553" w14:textId="77777777" w:rsidR="000F0341" w:rsidRPr="00BF62A1" w:rsidRDefault="000F0341" w:rsidP="00E40B0D">
            <w:pPr>
              <w:spacing w:line="240" w:lineRule="auto"/>
              <w:jc w:val="left"/>
              <w:rPr>
                <w:color w:val="000000"/>
                <w:sz w:val="14"/>
                <w:szCs w:val="14"/>
              </w:rPr>
            </w:pPr>
          </w:p>
        </w:tc>
        <w:tc>
          <w:tcPr>
            <w:tcW w:w="3119" w:type="dxa"/>
            <w:vMerge/>
          </w:tcPr>
          <w:p w14:paraId="06998EAB" w14:textId="77777777" w:rsidR="000F0341" w:rsidRPr="00BF62A1" w:rsidRDefault="000F0341" w:rsidP="00E40B0D">
            <w:pPr>
              <w:spacing w:line="240" w:lineRule="auto"/>
              <w:jc w:val="left"/>
              <w:rPr>
                <w:color w:val="000000"/>
                <w:sz w:val="14"/>
                <w:szCs w:val="14"/>
              </w:rPr>
            </w:pPr>
          </w:p>
        </w:tc>
        <w:tc>
          <w:tcPr>
            <w:tcW w:w="3234" w:type="dxa"/>
            <w:vMerge/>
          </w:tcPr>
          <w:p w14:paraId="4C02DD9C" w14:textId="77777777" w:rsidR="000F0341" w:rsidRPr="00BF62A1" w:rsidRDefault="000F0341" w:rsidP="00E40B0D">
            <w:pPr>
              <w:spacing w:line="240" w:lineRule="auto"/>
              <w:jc w:val="left"/>
              <w:rPr>
                <w:color w:val="000000"/>
                <w:sz w:val="14"/>
                <w:szCs w:val="14"/>
              </w:rPr>
            </w:pPr>
          </w:p>
        </w:tc>
      </w:tr>
      <w:tr w:rsidR="000F0341" w:rsidRPr="00BF62A1" w14:paraId="341A25FF" w14:textId="77777777" w:rsidTr="00E40B0D">
        <w:trPr>
          <w:trHeight w:val="64"/>
        </w:trPr>
        <w:tc>
          <w:tcPr>
            <w:tcW w:w="1422" w:type="dxa"/>
            <w:vMerge/>
          </w:tcPr>
          <w:p w14:paraId="04B8BC80" w14:textId="77777777" w:rsidR="000F0341" w:rsidRPr="00BF62A1" w:rsidRDefault="000F0341" w:rsidP="00E40B0D">
            <w:pPr>
              <w:spacing w:line="240" w:lineRule="auto"/>
              <w:jc w:val="left"/>
              <w:rPr>
                <w:color w:val="000000"/>
                <w:sz w:val="14"/>
                <w:szCs w:val="14"/>
              </w:rPr>
            </w:pPr>
          </w:p>
        </w:tc>
        <w:tc>
          <w:tcPr>
            <w:tcW w:w="2973" w:type="dxa"/>
          </w:tcPr>
          <w:p w14:paraId="3E243325" w14:textId="77777777" w:rsidR="000F0341" w:rsidRPr="00493118" w:rsidRDefault="000F0341" w:rsidP="00E40B0D">
            <w:pPr>
              <w:spacing w:line="240" w:lineRule="auto"/>
              <w:jc w:val="left"/>
              <w:rPr>
                <w:b/>
                <w:bCs/>
                <w:color w:val="000000"/>
                <w:sz w:val="14"/>
                <w:szCs w:val="14"/>
              </w:rPr>
            </w:pPr>
            <w:r w:rsidRPr="00493118">
              <w:rPr>
                <w:b/>
                <w:bCs/>
                <w:color w:val="000000"/>
                <w:sz w:val="14"/>
                <w:szCs w:val="14"/>
              </w:rPr>
              <w:t>Anatomically major MILS</w:t>
            </w:r>
            <w:r>
              <w:rPr>
                <w:b/>
                <w:bCs/>
                <w:color w:val="000000"/>
                <w:sz w:val="14"/>
                <w:szCs w:val="14"/>
              </w:rPr>
              <w:t>:</w:t>
            </w:r>
          </w:p>
        </w:tc>
        <w:tc>
          <w:tcPr>
            <w:tcW w:w="1843" w:type="dxa"/>
          </w:tcPr>
          <w:p w14:paraId="0DCAF892" w14:textId="77777777" w:rsidR="000F0341" w:rsidRPr="00BF62A1" w:rsidRDefault="000F0341" w:rsidP="00E40B0D">
            <w:pPr>
              <w:spacing w:line="240" w:lineRule="auto"/>
              <w:jc w:val="left"/>
              <w:rPr>
                <w:color w:val="000000"/>
                <w:sz w:val="14"/>
                <w:szCs w:val="14"/>
              </w:rPr>
            </w:pPr>
            <w:r w:rsidRPr="00BF62A1">
              <w:rPr>
                <w:color w:val="000000"/>
                <w:sz w:val="14"/>
                <w:szCs w:val="14"/>
              </w:rPr>
              <w:t>Anatomically major MILS</w:t>
            </w:r>
          </w:p>
        </w:tc>
        <w:tc>
          <w:tcPr>
            <w:tcW w:w="1984" w:type="dxa"/>
            <w:vMerge/>
          </w:tcPr>
          <w:p w14:paraId="3EAEC29E" w14:textId="77777777" w:rsidR="000F0341" w:rsidRPr="00BF62A1" w:rsidRDefault="000F0341" w:rsidP="00E40B0D">
            <w:pPr>
              <w:spacing w:line="240" w:lineRule="auto"/>
              <w:jc w:val="left"/>
              <w:rPr>
                <w:color w:val="000000"/>
                <w:sz w:val="14"/>
                <w:szCs w:val="14"/>
              </w:rPr>
            </w:pPr>
          </w:p>
        </w:tc>
        <w:tc>
          <w:tcPr>
            <w:tcW w:w="3119" w:type="dxa"/>
            <w:vMerge/>
          </w:tcPr>
          <w:p w14:paraId="516D0F79" w14:textId="77777777" w:rsidR="000F0341" w:rsidRPr="00BF62A1" w:rsidRDefault="000F0341" w:rsidP="00E40B0D">
            <w:pPr>
              <w:spacing w:line="240" w:lineRule="auto"/>
              <w:jc w:val="left"/>
              <w:rPr>
                <w:color w:val="000000"/>
                <w:sz w:val="14"/>
                <w:szCs w:val="14"/>
              </w:rPr>
            </w:pPr>
          </w:p>
        </w:tc>
        <w:tc>
          <w:tcPr>
            <w:tcW w:w="3234" w:type="dxa"/>
            <w:vMerge/>
          </w:tcPr>
          <w:p w14:paraId="5FF77A42" w14:textId="77777777" w:rsidR="000F0341" w:rsidRPr="00BF62A1" w:rsidRDefault="000F0341" w:rsidP="00E40B0D">
            <w:pPr>
              <w:spacing w:line="240" w:lineRule="auto"/>
              <w:jc w:val="left"/>
              <w:rPr>
                <w:color w:val="000000"/>
                <w:sz w:val="14"/>
                <w:szCs w:val="14"/>
              </w:rPr>
            </w:pPr>
          </w:p>
        </w:tc>
      </w:tr>
      <w:tr w:rsidR="000F0341" w:rsidRPr="00BF62A1" w14:paraId="5694E9CA" w14:textId="77777777" w:rsidTr="00E40B0D">
        <w:trPr>
          <w:trHeight w:val="64"/>
        </w:trPr>
        <w:tc>
          <w:tcPr>
            <w:tcW w:w="1422" w:type="dxa"/>
            <w:vMerge/>
          </w:tcPr>
          <w:p w14:paraId="6A307051" w14:textId="77777777" w:rsidR="000F0341" w:rsidRPr="00BF62A1" w:rsidRDefault="000F0341" w:rsidP="00E40B0D">
            <w:pPr>
              <w:spacing w:line="240" w:lineRule="auto"/>
              <w:jc w:val="left"/>
              <w:rPr>
                <w:color w:val="000000"/>
                <w:sz w:val="14"/>
                <w:szCs w:val="14"/>
              </w:rPr>
            </w:pPr>
          </w:p>
        </w:tc>
        <w:tc>
          <w:tcPr>
            <w:tcW w:w="2973" w:type="dxa"/>
          </w:tcPr>
          <w:p w14:paraId="5F51B49B" w14:textId="77777777" w:rsidR="000F0341" w:rsidRPr="00BF62A1" w:rsidRDefault="000F0341" w:rsidP="00E40B0D">
            <w:pPr>
              <w:spacing w:line="240" w:lineRule="auto"/>
              <w:jc w:val="left"/>
              <w:rPr>
                <w:color w:val="000000"/>
                <w:sz w:val="14"/>
                <w:szCs w:val="14"/>
              </w:rPr>
            </w:pPr>
            <w:r w:rsidRPr="00BF62A1">
              <w:rPr>
                <w:color w:val="000000"/>
                <w:sz w:val="14"/>
                <w:szCs w:val="14"/>
              </w:rPr>
              <w:t>Trisegmentectomy</w:t>
            </w:r>
          </w:p>
        </w:tc>
        <w:tc>
          <w:tcPr>
            <w:tcW w:w="1843" w:type="dxa"/>
          </w:tcPr>
          <w:p w14:paraId="5C8A8EB3" w14:textId="77777777" w:rsidR="000F0341" w:rsidRPr="00BF62A1" w:rsidRDefault="000F0341" w:rsidP="00E40B0D">
            <w:pPr>
              <w:spacing w:line="240" w:lineRule="auto"/>
              <w:jc w:val="left"/>
              <w:rPr>
                <w:color w:val="000000"/>
                <w:sz w:val="14"/>
                <w:szCs w:val="14"/>
              </w:rPr>
            </w:pPr>
            <w:r w:rsidRPr="00BF62A1">
              <w:rPr>
                <w:color w:val="000000"/>
                <w:sz w:val="14"/>
                <w:szCs w:val="14"/>
              </w:rPr>
              <w:t>11 (1.2)</w:t>
            </w:r>
            <w:r w:rsidRPr="00BF62A1">
              <w:rPr>
                <w:color w:val="000000"/>
                <w:sz w:val="14"/>
                <w:szCs w:val="14"/>
                <w:vertAlign w:val="superscript"/>
              </w:rPr>
              <w:t>a</w:t>
            </w:r>
          </w:p>
        </w:tc>
        <w:tc>
          <w:tcPr>
            <w:tcW w:w="1984" w:type="dxa"/>
            <w:vMerge/>
          </w:tcPr>
          <w:p w14:paraId="4A91548D" w14:textId="77777777" w:rsidR="000F0341" w:rsidRPr="00BF62A1" w:rsidRDefault="000F0341" w:rsidP="00E40B0D">
            <w:pPr>
              <w:spacing w:line="240" w:lineRule="auto"/>
              <w:jc w:val="left"/>
              <w:rPr>
                <w:color w:val="000000"/>
                <w:sz w:val="14"/>
                <w:szCs w:val="14"/>
              </w:rPr>
            </w:pPr>
          </w:p>
        </w:tc>
        <w:tc>
          <w:tcPr>
            <w:tcW w:w="3119" w:type="dxa"/>
            <w:vMerge/>
          </w:tcPr>
          <w:p w14:paraId="446571CD" w14:textId="77777777" w:rsidR="000F0341" w:rsidRPr="00BF62A1" w:rsidRDefault="000F0341" w:rsidP="00E40B0D">
            <w:pPr>
              <w:spacing w:line="240" w:lineRule="auto"/>
              <w:jc w:val="left"/>
              <w:rPr>
                <w:color w:val="000000"/>
                <w:sz w:val="14"/>
                <w:szCs w:val="14"/>
              </w:rPr>
            </w:pPr>
          </w:p>
        </w:tc>
        <w:tc>
          <w:tcPr>
            <w:tcW w:w="3234" w:type="dxa"/>
            <w:vMerge/>
          </w:tcPr>
          <w:p w14:paraId="02CB9161" w14:textId="77777777" w:rsidR="000F0341" w:rsidRPr="00BF62A1" w:rsidRDefault="000F0341" w:rsidP="00E40B0D">
            <w:pPr>
              <w:spacing w:line="240" w:lineRule="auto"/>
              <w:jc w:val="left"/>
              <w:rPr>
                <w:color w:val="000000"/>
                <w:sz w:val="14"/>
                <w:szCs w:val="14"/>
              </w:rPr>
            </w:pPr>
          </w:p>
        </w:tc>
      </w:tr>
      <w:tr w:rsidR="000F0341" w:rsidRPr="00BF62A1" w14:paraId="3078BBB2" w14:textId="77777777" w:rsidTr="00E40B0D">
        <w:trPr>
          <w:trHeight w:val="64"/>
        </w:trPr>
        <w:tc>
          <w:tcPr>
            <w:tcW w:w="1422" w:type="dxa"/>
            <w:vMerge/>
          </w:tcPr>
          <w:p w14:paraId="29D9C307" w14:textId="77777777" w:rsidR="000F0341" w:rsidRPr="00BF62A1" w:rsidRDefault="000F0341" w:rsidP="00E40B0D">
            <w:pPr>
              <w:spacing w:line="240" w:lineRule="auto"/>
              <w:jc w:val="left"/>
              <w:rPr>
                <w:color w:val="000000"/>
                <w:sz w:val="14"/>
                <w:szCs w:val="14"/>
              </w:rPr>
            </w:pPr>
          </w:p>
        </w:tc>
        <w:tc>
          <w:tcPr>
            <w:tcW w:w="2973" w:type="dxa"/>
          </w:tcPr>
          <w:p w14:paraId="221BA974" w14:textId="77777777" w:rsidR="000F0341" w:rsidRPr="00BF62A1" w:rsidRDefault="000F0341" w:rsidP="00E40B0D">
            <w:pPr>
              <w:spacing w:line="240" w:lineRule="auto"/>
              <w:jc w:val="left"/>
              <w:rPr>
                <w:color w:val="000000"/>
                <w:sz w:val="14"/>
                <w:szCs w:val="14"/>
              </w:rPr>
            </w:pPr>
            <w:r w:rsidRPr="00BF62A1">
              <w:rPr>
                <w:color w:val="000000"/>
                <w:sz w:val="14"/>
                <w:szCs w:val="14"/>
              </w:rPr>
              <w:t>Hemihepatectomy</w:t>
            </w:r>
          </w:p>
        </w:tc>
        <w:tc>
          <w:tcPr>
            <w:tcW w:w="1843" w:type="dxa"/>
          </w:tcPr>
          <w:p w14:paraId="1A408CAD" w14:textId="77777777" w:rsidR="000F0341" w:rsidRPr="00BF62A1" w:rsidRDefault="000F0341" w:rsidP="00E40B0D">
            <w:pPr>
              <w:spacing w:line="240" w:lineRule="auto"/>
              <w:jc w:val="left"/>
              <w:rPr>
                <w:color w:val="000000"/>
                <w:sz w:val="14"/>
                <w:szCs w:val="14"/>
              </w:rPr>
            </w:pPr>
            <w:r w:rsidRPr="00BF62A1">
              <w:rPr>
                <w:color w:val="000000"/>
                <w:sz w:val="14"/>
                <w:szCs w:val="14"/>
              </w:rPr>
              <w:t>47 (5.1)</w:t>
            </w:r>
            <w:r w:rsidRPr="00BF62A1">
              <w:rPr>
                <w:color w:val="000000"/>
                <w:sz w:val="14"/>
                <w:szCs w:val="14"/>
                <w:vertAlign w:val="superscript"/>
              </w:rPr>
              <w:t>a</w:t>
            </w:r>
          </w:p>
        </w:tc>
        <w:tc>
          <w:tcPr>
            <w:tcW w:w="1984" w:type="dxa"/>
            <w:vMerge/>
          </w:tcPr>
          <w:p w14:paraId="396191E7" w14:textId="77777777" w:rsidR="000F0341" w:rsidRPr="00BF62A1" w:rsidRDefault="000F0341" w:rsidP="00E40B0D">
            <w:pPr>
              <w:spacing w:line="240" w:lineRule="auto"/>
              <w:jc w:val="left"/>
              <w:rPr>
                <w:color w:val="000000"/>
                <w:sz w:val="14"/>
                <w:szCs w:val="14"/>
              </w:rPr>
            </w:pPr>
          </w:p>
        </w:tc>
        <w:tc>
          <w:tcPr>
            <w:tcW w:w="3119" w:type="dxa"/>
            <w:vMerge/>
          </w:tcPr>
          <w:p w14:paraId="6F272893" w14:textId="77777777" w:rsidR="000F0341" w:rsidRPr="00BF62A1" w:rsidRDefault="000F0341" w:rsidP="00E40B0D">
            <w:pPr>
              <w:spacing w:line="240" w:lineRule="auto"/>
              <w:jc w:val="left"/>
              <w:rPr>
                <w:color w:val="000000"/>
                <w:sz w:val="14"/>
                <w:szCs w:val="14"/>
              </w:rPr>
            </w:pPr>
          </w:p>
        </w:tc>
        <w:tc>
          <w:tcPr>
            <w:tcW w:w="3234" w:type="dxa"/>
            <w:vMerge/>
          </w:tcPr>
          <w:p w14:paraId="4C4C918D" w14:textId="77777777" w:rsidR="000F0341" w:rsidRPr="00BF62A1" w:rsidRDefault="000F0341" w:rsidP="00E40B0D">
            <w:pPr>
              <w:spacing w:line="240" w:lineRule="auto"/>
              <w:jc w:val="left"/>
              <w:rPr>
                <w:color w:val="000000"/>
                <w:sz w:val="14"/>
                <w:szCs w:val="14"/>
              </w:rPr>
            </w:pPr>
          </w:p>
        </w:tc>
      </w:tr>
      <w:tr w:rsidR="000F0341" w:rsidRPr="00BF62A1" w14:paraId="79BDE091" w14:textId="77777777" w:rsidTr="00E40B0D">
        <w:trPr>
          <w:trHeight w:val="64"/>
        </w:trPr>
        <w:tc>
          <w:tcPr>
            <w:tcW w:w="1422" w:type="dxa"/>
            <w:vMerge/>
            <w:tcBorders>
              <w:bottom w:val="single" w:sz="8" w:space="0" w:color="auto"/>
            </w:tcBorders>
          </w:tcPr>
          <w:p w14:paraId="22C55D9A"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08A4B0CB" w14:textId="77777777" w:rsidR="000F0341" w:rsidRPr="00BF62A1" w:rsidRDefault="000F0341" w:rsidP="00E40B0D">
            <w:pPr>
              <w:spacing w:line="240" w:lineRule="auto"/>
              <w:jc w:val="left"/>
              <w:rPr>
                <w:color w:val="000000"/>
                <w:sz w:val="14"/>
                <w:szCs w:val="14"/>
              </w:rPr>
            </w:pPr>
            <w:r w:rsidRPr="00BF62A1">
              <w:rPr>
                <w:color w:val="000000"/>
                <w:sz w:val="14"/>
                <w:szCs w:val="14"/>
              </w:rPr>
              <w:t>Other major hepatectomy</w:t>
            </w:r>
          </w:p>
        </w:tc>
        <w:tc>
          <w:tcPr>
            <w:tcW w:w="1843" w:type="dxa"/>
            <w:tcBorders>
              <w:bottom w:val="single" w:sz="8" w:space="0" w:color="auto"/>
            </w:tcBorders>
          </w:tcPr>
          <w:p w14:paraId="311F190A" w14:textId="77777777" w:rsidR="000F0341" w:rsidRPr="00BF62A1" w:rsidRDefault="000F0341" w:rsidP="00E40B0D">
            <w:pPr>
              <w:spacing w:line="240" w:lineRule="auto"/>
              <w:jc w:val="left"/>
              <w:rPr>
                <w:color w:val="000000"/>
                <w:sz w:val="14"/>
                <w:szCs w:val="14"/>
              </w:rPr>
            </w:pPr>
            <w:r w:rsidRPr="00BF62A1">
              <w:rPr>
                <w:color w:val="000000"/>
                <w:sz w:val="14"/>
                <w:szCs w:val="14"/>
              </w:rPr>
              <w:t>5 (0.5)</w:t>
            </w:r>
            <w:r w:rsidRPr="00BF62A1">
              <w:rPr>
                <w:color w:val="000000"/>
                <w:sz w:val="14"/>
                <w:szCs w:val="14"/>
                <w:vertAlign w:val="superscript"/>
              </w:rPr>
              <w:t>a</w:t>
            </w:r>
          </w:p>
        </w:tc>
        <w:tc>
          <w:tcPr>
            <w:tcW w:w="1984" w:type="dxa"/>
            <w:vMerge/>
            <w:tcBorders>
              <w:bottom w:val="single" w:sz="8" w:space="0" w:color="auto"/>
            </w:tcBorders>
          </w:tcPr>
          <w:p w14:paraId="11105E71"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3C03C54E"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77B51A46" w14:textId="77777777" w:rsidR="000F0341" w:rsidRPr="00BF62A1" w:rsidRDefault="000F0341" w:rsidP="00E40B0D">
            <w:pPr>
              <w:spacing w:line="240" w:lineRule="auto"/>
              <w:jc w:val="left"/>
              <w:rPr>
                <w:color w:val="000000"/>
                <w:sz w:val="14"/>
                <w:szCs w:val="14"/>
              </w:rPr>
            </w:pPr>
          </w:p>
        </w:tc>
      </w:tr>
      <w:tr w:rsidR="000F0341" w:rsidRPr="00BF62A1" w14:paraId="73FF3B41" w14:textId="77777777" w:rsidTr="00E40B0D">
        <w:trPr>
          <w:trHeight w:val="64"/>
        </w:trPr>
        <w:tc>
          <w:tcPr>
            <w:tcW w:w="1422" w:type="dxa"/>
            <w:vMerge w:val="restart"/>
            <w:tcBorders>
              <w:top w:val="single" w:sz="8" w:space="0" w:color="auto"/>
            </w:tcBorders>
            <w:hideMark/>
          </w:tcPr>
          <w:p w14:paraId="045D25AC"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Viganò 2020 </w:t>
            </w:r>
            <w:r w:rsidRPr="00BF62A1">
              <w:rPr>
                <w:color w:val="000000"/>
                <w:sz w:val="14"/>
                <w:szCs w:val="14"/>
              </w:rPr>
              <w:fldChar w:fldCharType="begin"/>
            </w:r>
            <w:r>
              <w:rPr>
                <w:color w:val="000000"/>
                <w:sz w:val="14"/>
                <w:szCs w:val="14"/>
              </w:rPr>
              <w:instrText xml:space="preserve"> ADDIN ZOTERO_ITEM CSL_CITATION {"citationID":"vH4eEAfu","properties":{"formattedCitation":"[66]","plainCitation":"[66]","noteIndex":0},"citationItems":[{"id":14146,"uris":["http://zotero.org/groups/4983919/items/NNQAN5ZK"],"itemData":{"id":14146,"type":"article-journal","abstract":"BACKGROUND: Surgical outcomes may be associated with hospital volume and the influence of volume on minimally invasive liver surgery (MILS) is not known. METHODS: Patients entered into the prospective registry of the Italian Group of MILS from 2014 to 2018 were considered. Only centres with an accrual period of at least 12 months and stable MILS activity during the enrolment period were included. Case volume was defined by the mean number of minimally invasive liver resections performed per month (MILS/month). RESULTS: A total of 2225 MILS operations were undertaken by 46 centres; nine centres performed more than two MILS/month (1376 patients) and 37 centres carried out two or fewer MILS/month (849 patients). The proportion of resections of anterolateral segments decreased with case volume, whereas that of major hepatectomies increased. Left lateral sectionectomies and resections of anterolateral segments had similar outcome in the two groups. Resections of posterosuperior segments and major hepatectomies had higher overall and severe morbidity rates in centres performing two or fewer MILS/month than in those undertaking a larger number (posterosuperior segments resections: overall morbidity 30·4 versus 18·7 per cent respectively, and severe morbidity 9·9 versus 4·0 per cent; left hepatectomy: 46 versus 22 per cent, and 19 versus 5 per cent; right hepatectomy: 42 versus 34 per cent, and 25 versus 15 per cent). CONCLUSION: A volume-outcome association existed for minimally invasive hepatectomy. Complex and major resections may be best managed in high-volume centres.","container-title":"Br J Surg","DOI":"10.1002/bjs.11369","ISSN":"0007-1323","issue":"4","language":"eng","note":"publisher-place: Department of Hepatobiliary and General Surgery, Humanitas Clinical and Research Centre, Humanitas University, Rozzano, Italy. Department of Surgery, Ospedale San Raffaele, Milan, Italy. Department of Digestive and Hepatobiliary Surgery, Mauriziano Umberto I Hospital, Turin, Italy. Hepato-Biliary and Liver Transplantation Unit, University of Padua, Padua, Italy. Department of Surgery, Division of General and Hepatobiliary Surgery, G.B. Rossi University Hospital, University of Verona, Verona, Italy. Division of General Surgery and Liver Transplantation, San Camillo Hospital, Rome, Italy. Hepatobiliary Surgery Unit, A. Gemelli Hospital, Università Cattolica del Sacro Cuore, Rome, Italy. Department of Surgery, University Hospital of Parma, Parma, Italy. Department of Gastrointestinal Surgery and Liver Transplantation, Fondazione IRCCS Istituto Nazionale Tumori, University of Milan, Milan, Italy. Department of Surgery, Maggiore Hospital, Bologna, Italy. Department of General Surgery and Transplantation, ASST Grande Ospedale Metropolitano Niguarda, Milan, Italy. Department of Hepatopancreatobiliary Surgery, Pinetagrande Hospital, Castelvolturno, Italy.","page":"443-451","title":"Multicentre evaluation of case volume in minimally invasive hepatectomy","volume":"107","author":[{"family":"Viganò","given":"L."},{"family":"Cimino","given":"M."},{"family":"Aldrighetti","given":"L."},{"family":"Ferrero","given":"A."},{"family":"Cillo","given":"U."},{"family":"Guglielmi","given":"A."},{"family":"Ettorre","given":"G. M."},{"family":"Giuliante","given":"F."},{"family":"Dalla Valle","given":"R."},{"family":"Mazzaferro","given":"V."},{"family":"Jovine","given":"E."},{"family":"De Carlis","given":"L."},{"family":"Calise","given":"F."},{"family":"Torzilli","given":"G."}],"issued":{"date-parts":[["2020",3]]}}}],"schema":"https://github.com/citation-style-language/schema/raw/master/csl-citation.json"} </w:instrText>
            </w:r>
            <w:r w:rsidRPr="00BF62A1">
              <w:rPr>
                <w:color w:val="000000"/>
                <w:sz w:val="14"/>
                <w:szCs w:val="14"/>
              </w:rPr>
              <w:fldChar w:fldCharType="separate"/>
            </w:r>
            <w:r w:rsidRPr="004125CE">
              <w:rPr>
                <w:sz w:val="14"/>
              </w:rPr>
              <w:t>[66]</w:t>
            </w:r>
            <w:r w:rsidRPr="00BF62A1">
              <w:rPr>
                <w:color w:val="000000"/>
                <w:sz w:val="14"/>
                <w:szCs w:val="14"/>
              </w:rPr>
              <w:fldChar w:fldCharType="end"/>
            </w:r>
            <w:r w:rsidRPr="00BF62A1">
              <w:rPr>
                <w:color w:val="000000"/>
                <w:sz w:val="14"/>
                <w:szCs w:val="14"/>
              </w:rPr>
              <w:t xml:space="preserve"> </w:t>
            </w:r>
          </w:p>
        </w:tc>
        <w:tc>
          <w:tcPr>
            <w:tcW w:w="2973" w:type="dxa"/>
            <w:tcBorders>
              <w:top w:val="single" w:sz="8" w:space="0" w:color="auto"/>
            </w:tcBorders>
            <w:hideMark/>
          </w:tcPr>
          <w:p w14:paraId="047AE8DE" w14:textId="77777777" w:rsidR="000F0341" w:rsidRPr="00BF62A1" w:rsidRDefault="000F0341" w:rsidP="00E40B0D">
            <w:pPr>
              <w:spacing w:line="240" w:lineRule="auto"/>
              <w:jc w:val="left"/>
              <w:rPr>
                <w:color w:val="000000"/>
                <w:sz w:val="14"/>
                <w:szCs w:val="14"/>
              </w:rPr>
            </w:pPr>
            <w:r w:rsidRPr="00BF62A1">
              <w:rPr>
                <w:color w:val="000000"/>
                <w:sz w:val="14"/>
                <w:szCs w:val="14"/>
              </w:rPr>
              <w:t>Left lateral sectionectomy</w:t>
            </w:r>
            <w:r w:rsidRPr="00BF62A1">
              <w:rPr>
                <w:color w:val="000000"/>
                <w:sz w:val="14"/>
                <w:szCs w:val="14"/>
              </w:rPr>
              <w:br/>
            </w:r>
          </w:p>
        </w:tc>
        <w:tc>
          <w:tcPr>
            <w:tcW w:w="1843" w:type="dxa"/>
            <w:tcBorders>
              <w:top w:val="single" w:sz="8" w:space="0" w:color="auto"/>
            </w:tcBorders>
            <w:hideMark/>
          </w:tcPr>
          <w:p w14:paraId="7A4434A8" w14:textId="77777777" w:rsidR="000F0341" w:rsidRPr="00BF62A1" w:rsidRDefault="000F0341" w:rsidP="00E40B0D">
            <w:pPr>
              <w:spacing w:line="240" w:lineRule="auto"/>
              <w:jc w:val="left"/>
              <w:rPr>
                <w:color w:val="000000"/>
                <w:sz w:val="14"/>
                <w:szCs w:val="14"/>
              </w:rPr>
            </w:pPr>
            <w:r w:rsidRPr="00BF62A1">
              <w:rPr>
                <w:color w:val="000000"/>
                <w:sz w:val="14"/>
                <w:szCs w:val="14"/>
              </w:rPr>
              <w:t>280 (12.7)</w:t>
            </w:r>
            <w:r w:rsidRPr="00BF62A1">
              <w:rPr>
                <w:color w:val="000000"/>
                <w:sz w:val="14"/>
                <w:szCs w:val="14"/>
                <w:vertAlign w:val="superscript"/>
              </w:rPr>
              <w:t>a</w:t>
            </w:r>
            <w:r w:rsidRPr="00BF62A1">
              <w:rPr>
                <w:color w:val="000000"/>
                <w:sz w:val="14"/>
                <w:szCs w:val="14"/>
              </w:rPr>
              <w:br/>
            </w:r>
          </w:p>
        </w:tc>
        <w:tc>
          <w:tcPr>
            <w:tcW w:w="1984" w:type="dxa"/>
            <w:vMerge w:val="restart"/>
            <w:tcBorders>
              <w:top w:val="single" w:sz="8" w:space="0" w:color="auto"/>
            </w:tcBorders>
            <w:noWrap/>
            <w:hideMark/>
          </w:tcPr>
          <w:p w14:paraId="25A51116" w14:textId="77777777" w:rsidR="000F0341" w:rsidRPr="00BF62A1" w:rsidRDefault="000F0341" w:rsidP="00E40B0D">
            <w:pPr>
              <w:spacing w:line="240" w:lineRule="auto"/>
              <w:jc w:val="left"/>
              <w:rPr>
                <w:color w:val="000000"/>
                <w:sz w:val="14"/>
                <w:szCs w:val="14"/>
              </w:rPr>
            </w:pPr>
            <w:r w:rsidRPr="00BF62A1">
              <w:rPr>
                <w:color w:val="000000"/>
                <w:sz w:val="14"/>
                <w:szCs w:val="14"/>
              </w:rPr>
              <w:t>-</w:t>
            </w:r>
          </w:p>
        </w:tc>
        <w:tc>
          <w:tcPr>
            <w:tcW w:w="3119" w:type="dxa"/>
            <w:vMerge w:val="restart"/>
            <w:tcBorders>
              <w:top w:val="single" w:sz="8" w:space="0" w:color="auto"/>
            </w:tcBorders>
            <w:hideMark/>
          </w:tcPr>
          <w:p w14:paraId="488D3CCD" w14:textId="77777777" w:rsidR="000F0341" w:rsidRPr="00BF62A1" w:rsidRDefault="000F0341" w:rsidP="00E40B0D">
            <w:pPr>
              <w:spacing w:line="240" w:lineRule="auto"/>
              <w:jc w:val="left"/>
              <w:rPr>
                <w:color w:val="000000"/>
                <w:sz w:val="14"/>
                <w:szCs w:val="14"/>
              </w:rPr>
            </w:pPr>
            <w:r>
              <w:rPr>
                <w:color w:val="000000"/>
                <w:sz w:val="14"/>
                <w:szCs w:val="14"/>
              </w:rPr>
              <w:t>U</w:t>
            </w:r>
            <w:r w:rsidRPr="00BF62A1">
              <w:rPr>
                <w:color w:val="000000"/>
                <w:sz w:val="14"/>
                <w:szCs w:val="14"/>
              </w:rPr>
              <w:t>nclear procedure undertaken and/or postoperative outcome, laparoscopic pericystectomy; complex and major resections</w:t>
            </w:r>
          </w:p>
        </w:tc>
        <w:tc>
          <w:tcPr>
            <w:tcW w:w="3234" w:type="dxa"/>
            <w:vMerge w:val="restart"/>
            <w:tcBorders>
              <w:top w:val="single" w:sz="8" w:space="0" w:color="auto"/>
            </w:tcBorders>
            <w:hideMark/>
          </w:tcPr>
          <w:p w14:paraId="6D626D12" w14:textId="77777777" w:rsidR="000F0341" w:rsidRPr="00BF62A1" w:rsidRDefault="000F0341" w:rsidP="00E40B0D">
            <w:pPr>
              <w:spacing w:line="240" w:lineRule="auto"/>
              <w:jc w:val="left"/>
              <w:rPr>
                <w:color w:val="000000"/>
                <w:sz w:val="14"/>
                <w:szCs w:val="14"/>
              </w:rPr>
            </w:pPr>
            <w:r>
              <w:rPr>
                <w:color w:val="000000"/>
                <w:sz w:val="14"/>
                <w:szCs w:val="14"/>
              </w:rPr>
              <w:t>N</w:t>
            </w:r>
            <w:r w:rsidRPr="00BF62A1">
              <w:rPr>
                <w:color w:val="000000"/>
                <w:sz w:val="14"/>
                <w:szCs w:val="14"/>
              </w:rPr>
              <w:t>ot adjusted</w:t>
            </w:r>
          </w:p>
        </w:tc>
      </w:tr>
      <w:tr w:rsidR="000F0341" w:rsidRPr="00BF62A1" w14:paraId="238CB7BC" w14:textId="77777777" w:rsidTr="00E40B0D">
        <w:trPr>
          <w:trHeight w:val="129"/>
        </w:trPr>
        <w:tc>
          <w:tcPr>
            <w:tcW w:w="1422" w:type="dxa"/>
            <w:vMerge/>
          </w:tcPr>
          <w:p w14:paraId="21912639" w14:textId="77777777" w:rsidR="000F0341" w:rsidRPr="00BF62A1" w:rsidRDefault="000F0341" w:rsidP="00E40B0D">
            <w:pPr>
              <w:spacing w:line="240" w:lineRule="auto"/>
              <w:jc w:val="left"/>
              <w:rPr>
                <w:color w:val="000000"/>
                <w:sz w:val="14"/>
                <w:szCs w:val="14"/>
              </w:rPr>
            </w:pPr>
          </w:p>
        </w:tc>
        <w:tc>
          <w:tcPr>
            <w:tcW w:w="2973" w:type="dxa"/>
          </w:tcPr>
          <w:p w14:paraId="58742B0D" w14:textId="77777777" w:rsidR="000F0341" w:rsidRPr="00BF62A1" w:rsidRDefault="000F0341" w:rsidP="00E40B0D">
            <w:pPr>
              <w:spacing w:line="240" w:lineRule="auto"/>
              <w:jc w:val="left"/>
              <w:rPr>
                <w:color w:val="000000"/>
                <w:sz w:val="14"/>
                <w:szCs w:val="14"/>
              </w:rPr>
            </w:pPr>
            <w:r w:rsidRPr="00BF62A1">
              <w:rPr>
                <w:color w:val="000000"/>
                <w:sz w:val="14"/>
                <w:szCs w:val="14"/>
              </w:rPr>
              <w:t>Limited resections of anterolateral segments</w:t>
            </w:r>
          </w:p>
        </w:tc>
        <w:tc>
          <w:tcPr>
            <w:tcW w:w="1843" w:type="dxa"/>
          </w:tcPr>
          <w:p w14:paraId="7BA48376" w14:textId="77777777" w:rsidR="000F0341" w:rsidRPr="00BF62A1" w:rsidRDefault="000F0341" w:rsidP="00E40B0D">
            <w:pPr>
              <w:spacing w:line="240" w:lineRule="auto"/>
              <w:jc w:val="left"/>
              <w:rPr>
                <w:color w:val="000000"/>
                <w:sz w:val="14"/>
                <w:szCs w:val="14"/>
              </w:rPr>
            </w:pPr>
            <w:r w:rsidRPr="00BF62A1">
              <w:rPr>
                <w:color w:val="000000"/>
                <w:sz w:val="14"/>
                <w:szCs w:val="14"/>
              </w:rPr>
              <w:t>748 (33.8)</w:t>
            </w:r>
            <w:r w:rsidRPr="00BF62A1">
              <w:rPr>
                <w:color w:val="000000"/>
                <w:sz w:val="14"/>
                <w:szCs w:val="14"/>
                <w:vertAlign w:val="superscript"/>
              </w:rPr>
              <w:t>a</w:t>
            </w:r>
          </w:p>
        </w:tc>
        <w:tc>
          <w:tcPr>
            <w:tcW w:w="1984" w:type="dxa"/>
            <w:vMerge/>
            <w:noWrap/>
          </w:tcPr>
          <w:p w14:paraId="71543BBA" w14:textId="77777777" w:rsidR="000F0341" w:rsidRPr="00BF62A1" w:rsidRDefault="000F0341" w:rsidP="00E40B0D">
            <w:pPr>
              <w:spacing w:line="240" w:lineRule="auto"/>
              <w:jc w:val="left"/>
              <w:rPr>
                <w:color w:val="000000"/>
                <w:sz w:val="14"/>
                <w:szCs w:val="14"/>
              </w:rPr>
            </w:pPr>
          </w:p>
        </w:tc>
        <w:tc>
          <w:tcPr>
            <w:tcW w:w="3119" w:type="dxa"/>
            <w:vMerge/>
          </w:tcPr>
          <w:p w14:paraId="47844422" w14:textId="77777777" w:rsidR="000F0341" w:rsidRPr="00BF62A1" w:rsidRDefault="000F0341" w:rsidP="00E40B0D">
            <w:pPr>
              <w:spacing w:line="240" w:lineRule="auto"/>
              <w:jc w:val="left"/>
              <w:rPr>
                <w:color w:val="000000"/>
                <w:sz w:val="14"/>
                <w:szCs w:val="14"/>
              </w:rPr>
            </w:pPr>
          </w:p>
        </w:tc>
        <w:tc>
          <w:tcPr>
            <w:tcW w:w="3234" w:type="dxa"/>
            <w:vMerge/>
          </w:tcPr>
          <w:p w14:paraId="3836A60B" w14:textId="77777777" w:rsidR="000F0341" w:rsidRPr="00BF62A1" w:rsidRDefault="000F0341" w:rsidP="00E40B0D">
            <w:pPr>
              <w:spacing w:line="240" w:lineRule="auto"/>
              <w:jc w:val="left"/>
              <w:rPr>
                <w:color w:val="000000"/>
                <w:sz w:val="14"/>
                <w:szCs w:val="14"/>
              </w:rPr>
            </w:pPr>
          </w:p>
        </w:tc>
      </w:tr>
      <w:tr w:rsidR="000F0341" w:rsidRPr="00BF62A1" w14:paraId="69F1D5CB" w14:textId="77777777" w:rsidTr="00E40B0D">
        <w:trPr>
          <w:trHeight w:val="64"/>
        </w:trPr>
        <w:tc>
          <w:tcPr>
            <w:tcW w:w="1422" w:type="dxa"/>
            <w:vMerge/>
          </w:tcPr>
          <w:p w14:paraId="68716290" w14:textId="77777777" w:rsidR="000F0341" w:rsidRPr="00BF62A1" w:rsidRDefault="000F0341" w:rsidP="00E40B0D">
            <w:pPr>
              <w:spacing w:line="240" w:lineRule="auto"/>
              <w:jc w:val="left"/>
              <w:rPr>
                <w:color w:val="000000"/>
                <w:sz w:val="14"/>
                <w:szCs w:val="14"/>
              </w:rPr>
            </w:pPr>
          </w:p>
        </w:tc>
        <w:tc>
          <w:tcPr>
            <w:tcW w:w="2973" w:type="dxa"/>
          </w:tcPr>
          <w:p w14:paraId="60DF2226" w14:textId="77777777" w:rsidR="000F0341" w:rsidRPr="00BF62A1" w:rsidRDefault="000F0341" w:rsidP="00E40B0D">
            <w:pPr>
              <w:spacing w:line="240" w:lineRule="auto"/>
              <w:jc w:val="left"/>
              <w:rPr>
                <w:color w:val="000000"/>
                <w:sz w:val="14"/>
                <w:szCs w:val="14"/>
              </w:rPr>
            </w:pPr>
            <w:r w:rsidRPr="00BF62A1">
              <w:rPr>
                <w:color w:val="000000"/>
                <w:sz w:val="14"/>
                <w:szCs w:val="14"/>
              </w:rPr>
              <w:t>Segmentectomy of anterolateral segments</w:t>
            </w:r>
          </w:p>
        </w:tc>
        <w:tc>
          <w:tcPr>
            <w:tcW w:w="1843" w:type="dxa"/>
          </w:tcPr>
          <w:p w14:paraId="6B2E04F6" w14:textId="77777777" w:rsidR="000F0341" w:rsidRPr="00BF62A1" w:rsidRDefault="000F0341" w:rsidP="00E40B0D">
            <w:pPr>
              <w:spacing w:line="240" w:lineRule="auto"/>
              <w:jc w:val="left"/>
              <w:rPr>
                <w:color w:val="000000"/>
                <w:sz w:val="14"/>
                <w:szCs w:val="14"/>
              </w:rPr>
            </w:pPr>
            <w:r w:rsidRPr="00BF62A1">
              <w:rPr>
                <w:color w:val="000000"/>
                <w:sz w:val="14"/>
                <w:szCs w:val="14"/>
              </w:rPr>
              <w:t>357 (16.2)</w:t>
            </w:r>
            <w:r w:rsidRPr="00BF62A1">
              <w:rPr>
                <w:color w:val="000000"/>
                <w:sz w:val="14"/>
                <w:szCs w:val="14"/>
                <w:vertAlign w:val="superscript"/>
              </w:rPr>
              <w:t>a</w:t>
            </w:r>
          </w:p>
        </w:tc>
        <w:tc>
          <w:tcPr>
            <w:tcW w:w="1984" w:type="dxa"/>
            <w:vMerge/>
            <w:noWrap/>
          </w:tcPr>
          <w:p w14:paraId="5F81468E" w14:textId="77777777" w:rsidR="000F0341" w:rsidRPr="00BF62A1" w:rsidRDefault="000F0341" w:rsidP="00E40B0D">
            <w:pPr>
              <w:spacing w:line="240" w:lineRule="auto"/>
              <w:jc w:val="left"/>
              <w:rPr>
                <w:color w:val="000000"/>
                <w:sz w:val="14"/>
                <w:szCs w:val="14"/>
              </w:rPr>
            </w:pPr>
          </w:p>
        </w:tc>
        <w:tc>
          <w:tcPr>
            <w:tcW w:w="3119" w:type="dxa"/>
            <w:vMerge/>
          </w:tcPr>
          <w:p w14:paraId="7D7C92B8" w14:textId="77777777" w:rsidR="000F0341" w:rsidRPr="00BF62A1" w:rsidRDefault="000F0341" w:rsidP="00E40B0D">
            <w:pPr>
              <w:spacing w:line="240" w:lineRule="auto"/>
              <w:jc w:val="left"/>
              <w:rPr>
                <w:color w:val="000000"/>
                <w:sz w:val="14"/>
                <w:szCs w:val="14"/>
              </w:rPr>
            </w:pPr>
          </w:p>
        </w:tc>
        <w:tc>
          <w:tcPr>
            <w:tcW w:w="3234" w:type="dxa"/>
            <w:vMerge/>
          </w:tcPr>
          <w:p w14:paraId="2F159495" w14:textId="77777777" w:rsidR="000F0341" w:rsidRPr="00BF62A1" w:rsidRDefault="000F0341" w:rsidP="00E40B0D">
            <w:pPr>
              <w:spacing w:line="240" w:lineRule="auto"/>
              <w:jc w:val="left"/>
              <w:rPr>
                <w:color w:val="000000"/>
                <w:sz w:val="14"/>
                <w:szCs w:val="14"/>
              </w:rPr>
            </w:pPr>
          </w:p>
        </w:tc>
      </w:tr>
      <w:tr w:rsidR="000F0341" w:rsidRPr="00BF62A1" w14:paraId="300F6B08" w14:textId="77777777" w:rsidTr="00E40B0D">
        <w:trPr>
          <w:trHeight w:val="64"/>
        </w:trPr>
        <w:tc>
          <w:tcPr>
            <w:tcW w:w="1422" w:type="dxa"/>
            <w:vMerge/>
          </w:tcPr>
          <w:p w14:paraId="7DA3B964" w14:textId="77777777" w:rsidR="000F0341" w:rsidRPr="00BF62A1" w:rsidRDefault="000F0341" w:rsidP="00E40B0D">
            <w:pPr>
              <w:spacing w:line="240" w:lineRule="auto"/>
              <w:jc w:val="left"/>
              <w:rPr>
                <w:color w:val="000000"/>
                <w:sz w:val="14"/>
                <w:szCs w:val="14"/>
              </w:rPr>
            </w:pPr>
          </w:p>
        </w:tc>
        <w:tc>
          <w:tcPr>
            <w:tcW w:w="2973" w:type="dxa"/>
          </w:tcPr>
          <w:p w14:paraId="0D0C19B5" w14:textId="77777777" w:rsidR="000F0341" w:rsidRPr="00BF62A1" w:rsidRDefault="000F0341" w:rsidP="00E40B0D">
            <w:pPr>
              <w:spacing w:line="240" w:lineRule="auto"/>
              <w:jc w:val="left"/>
              <w:rPr>
                <w:color w:val="000000"/>
                <w:sz w:val="14"/>
                <w:szCs w:val="14"/>
              </w:rPr>
            </w:pPr>
            <w:r w:rsidRPr="00BF62A1">
              <w:rPr>
                <w:color w:val="000000"/>
                <w:sz w:val="14"/>
                <w:szCs w:val="14"/>
              </w:rPr>
              <w:t>Bisegementectomy of anterolateral segments</w:t>
            </w:r>
          </w:p>
        </w:tc>
        <w:tc>
          <w:tcPr>
            <w:tcW w:w="1843" w:type="dxa"/>
          </w:tcPr>
          <w:p w14:paraId="2442E948" w14:textId="77777777" w:rsidR="000F0341" w:rsidRPr="00BF62A1" w:rsidRDefault="000F0341" w:rsidP="00E40B0D">
            <w:pPr>
              <w:spacing w:line="240" w:lineRule="auto"/>
              <w:jc w:val="left"/>
              <w:rPr>
                <w:color w:val="000000"/>
                <w:sz w:val="14"/>
                <w:szCs w:val="14"/>
              </w:rPr>
            </w:pPr>
            <w:r w:rsidRPr="00BF62A1">
              <w:rPr>
                <w:color w:val="000000"/>
                <w:sz w:val="14"/>
                <w:szCs w:val="14"/>
              </w:rPr>
              <w:t>87 (3.9)</w:t>
            </w:r>
            <w:r w:rsidRPr="00BF62A1">
              <w:rPr>
                <w:color w:val="000000"/>
                <w:sz w:val="14"/>
                <w:szCs w:val="14"/>
                <w:vertAlign w:val="superscript"/>
              </w:rPr>
              <w:t>a</w:t>
            </w:r>
          </w:p>
        </w:tc>
        <w:tc>
          <w:tcPr>
            <w:tcW w:w="1984" w:type="dxa"/>
            <w:vMerge/>
            <w:noWrap/>
          </w:tcPr>
          <w:p w14:paraId="35FC2F4C" w14:textId="77777777" w:rsidR="000F0341" w:rsidRPr="00BF62A1" w:rsidRDefault="000F0341" w:rsidP="00E40B0D">
            <w:pPr>
              <w:spacing w:line="240" w:lineRule="auto"/>
              <w:jc w:val="left"/>
              <w:rPr>
                <w:color w:val="000000"/>
                <w:sz w:val="14"/>
                <w:szCs w:val="14"/>
              </w:rPr>
            </w:pPr>
          </w:p>
        </w:tc>
        <w:tc>
          <w:tcPr>
            <w:tcW w:w="3119" w:type="dxa"/>
            <w:vMerge/>
          </w:tcPr>
          <w:p w14:paraId="26AF3CAB" w14:textId="77777777" w:rsidR="000F0341" w:rsidRPr="00BF62A1" w:rsidRDefault="000F0341" w:rsidP="00E40B0D">
            <w:pPr>
              <w:spacing w:line="240" w:lineRule="auto"/>
              <w:jc w:val="left"/>
              <w:rPr>
                <w:color w:val="000000"/>
                <w:sz w:val="14"/>
                <w:szCs w:val="14"/>
              </w:rPr>
            </w:pPr>
          </w:p>
        </w:tc>
        <w:tc>
          <w:tcPr>
            <w:tcW w:w="3234" w:type="dxa"/>
            <w:vMerge/>
          </w:tcPr>
          <w:p w14:paraId="2BB73F98" w14:textId="77777777" w:rsidR="000F0341" w:rsidRPr="00BF62A1" w:rsidRDefault="000F0341" w:rsidP="00E40B0D">
            <w:pPr>
              <w:spacing w:line="240" w:lineRule="auto"/>
              <w:jc w:val="left"/>
              <w:rPr>
                <w:color w:val="000000"/>
                <w:sz w:val="14"/>
                <w:szCs w:val="14"/>
              </w:rPr>
            </w:pPr>
          </w:p>
        </w:tc>
      </w:tr>
      <w:tr w:rsidR="000F0341" w:rsidRPr="00BF62A1" w14:paraId="1B9BA7BA" w14:textId="77777777" w:rsidTr="00E40B0D">
        <w:trPr>
          <w:trHeight w:val="64"/>
        </w:trPr>
        <w:tc>
          <w:tcPr>
            <w:tcW w:w="1422" w:type="dxa"/>
            <w:vMerge/>
          </w:tcPr>
          <w:p w14:paraId="5A89F051" w14:textId="77777777" w:rsidR="000F0341" w:rsidRPr="00BF62A1" w:rsidRDefault="000F0341" w:rsidP="00E40B0D">
            <w:pPr>
              <w:spacing w:line="240" w:lineRule="auto"/>
              <w:jc w:val="left"/>
              <w:rPr>
                <w:color w:val="000000"/>
                <w:sz w:val="14"/>
                <w:szCs w:val="14"/>
              </w:rPr>
            </w:pPr>
          </w:p>
        </w:tc>
        <w:tc>
          <w:tcPr>
            <w:tcW w:w="2973" w:type="dxa"/>
          </w:tcPr>
          <w:p w14:paraId="78D5282B" w14:textId="77777777" w:rsidR="000F0341" w:rsidRPr="00BF62A1" w:rsidRDefault="000F0341" w:rsidP="00E40B0D">
            <w:pPr>
              <w:spacing w:line="240" w:lineRule="auto"/>
              <w:jc w:val="left"/>
              <w:rPr>
                <w:color w:val="000000"/>
                <w:sz w:val="14"/>
                <w:szCs w:val="14"/>
              </w:rPr>
            </w:pPr>
            <w:r w:rsidRPr="00BF62A1">
              <w:rPr>
                <w:color w:val="000000"/>
                <w:sz w:val="14"/>
                <w:szCs w:val="14"/>
              </w:rPr>
              <w:t>Resection of posterosuperior segments</w:t>
            </w:r>
          </w:p>
        </w:tc>
        <w:tc>
          <w:tcPr>
            <w:tcW w:w="1843" w:type="dxa"/>
          </w:tcPr>
          <w:p w14:paraId="2472E42C" w14:textId="77777777" w:rsidR="000F0341" w:rsidRPr="00BF62A1" w:rsidRDefault="000F0341" w:rsidP="00E40B0D">
            <w:pPr>
              <w:spacing w:line="240" w:lineRule="auto"/>
              <w:jc w:val="left"/>
              <w:rPr>
                <w:color w:val="000000"/>
                <w:sz w:val="14"/>
                <w:szCs w:val="14"/>
              </w:rPr>
            </w:pPr>
            <w:r w:rsidRPr="00BF62A1">
              <w:rPr>
                <w:color w:val="000000"/>
                <w:sz w:val="14"/>
                <w:szCs w:val="14"/>
              </w:rPr>
              <w:t>460 (20.8)</w:t>
            </w:r>
            <w:r w:rsidRPr="00BF62A1">
              <w:rPr>
                <w:color w:val="000000"/>
                <w:sz w:val="14"/>
                <w:szCs w:val="14"/>
                <w:vertAlign w:val="superscript"/>
              </w:rPr>
              <w:t>a</w:t>
            </w:r>
          </w:p>
        </w:tc>
        <w:tc>
          <w:tcPr>
            <w:tcW w:w="1984" w:type="dxa"/>
            <w:vMerge/>
            <w:noWrap/>
          </w:tcPr>
          <w:p w14:paraId="66A82AD9" w14:textId="77777777" w:rsidR="000F0341" w:rsidRPr="00BF62A1" w:rsidRDefault="000F0341" w:rsidP="00E40B0D">
            <w:pPr>
              <w:spacing w:line="240" w:lineRule="auto"/>
              <w:jc w:val="left"/>
              <w:rPr>
                <w:color w:val="000000"/>
                <w:sz w:val="14"/>
                <w:szCs w:val="14"/>
              </w:rPr>
            </w:pPr>
          </w:p>
        </w:tc>
        <w:tc>
          <w:tcPr>
            <w:tcW w:w="3119" w:type="dxa"/>
            <w:vMerge/>
          </w:tcPr>
          <w:p w14:paraId="5C80AFE1" w14:textId="77777777" w:rsidR="000F0341" w:rsidRPr="00BF62A1" w:rsidRDefault="000F0341" w:rsidP="00E40B0D">
            <w:pPr>
              <w:spacing w:line="240" w:lineRule="auto"/>
              <w:jc w:val="left"/>
              <w:rPr>
                <w:color w:val="000000"/>
                <w:sz w:val="14"/>
                <w:szCs w:val="14"/>
              </w:rPr>
            </w:pPr>
          </w:p>
        </w:tc>
        <w:tc>
          <w:tcPr>
            <w:tcW w:w="3234" w:type="dxa"/>
            <w:vMerge/>
          </w:tcPr>
          <w:p w14:paraId="4FE83DE7" w14:textId="77777777" w:rsidR="000F0341" w:rsidRPr="00BF62A1" w:rsidRDefault="000F0341" w:rsidP="00E40B0D">
            <w:pPr>
              <w:spacing w:line="240" w:lineRule="auto"/>
              <w:jc w:val="left"/>
              <w:rPr>
                <w:color w:val="000000"/>
                <w:sz w:val="14"/>
                <w:szCs w:val="14"/>
              </w:rPr>
            </w:pPr>
          </w:p>
        </w:tc>
      </w:tr>
      <w:tr w:rsidR="000F0341" w:rsidRPr="00BF62A1" w14:paraId="5C020D2B" w14:textId="77777777" w:rsidTr="00E40B0D">
        <w:trPr>
          <w:trHeight w:val="64"/>
        </w:trPr>
        <w:tc>
          <w:tcPr>
            <w:tcW w:w="1422" w:type="dxa"/>
            <w:vMerge/>
          </w:tcPr>
          <w:p w14:paraId="3D7E581F" w14:textId="77777777" w:rsidR="000F0341" w:rsidRPr="00BF62A1" w:rsidRDefault="000F0341" w:rsidP="00E40B0D">
            <w:pPr>
              <w:spacing w:line="240" w:lineRule="auto"/>
              <w:jc w:val="left"/>
              <w:rPr>
                <w:color w:val="000000"/>
                <w:sz w:val="14"/>
                <w:szCs w:val="14"/>
              </w:rPr>
            </w:pPr>
          </w:p>
        </w:tc>
        <w:tc>
          <w:tcPr>
            <w:tcW w:w="2973" w:type="dxa"/>
          </w:tcPr>
          <w:p w14:paraId="33077707" w14:textId="77777777" w:rsidR="000F0341" w:rsidRPr="00BF62A1" w:rsidRDefault="000F0341" w:rsidP="00E40B0D">
            <w:pPr>
              <w:spacing w:line="240" w:lineRule="auto"/>
              <w:jc w:val="left"/>
              <w:rPr>
                <w:color w:val="000000"/>
                <w:sz w:val="14"/>
                <w:szCs w:val="14"/>
              </w:rPr>
            </w:pPr>
            <w:r w:rsidRPr="00BF62A1">
              <w:rPr>
                <w:color w:val="000000"/>
                <w:sz w:val="14"/>
                <w:szCs w:val="14"/>
              </w:rPr>
              <w:t>Right anterior sectionectomy</w:t>
            </w:r>
          </w:p>
        </w:tc>
        <w:tc>
          <w:tcPr>
            <w:tcW w:w="1843" w:type="dxa"/>
          </w:tcPr>
          <w:p w14:paraId="406E123F" w14:textId="77777777" w:rsidR="000F0341" w:rsidRPr="00BF62A1" w:rsidRDefault="000F0341" w:rsidP="00E40B0D">
            <w:pPr>
              <w:spacing w:line="240" w:lineRule="auto"/>
              <w:jc w:val="left"/>
              <w:rPr>
                <w:color w:val="000000"/>
                <w:sz w:val="14"/>
                <w:szCs w:val="14"/>
              </w:rPr>
            </w:pPr>
            <w:r w:rsidRPr="00BF62A1">
              <w:rPr>
                <w:color w:val="000000"/>
                <w:sz w:val="14"/>
                <w:szCs w:val="14"/>
              </w:rPr>
              <w:t>10 (0.5)</w:t>
            </w:r>
            <w:r w:rsidRPr="00BF62A1">
              <w:rPr>
                <w:color w:val="000000"/>
                <w:sz w:val="14"/>
                <w:szCs w:val="14"/>
                <w:vertAlign w:val="superscript"/>
              </w:rPr>
              <w:t>a</w:t>
            </w:r>
          </w:p>
        </w:tc>
        <w:tc>
          <w:tcPr>
            <w:tcW w:w="1984" w:type="dxa"/>
            <w:vMerge/>
            <w:noWrap/>
          </w:tcPr>
          <w:p w14:paraId="59BED865" w14:textId="77777777" w:rsidR="000F0341" w:rsidRPr="00BF62A1" w:rsidRDefault="000F0341" w:rsidP="00E40B0D">
            <w:pPr>
              <w:spacing w:line="240" w:lineRule="auto"/>
              <w:jc w:val="left"/>
              <w:rPr>
                <w:color w:val="000000"/>
                <w:sz w:val="14"/>
                <w:szCs w:val="14"/>
              </w:rPr>
            </w:pPr>
          </w:p>
        </w:tc>
        <w:tc>
          <w:tcPr>
            <w:tcW w:w="3119" w:type="dxa"/>
            <w:vMerge/>
          </w:tcPr>
          <w:p w14:paraId="09808EE9" w14:textId="77777777" w:rsidR="000F0341" w:rsidRPr="00BF62A1" w:rsidRDefault="000F0341" w:rsidP="00E40B0D">
            <w:pPr>
              <w:spacing w:line="240" w:lineRule="auto"/>
              <w:jc w:val="left"/>
              <w:rPr>
                <w:color w:val="000000"/>
                <w:sz w:val="14"/>
                <w:szCs w:val="14"/>
              </w:rPr>
            </w:pPr>
          </w:p>
        </w:tc>
        <w:tc>
          <w:tcPr>
            <w:tcW w:w="3234" w:type="dxa"/>
            <w:vMerge/>
          </w:tcPr>
          <w:p w14:paraId="23F7298F" w14:textId="77777777" w:rsidR="000F0341" w:rsidRPr="00BF62A1" w:rsidRDefault="000F0341" w:rsidP="00E40B0D">
            <w:pPr>
              <w:spacing w:line="240" w:lineRule="auto"/>
              <w:jc w:val="left"/>
              <w:rPr>
                <w:color w:val="000000"/>
                <w:sz w:val="14"/>
                <w:szCs w:val="14"/>
              </w:rPr>
            </w:pPr>
          </w:p>
        </w:tc>
      </w:tr>
      <w:tr w:rsidR="000F0341" w:rsidRPr="00BF62A1" w14:paraId="1519226E" w14:textId="77777777" w:rsidTr="00E40B0D">
        <w:trPr>
          <w:trHeight w:val="64"/>
        </w:trPr>
        <w:tc>
          <w:tcPr>
            <w:tcW w:w="1422" w:type="dxa"/>
            <w:vMerge/>
          </w:tcPr>
          <w:p w14:paraId="55C009A1" w14:textId="77777777" w:rsidR="000F0341" w:rsidRPr="00BF62A1" w:rsidRDefault="000F0341" w:rsidP="00E40B0D">
            <w:pPr>
              <w:spacing w:line="240" w:lineRule="auto"/>
              <w:jc w:val="left"/>
              <w:rPr>
                <w:color w:val="000000"/>
                <w:sz w:val="14"/>
                <w:szCs w:val="14"/>
              </w:rPr>
            </w:pPr>
          </w:p>
        </w:tc>
        <w:tc>
          <w:tcPr>
            <w:tcW w:w="2973" w:type="dxa"/>
          </w:tcPr>
          <w:p w14:paraId="433E4B9E" w14:textId="77777777" w:rsidR="000F0341" w:rsidRPr="00BF62A1" w:rsidRDefault="000F0341" w:rsidP="00E40B0D">
            <w:pPr>
              <w:spacing w:line="240" w:lineRule="auto"/>
              <w:jc w:val="left"/>
              <w:rPr>
                <w:color w:val="000000"/>
                <w:sz w:val="14"/>
                <w:szCs w:val="14"/>
              </w:rPr>
            </w:pPr>
            <w:r w:rsidRPr="00BF62A1">
              <w:rPr>
                <w:color w:val="000000"/>
                <w:sz w:val="14"/>
                <w:szCs w:val="14"/>
              </w:rPr>
              <w:t>Right posterior sectionectomy</w:t>
            </w:r>
          </w:p>
        </w:tc>
        <w:tc>
          <w:tcPr>
            <w:tcW w:w="1843" w:type="dxa"/>
          </w:tcPr>
          <w:p w14:paraId="47E7B5FA" w14:textId="77777777" w:rsidR="000F0341" w:rsidRPr="00BF62A1" w:rsidRDefault="000F0341" w:rsidP="00E40B0D">
            <w:pPr>
              <w:spacing w:line="240" w:lineRule="auto"/>
              <w:jc w:val="left"/>
              <w:rPr>
                <w:color w:val="000000"/>
                <w:sz w:val="14"/>
                <w:szCs w:val="14"/>
              </w:rPr>
            </w:pPr>
            <w:r w:rsidRPr="00BF62A1">
              <w:rPr>
                <w:color w:val="000000"/>
                <w:sz w:val="14"/>
                <w:szCs w:val="14"/>
              </w:rPr>
              <w:t>41 (1.9)</w:t>
            </w:r>
            <w:r w:rsidRPr="00BF62A1">
              <w:rPr>
                <w:color w:val="000000"/>
                <w:sz w:val="14"/>
                <w:szCs w:val="14"/>
                <w:vertAlign w:val="superscript"/>
              </w:rPr>
              <w:t>a</w:t>
            </w:r>
          </w:p>
        </w:tc>
        <w:tc>
          <w:tcPr>
            <w:tcW w:w="1984" w:type="dxa"/>
            <w:vMerge/>
            <w:noWrap/>
          </w:tcPr>
          <w:p w14:paraId="1F3D1FE6" w14:textId="77777777" w:rsidR="000F0341" w:rsidRPr="00BF62A1" w:rsidRDefault="000F0341" w:rsidP="00E40B0D">
            <w:pPr>
              <w:spacing w:line="240" w:lineRule="auto"/>
              <w:jc w:val="left"/>
              <w:rPr>
                <w:color w:val="000000"/>
                <w:sz w:val="14"/>
                <w:szCs w:val="14"/>
              </w:rPr>
            </w:pPr>
          </w:p>
        </w:tc>
        <w:tc>
          <w:tcPr>
            <w:tcW w:w="3119" w:type="dxa"/>
            <w:vMerge/>
          </w:tcPr>
          <w:p w14:paraId="06FD7980" w14:textId="77777777" w:rsidR="000F0341" w:rsidRPr="00BF62A1" w:rsidRDefault="000F0341" w:rsidP="00E40B0D">
            <w:pPr>
              <w:spacing w:line="240" w:lineRule="auto"/>
              <w:jc w:val="left"/>
              <w:rPr>
                <w:color w:val="000000"/>
                <w:sz w:val="14"/>
                <w:szCs w:val="14"/>
              </w:rPr>
            </w:pPr>
          </w:p>
        </w:tc>
        <w:tc>
          <w:tcPr>
            <w:tcW w:w="3234" w:type="dxa"/>
            <w:vMerge/>
          </w:tcPr>
          <w:p w14:paraId="452AC6CB" w14:textId="77777777" w:rsidR="000F0341" w:rsidRPr="00BF62A1" w:rsidRDefault="000F0341" w:rsidP="00E40B0D">
            <w:pPr>
              <w:spacing w:line="240" w:lineRule="auto"/>
              <w:jc w:val="left"/>
              <w:rPr>
                <w:color w:val="000000"/>
                <w:sz w:val="14"/>
                <w:szCs w:val="14"/>
              </w:rPr>
            </w:pPr>
          </w:p>
        </w:tc>
      </w:tr>
      <w:tr w:rsidR="000F0341" w:rsidRPr="00BF62A1" w14:paraId="01232A41" w14:textId="77777777" w:rsidTr="00E40B0D">
        <w:trPr>
          <w:trHeight w:val="64"/>
        </w:trPr>
        <w:tc>
          <w:tcPr>
            <w:tcW w:w="1422" w:type="dxa"/>
            <w:vMerge/>
            <w:tcBorders>
              <w:bottom w:val="single" w:sz="8" w:space="0" w:color="auto"/>
            </w:tcBorders>
          </w:tcPr>
          <w:p w14:paraId="004A90C9"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47A112AF" w14:textId="77777777" w:rsidR="000F0341" w:rsidRPr="00BF62A1" w:rsidRDefault="000F0341" w:rsidP="00E40B0D">
            <w:pPr>
              <w:spacing w:line="240" w:lineRule="auto"/>
              <w:jc w:val="left"/>
              <w:rPr>
                <w:color w:val="000000"/>
                <w:sz w:val="14"/>
                <w:szCs w:val="14"/>
              </w:rPr>
            </w:pPr>
            <w:r w:rsidRPr="00BF62A1">
              <w:rPr>
                <w:color w:val="000000"/>
                <w:sz w:val="14"/>
                <w:szCs w:val="14"/>
              </w:rPr>
              <w:t>Major hepatectomy</w:t>
            </w:r>
          </w:p>
        </w:tc>
        <w:tc>
          <w:tcPr>
            <w:tcW w:w="1843" w:type="dxa"/>
            <w:tcBorders>
              <w:bottom w:val="single" w:sz="8" w:space="0" w:color="auto"/>
            </w:tcBorders>
          </w:tcPr>
          <w:p w14:paraId="0956AF1A" w14:textId="77777777" w:rsidR="000F0341" w:rsidRPr="00BF62A1" w:rsidRDefault="000F0341" w:rsidP="00E40B0D">
            <w:pPr>
              <w:spacing w:line="240" w:lineRule="auto"/>
              <w:jc w:val="left"/>
              <w:rPr>
                <w:color w:val="000000"/>
                <w:sz w:val="14"/>
                <w:szCs w:val="14"/>
              </w:rPr>
            </w:pPr>
            <w:r w:rsidRPr="00BF62A1">
              <w:rPr>
                <w:color w:val="000000"/>
                <w:sz w:val="14"/>
                <w:szCs w:val="14"/>
              </w:rPr>
              <w:t>227 (10.3)</w:t>
            </w:r>
            <w:r w:rsidRPr="00BF62A1">
              <w:rPr>
                <w:color w:val="000000"/>
                <w:sz w:val="14"/>
                <w:szCs w:val="14"/>
                <w:vertAlign w:val="superscript"/>
              </w:rPr>
              <w:t>a</w:t>
            </w:r>
          </w:p>
        </w:tc>
        <w:tc>
          <w:tcPr>
            <w:tcW w:w="1984" w:type="dxa"/>
            <w:vMerge/>
            <w:tcBorders>
              <w:bottom w:val="single" w:sz="8" w:space="0" w:color="auto"/>
            </w:tcBorders>
            <w:noWrap/>
          </w:tcPr>
          <w:p w14:paraId="5D882D0B"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4C34EC77"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25607988" w14:textId="77777777" w:rsidR="000F0341" w:rsidRPr="00BF62A1" w:rsidRDefault="000F0341" w:rsidP="00E40B0D">
            <w:pPr>
              <w:spacing w:line="240" w:lineRule="auto"/>
              <w:jc w:val="left"/>
              <w:rPr>
                <w:color w:val="000000"/>
                <w:sz w:val="14"/>
                <w:szCs w:val="14"/>
              </w:rPr>
            </w:pPr>
          </w:p>
        </w:tc>
      </w:tr>
      <w:tr w:rsidR="000F0341" w:rsidRPr="00BF62A1" w14:paraId="08BD9163" w14:textId="77777777" w:rsidTr="00E40B0D">
        <w:trPr>
          <w:trHeight w:val="20"/>
        </w:trPr>
        <w:tc>
          <w:tcPr>
            <w:tcW w:w="1422" w:type="dxa"/>
            <w:vMerge w:val="restart"/>
            <w:tcBorders>
              <w:top w:val="single" w:sz="8" w:space="0" w:color="auto"/>
            </w:tcBorders>
            <w:hideMark/>
          </w:tcPr>
          <w:p w14:paraId="3D18BCE8" w14:textId="77777777" w:rsidR="000F0341" w:rsidRPr="00BF62A1" w:rsidRDefault="000F0341" w:rsidP="00E40B0D">
            <w:pPr>
              <w:spacing w:line="240" w:lineRule="auto"/>
              <w:jc w:val="left"/>
              <w:rPr>
                <w:color w:val="000000"/>
                <w:sz w:val="14"/>
                <w:szCs w:val="14"/>
              </w:rPr>
            </w:pPr>
            <w:r w:rsidRPr="00BF62A1">
              <w:rPr>
                <w:color w:val="000000"/>
                <w:sz w:val="14"/>
                <w:szCs w:val="14"/>
              </w:rPr>
              <w:t xml:space="preserve">Yasunaga 2012 </w:t>
            </w:r>
            <w:r w:rsidRPr="00BF62A1">
              <w:rPr>
                <w:color w:val="000000"/>
                <w:sz w:val="14"/>
                <w:szCs w:val="14"/>
              </w:rPr>
              <w:fldChar w:fldCharType="begin"/>
            </w:r>
            <w:r>
              <w:rPr>
                <w:color w:val="000000"/>
                <w:sz w:val="14"/>
                <w:szCs w:val="14"/>
              </w:rPr>
              <w:instrText xml:space="preserve"> ADDIN ZOTERO_ITEM CSL_CITATION {"citationID":"oBGYCnSN","properties":{"formattedCitation":"[58]","plainCitation":"[58]","noteIndex":0},"citationItems":[{"id":14144,"uris":["http://zotero.org/groups/4983919/items/H44TK5R6"],"itemData":{"id":14144,"type":"article-journal","abstract":"AIM: The present study aimed to conduct a nationwide investigation on the relationship between hospital volume and outcomes following liver resection in Japan. We also discuss health policy implications of the results. METHODS: Using the Japanese Diagnosis Procedure Combination database, we identified 18 046 patients who underwent hepatic resection between July and December 2007-2009. Patients were subdivided into hospital-volume quartiles: very low- (&lt;18/year), low- (18-35), high- (36-70) and very high-volume groups (&gt;70). Multivariate logistic regression analysis for in-hospital mortality within 30 days of surgery was performed to analyze adjusted effects of various factors. RESULTS: Patients in the very high-volume group had a higher Charlson Comorbidity Index (P &lt; 0.001) than those in the very low-volume group. Very low-volume hospitals were significantly less likely to perform extended lobectomy than very high-volume hospitals (5.4% vs 17.6%, P &lt; 0.001). Crude in-hospital mortality within 30 days of surgery was 1.1% (0.6%, 0.8%, 1.9% and 3.0% for limited resection, segmentectomy, lobectomy and extended lobectomy, respectively). With reference to the very low-volume group, risk-adjusted odds ratios (95% confidence intervals) of low-, high- and very high-volume groups for overall mortality were 0.70 (0.48-1.02; P = 0.060), 0.52 (0.34-0.81; P = 0.004) and 0.16 (0.09-0.30; P &lt; 0.001), respectively. CONCLUSION: There is a linear trend between higher hospital volume and lower in-hospital mortality of liver resection in Japan, particularly for lobectomy and extended lobectomy. Based on these results, regionalization of lobectomy and extended lobectomy in high-volume centers could be effective for reducing postoperative mortality.","container-title":"Hepatol Res","DOI":"10.1111/j.1872-034X.2012.01022.x","ISSN":"1386-6346","issue":"11","language":"eng","note":"publisher-place: Departments of Health Management and Policy Medical Informatics and Economics Department of Surgery, Hepato-Biliary-Pancreatic Surgery Division, Artificial Organ and Transplantation Division, Graduate School of Medicine Department of Health Economics and Epidemiology Research, School of Public Health, The University of Tokyo Department of Health Policy and Informatics, Tokyo Medical and Dental University Graduate School of Medicine, Tokyo Department of Preventive Medicine and Community Health, University of Occupational and Environmental Health, Fukuoka, Japan.","page":"1073-80","title":"Relationship between hospital volume and operative mortality for liver resection: Data from the Japanese Diagnosis Procedure Combination database","volume":"42","author":[{"family":"Yasunaga","given":"H."},{"family":"Horiguchi","given":"H."},{"family":"Matsuda","given":"S."},{"family":"Fushimi","given":"K."},{"family":"Hashimoto","given":"H."},{"family":"Ohe","given":"K."},{"family":"Kokudo","given":"N."}],"issued":{"date-parts":[["2012",11]]}}}],"schema":"https://github.com/citation-style-language/schema/raw/master/csl-citation.json"} </w:instrText>
            </w:r>
            <w:r w:rsidRPr="00BF62A1">
              <w:rPr>
                <w:color w:val="000000"/>
                <w:sz w:val="14"/>
                <w:szCs w:val="14"/>
              </w:rPr>
              <w:fldChar w:fldCharType="separate"/>
            </w:r>
            <w:r w:rsidRPr="004125CE">
              <w:rPr>
                <w:sz w:val="14"/>
              </w:rPr>
              <w:t>[58]</w:t>
            </w:r>
            <w:r w:rsidRPr="00BF62A1">
              <w:rPr>
                <w:color w:val="000000"/>
                <w:sz w:val="14"/>
                <w:szCs w:val="14"/>
              </w:rPr>
              <w:fldChar w:fldCharType="end"/>
            </w:r>
          </w:p>
        </w:tc>
        <w:tc>
          <w:tcPr>
            <w:tcW w:w="2973" w:type="dxa"/>
            <w:tcBorders>
              <w:top w:val="single" w:sz="8" w:space="0" w:color="auto"/>
            </w:tcBorders>
            <w:hideMark/>
          </w:tcPr>
          <w:p w14:paraId="7913DA15" w14:textId="77777777" w:rsidR="000F0341" w:rsidRPr="00BF62A1" w:rsidRDefault="000F0341" w:rsidP="00E40B0D">
            <w:pPr>
              <w:spacing w:line="240" w:lineRule="auto"/>
              <w:jc w:val="left"/>
              <w:rPr>
                <w:color w:val="000000"/>
                <w:sz w:val="14"/>
                <w:szCs w:val="14"/>
              </w:rPr>
            </w:pPr>
            <w:r w:rsidRPr="00BF62A1">
              <w:rPr>
                <w:color w:val="000000"/>
                <w:sz w:val="14"/>
                <w:szCs w:val="14"/>
              </w:rPr>
              <w:t>Limited resection</w:t>
            </w:r>
            <w:r w:rsidRPr="00BF62A1">
              <w:rPr>
                <w:color w:val="000000"/>
                <w:sz w:val="14"/>
                <w:szCs w:val="14"/>
              </w:rPr>
              <w:br/>
            </w:r>
          </w:p>
        </w:tc>
        <w:tc>
          <w:tcPr>
            <w:tcW w:w="1843" w:type="dxa"/>
            <w:tcBorders>
              <w:top w:val="single" w:sz="8" w:space="0" w:color="auto"/>
            </w:tcBorders>
            <w:hideMark/>
          </w:tcPr>
          <w:p w14:paraId="09A26014" w14:textId="77777777" w:rsidR="000F0341" w:rsidRPr="00BF62A1" w:rsidRDefault="000F0341" w:rsidP="00E40B0D">
            <w:pPr>
              <w:spacing w:line="240" w:lineRule="auto"/>
              <w:jc w:val="left"/>
              <w:rPr>
                <w:color w:val="000000"/>
                <w:sz w:val="14"/>
                <w:szCs w:val="14"/>
              </w:rPr>
            </w:pPr>
            <w:r w:rsidRPr="00BF62A1">
              <w:rPr>
                <w:color w:val="000000"/>
                <w:sz w:val="14"/>
                <w:szCs w:val="14"/>
              </w:rPr>
              <w:t>7582 (42.0)</w:t>
            </w:r>
            <w:r w:rsidRPr="00BF62A1">
              <w:rPr>
                <w:color w:val="000000"/>
                <w:sz w:val="14"/>
                <w:szCs w:val="14"/>
              </w:rPr>
              <w:br/>
            </w:r>
          </w:p>
        </w:tc>
        <w:tc>
          <w:tcPr>
            <w:tcW w:w="1984" w:type="dxa"/>
            <w:vMerge w:val="restart"/>
            <w:tcBorders>
              <w:top w:val="single" w:sz="8" w:space="0" w:color="auto"/>
            </w:tcBorders>
            <w:noWrap/>
            <w:hideMark/>
          </w:tcPr>
          <w:p w14:paraId="354C89E7" w14:textId="77777777" w:rsidR="000F0341" w:rsidRPr="00BF62A1" w:rsidRDefault="000F0341" w:rsidP="00E40B0D">
            <w:pPr>
              <w:spacing w:line="240" w:lineRule="auto"/>
              <w:jc w:val="left"/>
              <w:rPr>
                <w:color w:val="000000"/>
                <w:sz w:val="14"/>
                <w:szCs w:val="14"/>
              </w:rPr>
            </w:pPr>
            <w:r>
              <w:rPr>
                <w:color w:val="000000"/>
                <w:sz w:val="14"/>
                <w:szCs w:val="14"/>
              </w:rPr>
              <w:t>L</w:t>
            </w:r>
            <w:r w:rsidRPr="00BF62A1">
              <w:rPr>
                <w:color w:val="000000"/>
                <w:sz w:val="14"/>
                <w:szCs w:val="14"/>
              </w:rPr>
              <w:t>imited resection (K6951), segmentectomy (K6952), lobectomy (K6953), extended lobectomy without vascular or biliary reconstruction (K6954), or extended lobectomy with reconstruction (K6955)</w:t>
            </w:r>
          </w:p>
        </w:tc>
        <w:tc>
          <w:tcPr>
            <w:tcW w:w="3119" w:type="dxa"/>
            <w:vMerge w:val="restart"/>
            <w:tcBorders>
              <w:top w:val="single" w:sz="8" w:space="0" w:color="auto"/>
            </w:tcBorders>
            <w:hideMark/>
          </w:tcPr>
          <w:p w14:paraId="545323F4" w14:textId="77777777" w:rsidR="000F0341" w:rsidRPr="00BF62A1" w:rsidRDefault="000F0341" w:rsidP="00E40B0D">
            <w:pPr>
              <w:spacing w:line="240" w:lineRule="auto"/>
              <w:jc w:val="left"/>
              <w:rPr>
                <w:color w:val="000000"/>
                <w:sz w:val="14"/>
                <w:szCs w:val="14"/>
              </w:rPr>
            </w:pPr>
            <w:r>
              <w:rPr>
                <w:color w:val="000000"/>
                <w:sz w:val="14"/>
                <w:szCs w:val="14"/>
              </w:rPr>
              <w:t>L</w:t>
            </w:r>
            <w:r w:rsidRPr="00BF62A1">
              <w:rPr>
                <w:color w:val="000000"/>
                <w:sz w:val="14"/>
                <w:szCs w:val="14"/>
              </w:rPr>
              <w:t>iving-donor liver transplantation</w:t>
            </w:r>
          </w:p>
        </w:tc>
        <w:tc>
          <w:tcPr>
            <w:tcW w:w="3234" w:type="dxa"/>
            <w:vMerge w:val="restart"/>
            <w:tcBorders>
              <w:top w:val="single" w:sz="8" w:space="0" w:color="auto"/>
            </w:tcBorders>
            <w:hideMark/>
          </w:tcPr>
          <w:p w14:paraId="14973AF5" w14:textId="77777777" w:rsidR="000F0341" w:rsidRPr="00BF62A1" w:rsidRDefault="000F0341" w:rsidP="00E40B0D">
            <w:pPr>
              <w:spacing w:line="240" w:lineRule="auto"/>
              <w:jc w:val="left"/>
              <w:rPr>
                <w:color w:val="000000"/>
                <w:sz w:val="14"/>
                <w:szCs w:val="14"/>
              </w:rPr>
            </w:pPr>
            <w:r>
              <w:rPr>
                <w:color w:val="000000"/>
                <w:sz w:val="14"/>
                <w:szCs w:val="14"/>
              </w:rPr>
              <w:t>A</w:t>
            </w:r>
            <w:r w:rsidRPr="00BF62A1">
              <w:rPr>
                <w:color w:val="000000"/>
                <w:sz w:val="14"/>
                <w:szCs w:val="14"/>
              </w:rPr>
              <w:t>ge, CCI, diagnosis, hospital type, gender, surgery type</w:t>
            </w:r>
          </w:p>
        </w:tc>
      </w:tr>
      <w:tr w:rsidR="000F0341" w:rsidRPr="00BF62A1" w14:paraId="4B340A27" w14:textId="77777777" w:rsidTr="00E40B0D">
        <w:trPr>
          <w:trHeight w:val="20"/>
        </w:trPr>
        <w:tc>
          <w:tcPr>
            <w:tcW w:w="1422" w:type="dxa"/>
            <w:vMerge/>
          </w:tcPr>
          <w:p w14:paraId="6B7F4845" w14:textId="77777777" w:rsidR="000F0341" w:rsidRPr="00BF62A1" w:rsidRDefault="000F0341" w:rsidP="00E40B0D">
            <w:pPr>
              <w:spacing w:line="240" w:lineRule="auto"/>
              <w:jc w:val="left"/>
              <w:rPr>
                <w:color w:val="000000"/>
                <w:sz w:val="14"/>
                <w:szCs w:val="14"/>
              </w:rPr>
            </w:pPr>
          </w:p>
        </w:tc>
        <w:tc>
          <w:tcPr>
            <w:tcW w:w="2973" w:type="dxa"/>
          </w:tcPr>
          <w:p w14:paraId="0D047FF2" w14:textId="77777777" w:rsidR="000F0341" w:rsidRPr="00BF62A1" w:rsidRDefault="000F0341" w:rsidP="00E40B0D">
            <w:pPr>
              <w:spacing w:line="240" w:lineRule="auto"/>
              <w:jc w:val="left"/>
              <w:rPr>
                <w:color w:val="000000"/>
                <w:sz w:val="14"/>
                <w:szCs w:val="14"/>
              </w:rPr>
            </w:pPr>
            <w:r w:rsidRPr="00BF62A1">
              <w:rPr>
                <w:color w:val="000000"/>
                <w:sz w:val="14"/>
                <w:szCs w:val="14"/>
              </w:rPr>
              <w:t>Segmentectomy</w:t>
            </w:r>
          </w:p>
        </w:tc>
        <w:tc>
          <w:tcPr>
            <w:tcW w:w="1843" w:type="dxa"/>
          </w:tcPr>
          <w:p w14:paraId="00AD2A94" w14:textId="77777777" w:rsidR="000F0341" w:rsidRPr="00BF62A1" w:rsidRDefault="000F0341" w:rsidP="00E40B0D">
            <w:pPr>
              <w:spacing w:line="240" w:lineRule="auto"/>
              <w:jc w:val="left"/>
              <w:rPr>
                <w:color w:val="000000"/>
                <w:sz w:val="14"/>
                <w:szCs w:val="14"/>
              </w:rPr>
            </w:pPr>
            <w:r w:rsidRPr="00BF62A1">
              <w:rPr>
                <w:color w:val="000000"/>
                <w:sz w:val="14"/>
                <w:szCs w:val="14"/>
              </w:rPr>
              <w:t>5422 (30.0)</w:t>
            </w:r>
          </w:p>
        </w:tc>
        <w:tc>
          <w:tcPr>
            <w:tcW w:w="1984" w:type="dxa"/>
            <w:vMerge/>
            <w:noWrap/>
          </w:tcPr>
          <w:p w14:paraId="0E472412" w14:textId="77777777" w:rsidR="000F0341" w:rsidRPr="00BF62A1" w:rsidRDefault="000F0341" w:rsidP="00E40B0D">
            <w:pPr>
              <w:spacing w:line="240" w:lineRule="auto"/>
              <w:jc w:val="left"/>
              <w:rPr>
                <w:color w:val="000000"/>
                <w:sz w:val="14"/>
                <w:szCs w:val="14"/>
              </w:rPr>
            </w:pPr>
          </w:p>
        </w:tc>
        <w:tc>
          <w:tcPr>
            <w:tcW w:w="3119" w:type="dxa"/>
            <w:vMerge/>
          </w:tcPr>
          <w:p w14:paraId="5A3F71C6" w14:textId="77777777" w:rsidR="000F0341" w:rsidRPr="00BF62A1" w:rsidRDefault="000F0341" w:rsidP="00E40B0D">
            <w:pPr>
              <w:spacing w:line="240" w:lineRule="auto"/>
              <w:jc w:val="left"/>
              <w:rPr>
                <w:color w:val="000000"/>
                <w:sz w:val="14"/>
                <w:szCs w:val="14"/>
              </w:rPr>
            </w:pPr>
          </w:p>
        </w:tc>
        <w:tc>
          <w:tcPr>
            <w:tcW w:w="3234" w:type="dxa"/>
            <w:vMerge/>
          </w:tcPr>
          <w:p w14:paraId="4EFC96DA" w14:textId="77777777" w:rsidR="000F0341" w:rsidRPr="00BF62A1" w:rsidRDefault="000F0341" w:rsidP="00E40B0D">
            <w:pPr>
              <w:spacing w:line="240" w:lineRule="auto"/>
              <w:jc w:val="left"/>
              <w:rPr>
                <w:color w:val="000000"/>
                <w:sz w:val="14"/>
                <w:szCs w:val="14"/>
              </w:rPr>
            </w:pPr>
          </w:p>
        </w:tc>
      </w:tr>
      <w:tr w:rsidR="000F0341" w:rsidRPr="00BF62A1" w14:paraId="62755FD6" w14:textId="77777777" w:rsidTr="00E40B0D">
        <w:trPr>
          <w:trHeight w:val="20"/>
        </w:trPr>
        <w:tc>
          <w:tcPr>
            <w:tcW w:w="1422" w:type="dxa"/>
            <w:vMerge/>
          </w:tcPr>
          <w:p w14:paraId="267655A8" w14:textId="77777777" w:rsidR="000F0341" w:rsidRPr="00BF62A1" w:rsidRDefault="000F0341" w:rsidP="00E40B0D">
            <w:pPr>
              <w:spacing w:line="240" w:lineRule="auto"/>
              <w:jc w:val="left"/>
              <w:rPr>
                <w:color w:val="000000"/>
                <w:sz w:val="14"/>
                <w:szCs w:val="14"/>
              </w:rPr>
            </w:pPr>
          </w:p>
        </w:tc>
        <w:tc>
          <w:tcPr>
            <w:tcW w:w="2973" w:type="dxa"/>
          </w:tcPr>
          <w:p w14:paraId="24C0DF8E" w14:textId="77777777" w:rsidR="000F0341" w:rsidRPr="00BF62A1" w:rsidRDefault="000F0341" w:rsidP="00E40B0D">
            <w:pPr>
              <w:spacing w:line="240" w:lineRule="auto"/>
              <w:jc w:val="left"/>
              <w:rPr>
                <w:color w:val="000000"/>
                <w:sz w:val="14"/>
                <w:szCs w:val="14"/>
              </w:rPr>
            </w:pPr>
            <w:r w:rsidRPr="00BF62A1">
              <w:rPr>
                <w:color w:val="000000"/>
                <w:sz w:val="14"/>
                <w:szCs w:val="14"/>
              </w:rPr>
              <w:t>Lobectomy</w:t>
            </w:r>
          </w:p>
        </w:tc>
        <w:tc>
          <w:tcPr>
            <w:tcW w:w="1843" w:type="dxa"/>
          </w:tcPr>
          <w:p w14:paraId="164D160B" w14:textId="77777777" w:rsidR="000F0341" w:rsidRPr="00BF62A1" w:rsidRDefault="000F0341" w:rsidP="00E40B0D">
            <w:pPr>
              <w:spacing w:line="240" w:lineRule="auto"/>
              <w:jc w:val="left"/>
              <w:rPr>
                <w:color w:val="000000"/>
                <w:sz w:val="14"/>
                <w:szCs w:val="14"/>
              </w:rPr>
            </w:pPr>
            <w:r w:rsidRPr="00BF62A1">
              <w:rPr>
                <w:color w:val="000000"/>
                <w:sz w:val="14"/>
                <w:szCs w:val="14"/>
              </w:rPr>
              <w:t>3099 (17.2)</w:t>
            </w:r>
          </w:p>
        </w:tc>
        <w:tc>
          <w:tcPr>
            <w:tcW w:w="1984" w:type="dxa"/>
            <w:vMerge/>
            <w:noWrap/>
          </w:tcPr>
          <w:p w14:paraId="2653541A" w14:textId="77777777" w:rsidR="000F0341" w:rsidRPr="00BF62A1" w:rsidRDefault="000F0341" w:rsidP="00E40B0D">
            <w:pPr>
              <w:spacing w:line="240" w:lineRule="auto"/>
              <w:jc w:val="left"/>
              <w:rPr>
                <w:color w:val="000000"/>
                <w:sz w:val="14"/>
                <w:szCs w:val="14"/>
              </w:rPr>
            </w:pPr>
          </w:p>
        </w:tc>
        <w:tc>
          <w:tcPr>
            <w:tcW w:w="3119" w:type="dxa"/>
            <w:vMerge/>
          </w:tcPr>
          <w:p w14:paraId="65CE3472" w14:textId="77777777" w:rsidR="000F0341" w:rsidRPr="00BF62A1" w:rsidRDefault="000F0341" w:rsidP="00E40B0D">
            <w:pPr>
              <w:spacing w:line="240" w:lineRule="auto"/>
              <w:jc w:val="left"/>
              <w:rPr>
                <w:color w:val="000000"/>
                <w:sz w:val="14"/>
                <w:szCs w:val="14"/>
              </w:rPr>
            </w:pPr>
          </w:p>
        </w:tc>
        <w:tc>
          <w:tcPr>
            <w:tcW w:w="3234" w:type="dxa"/>
            <w:vMerge/>
          </w:tcPr>
          <w:p w14:paraId="32BEF2CD" w14:textId="77777777" w:rsidR="000F0341" w:rsidRPr="00BF62A1" w:rsidRDefault="000F0341" w:rsidP="00E40B0D">
            <w:pPr>
              <w:spacing w:line="240" w:lineRule="auto"/>
              <w:jc w:val="left"/>
              <w:rPr>
                <w:color w:val="000000"/>
                <w:sz w:val="14"/>
                <w:szCs w:val="14"/>
              </w:rPr>
            </w:pPr>
          </w:p>
        </w:tc>
      </w:tr>
      <w:tr w:rsidR="000F0341" w:rsidRPr="00BF62A1" w14:paraId="6C8DE6F6" w14:textId="77777777" w:rsidTr="00E40B0D">
        <w:trPr>
          <w:trHeight w:val="20"/>
        </w:trPr>
        <w:tc>
          <w:tcPr>
            <w:tcW w:w="1422" w:type="dxa"/>
            <w:vMerge/>
          </w:tcPr>
          <w:p w14:paraId="4BEA8BE1" w14:textId="77777777" w:rsidR="000F0341" w:rsidRPr="00BF62A1" w:rsidRDefault="000F0341" w:rsidP="00E40B0D">
            <w:pPr>
              <w:spacing w:line="240" w:lineRule="auto"/>
              <w:jc w:val="left"/>
              <w:rPr>
                <w:color w:val="000000"/>
                <w:sz w:val="14"/>
                <w:szCs w:val="14"/>
              </w:rPr>
            </w:pPr>
          </w:p>
        </w:tc>
        <w:tc>
          <w:tcPr>
            <w:tcW w:w="2973" w:type="dxa"/>
          </w:tcPr>
          <w:p w14:paraId="0005093D" w14:textId="77777777" w:rsidR="000F0341" w:rsidRPr="00BF62A1" w:rsidRDefault="000F0341" w:rsidP="00E40B0D">
            <w:pPr>
              <w:spacing w:line="240" w:lineRule="auto"/>
              <w:jc w:val="left"/>
              <w:rPr>
                <w:color w:val="000000"/>
                <w:sz w:val="14"/>
                <w:szCs w:val="14"/>
              </w:rPr>
            </w:pPr>
            <w:r w:rsidRPr="00BF62A1">
              <w:rPr>
                <w:color w:val="000000"/>
                <w:sz w:val="14"/>
                <w:szCs w:val="14"/>
              </w:rPr>
              <w:t>Extended lobectomy without reconstruction</w:t>
            </w:r>
          </w:p>
        </w:tc>
        <w:tc>
          <w:tcPr>
            <w:tcW w:w="1843" w:type="dxa"/>
          </w:tcPr>
          <w:p w14:paraId="5C401C1C" w14:textId="77777777" w:rsidR="000F0341" w:rsidRPr="00BF62A1" w:rsidRDefault="000F0341" w:rsidP="00E40B0D">
            <w:pPr>
              <w:spacing w:line="240" w:lineRule="auto"/>
              <w:jc w:val="left"/>
              <w:rPr>
                <w:color w:val="000000"/>
                <w:sz w:val="14"/>
                <w:szCs w:val="14"/>
              </w:rPr>
            </w:pPr>
            <w:r w:rsidRPr="00BF62A1">
              <w:rPr>
                <w:color w:val="000000"/>
                <w:sz w:val="14"/>
                <w:szCs w:val="14"/>
              </w:rPr>
              <w:t>1527 (8.5)</w:t>
            </w:r>
          </w:p>
        </w:tc>
        <w:tc>
          <w:tcPr>
            <w:tcW w:w="1984" w:type="dxa"/>
            <w:vMerge/>
            <w:noWrap/>
          </w:tcPr>
          <w:p w14:paraId="22834BCC" w14:textId="77777777" w:rsidR="000F0341" w:rsidRPr="00BF62A1" w:rsidRDefault="000F0341" w:rsidP="00E40B0D">
            <w:pPr>
              <w:spacing w:line="240" w:lineRule="auto"/>
              <w:jc w:val="left"/>
              <w:rPr>
                <w:color w:val="000000"/>
                <w:sz w:val="14"/>
                <w:szCs w:val="14"/>
              </w:rPr>
            </w:pPr>
          </w:p>
        </w:tc>
        <w:tc>
          <w:tcPr>
            <w:tcW w:w="3119" w:type="dxa"/>
            <w:vMerge/>
          </w:tcPr>
          <w:p w14:paraId="21FF887C" w14:textId="77777777" w:rsidR="000F0341" w:rsidRPr="00BF62A1" w:rsidRDefault="000F0341" w:rsidP="00E40B0D">
            <w:pPr>
              <w:spacing w:line="240" w:lineRule="auto"/>
              <w:jc w:val="left"/>
              <w:rPr>
                <w:color w:val="000000"/>
                <w:sz w:val="14"/>
                <w:szCs w:val="14"/>
              </w:rPr>
            </w:pPr>
          </w:p>
        </w:tc>
        <w:tc>
          <w:tcPr>
            <w:tcW w:w="3234" w:type="dxa"/>
            <w:vMerge/>
          </w:tcPr>
          <w:p w14:paraId="6323B970" w14:textId="77777777" w:rsidR="000F0341" w:rsidRPr="00BF62A1" w:rsidRDefault="000F0341" w:rsidP="00E40B0D">
            <w:pPr>
              <w:spacing w:line="240" w:lineRule="auto"/>
              <w:jc w:val="left"/>
              <w:rPr>
                <w:color w:val="000000"/>
                <w:sz w:val="14"/>
                <w:szCs w:val="14"/>
              </w:rPr>
            </w:pPr>
          </w:p>
        </w:tc>
      </w:tr>
      <w:tr w:rsidR="000F0341" w:rsidRPr="00BF62A1" w14:paraId="56CB4B0B" w14:textId="77777777" w:rsidTr="00E40B0D">
        <w:trPr>
          <w:trHeight w:val="262"/>
        </w:trPr>
        <w:tc>
          <w:tcPr>
            <w:tcW w:w="1422" w:type="dxa"/>
            <w:vMerge/>
            <w:tcBorders>
              <w:bottom w:val="single" w:sz="8" w:space="0" w:color="auto"/>
            </w:tcBorders>
          </w:tcPr>
          <w:p w14:paraId="1AE24D14" w14:textId="77777777" w:rsidR="000F0341" w:rsidRPr="00BF62A1" w:rsidRDefault="000F0341" w:rsidP="00E40B0D">
            <w:pPr>
              <w:spacing w:line="240" w:lineRule="auto"/>
              <w:jc w:val="left"/>
              <w:rPr>
                <w:color w:val="000000"/>
                <w:sz w:val="14"/>
                <w:szCs w:val="14"/>
              </w:rPr>
            </w:pPr>
          </w:p>
        </w:tc>
        <w:tc>
          <w:tcPr>
            <w:tcW w:w="2973" w:type="dxa"/>
            <w:tcBorders>
              <w:bottom w:val="single" w:sz="8" w:space="0" w:color="auto"/>
            </w:tcBorders>
          </w:tcPr>
          <w:p w14:paraId="76B3A658" w14:textId="77777777" w:rsidR="000F0341" w:rsidRPr="00BF62A1" w:rsidRDefault="000F0341" w:rsidP="00E40B0D">
            <w:pPr>
              <w:spacing w:line="240" w:lineRule="auto"/>
              <w:jc w:val="left"/>
              <w:rPr>
                <w:color w:val="000000"/>
                <w:sz w:val="14"/>
                <w:szCs w:val="14"/>
              </w:rPr>
            </w:pPr>
            <w:r w:rsidRPr="00BF62A1">
              <w:rPr>
                <w:color w:val="000000"/>
                <w:sz w:val="14"/>
                <w:szCs w:val="14"/>
              </w:rPr>
              <w:t>Extended lobectomy with reconstruction</w:t>
            </w:r>
          </w:p>
        </w:tc>
        <w:tc>
          <w:tcPr>
            <w:tcW w:w="1843" w:type="dxa"/>
            <w:tcBorders>
              <w:bottom w:val="single" w:sz="8" w:space="0" w:color="auto"/>
            </w:tcBorders>
          </w:tcPr>
          <w:p w14:paraId="65017301" w14:textId="77777777" w:rsidR="000F0341" w:rsidRPr="00BF62A1" w:rsidRDefault="000F0341" w:rsidP="00E40B0D">
            <w:pPr>
              <w:spacing w:line="240" w:lineRule="auto"/>
              <w:jc w:val="left"/>
              <w:rPr>
                <w:color w:val="000000"/>
                <w:sz w:val="14"/>
                <w:szCs w:val="14"/>
              </w:rPr>
            </w:pPr>
            <w:r w:rsidRPr="00BF62A1">
              <w:rPr>
                <w:color w:val="000000"/>
                <w:sz w:val="14"/>
                <w:szCs w:val="14"/>
              </w:rPr>
              <w:t>416 (2.3)</w:t>
            </w:r>
          </w:p>
        </w:tc>
        <w:tc>
          <w:tcPr>
            <w:tcW w:w="1984" w:type="dxa"/>
            <w:vMerge/>
            <w:tcBorders>
              <w:bottom w:val="single" w:sz="8" w:space="0" w:color="auto"/>
            </w:tcBorders>
            <w:noWrap/>
          </w:tcPr>
          <w:p w14:paraId="03A5E314" w14:textId="77777777" w:rsidR="000F0341" w:rsidRPr="00BF62A1" w:rsidRDefault="000F0341" w:rsidP="00E40B0D">
            <w:pPr>
              <w:spacing w:line="240" w:lineRule="auto"/>
              <w:jc w:val="left"/>
              <w:rPr>
                <w:color w:val="000000"/>
                <w:sz w:val="14"/>
                <w:szCs w:val="14"/>
              </w:rPr>
            </w:pPr>
          </w:p>
        </w:tc>
        <w:tc>
          <w:tcPr>
            <w:tcW w:w="3119" w:type="dxa"/>
            <w:vMerge/>
            <w:tcBorders>
              <w:bottom w:val="single" w:sz="8" w:space="0" w:color="auto"/>
            </w:tcBorders>
          </w:tcPr>
          <w:p w14:paraId="0E053775" w14:textId="77777777" w:rsidR="000F0341" w:rsidRPr="00BF62A1" w:rsidRDefault="000F0341" w:rsidP="00E40B0D">
            <w:pPr>
              <w:spacing w:line="240" w:lineRule="auto"/>
              <w:jc w:val="left"/>
              <w:rPr>
                <w:color w:val="000000"/>
                <w:sz w:val="14"/>
                <w:szCs w:val="14"/>
              </w:rPr>
            </w:pPr>
          </w:p>
        </w:tc>
        <w:tc>
          <w:tcPr>
            <w:tcW w:w="3234" w:type="dxa"/>
            <w:vMerge/>
            <w:tcBorders>
              <w:bottom w:val="single" w:sz="8" w:space="0" w:color="auto"/>
            </w:tcBorders>
          </w:tcPr>
          <w:p w14:paraId="792D3807" w14:textId="77777777" w:rsidR="000F0341" w:rsidRPr="00BF62A1" w:rsidRDefault="000F0341" w:rsidP="00E40B0D">
            <w:pPr>
              <w:spacing w:line="240" w:lineRule="auto"/>
              <w:jc w:val="left"/>
              <w:rPr>
                <w:color w:val="000000"/>
                <w:sz w:val="14"/>
                <w:szCs w:val="14"/>
              </w:rPr>
            </w:pPr>
          </w:p>
        </w:tc>
      </w:tr>
    </w:tbl>
    <w:p w14:paraId="500AD16B" w14:textId="77777777" w:rsidR="000F0341" w:rsidRPr="00BF62A1" w:rsidRDefault="000F0341" w:rsidP="000F0341">
      <w:pPr>
        <w:ind w:left="-283"/>
        <w:rPr>
          <w:rFonts w:ascii="Arial" w:hAnsi="Arial" w:cs="Arial"/>
          <w:b/>
          <w:bCs/>
        </w:rPr>
        <w:sectPr w:rsidR="000F0341" w:rsidRPr="00BF62A1" w:rsidSect="000F0341">
          <w:pgSz w:w="16838" w:h="11906" w:orient="landscape"/>
          <w:pgMar w:top="1985" w:right="1418" w:bottom="1418" w:left="1134" w:header="709" w:footer="709" w:gutter="0"/>
          <w:cols w:space="708"/>
          <w:docGrid w:linePitch="360"/>
        </w:sectPr>
      </w:pPr>
      <w:r w:rsidRPr="00BF62A1">
        <w:rPr>
          <w:color w:val="000000"/>
          <w:sz w:val="14"/>
          <w:szCs w:val="14"/>
          <w:vertAlign w:val="superscript"/>
        </w:rPr>
        <w:t>a</w:t>
      </w:r>
      <w:r w:rsidRPr="00BF62A1">
        <w:rPr>
          <w:color w:val="000000"/>
          <w:sz w:val="14"/>
          <w:szCs w:val="14"/>
        </w:rPr>
        <w:t>, self-calculated</w:t>
      </w:r>
    </w:p>
    <w:p w14:paraId="4A10C957" w14:textId="77777777" w:rsidR="000F0341" w:rsidRPr="00BF62A1" w:rsidRDefault="000F0341" w:rsidP="000F0341">
      <w:pPr>
        <w:spacing w:line="240" w:lineRule="auto"/>
        <w:jc w:val="left"/>
        <w:rPr>
          <w:rFonts w:ascii="Arial" w:hAnsi="Arial" w:cs="Arial"/>
          <w:b/>
          <w:bCs/>
        </w:rPr>
      </w:pPr>
    </w:p>
    <w:p w14:paraId="0108F5C9" w14:textId="77777777" w:rsidR="000F0341" w:rsidRPr="00BF62A1" w:rsidRDefault="000F0341" w:rsidP="000F0341">
      <w:pPr>
        <w:pStyle w:val="Heading1"/>
        <w:numPr>
          <w:ilvl w:val="0"/>
          <w:numId w:val="0"/>
        </w:numPr>
        <w:ind w:left="-135" w:hanging="432"/>
        <w:rPr>
          <w:rFonts w:cs="Times New Roman"/>
        </w:rPr>
      </w:pPr>
      <w:r w:rsidRPr="00BF62A1">
        <w:rPr>
          <w:rFonts w:cs="Times New Roman"/>
        </w:rPr>
        <w:t xml:space="preserve">Appendix 4: Volume definitions by volume type </w:t>
      </w:r>
    </w:p>
    <w:tbl>
      <w:tblPr>
        <w:tblStyle w:val="TableGrid"/>
        <w:tblW w:w="5341" w:type="pct"/>
        <w:tblInd w:w="-572" w:type="dxa"/>
        <w:tblLook w:val="04A0" w:firstRow="1" w:lastRow="0" w:firstColumn="1" w:lastColumn="0" w:noHBand="0" w:noVBand="1"/>
      </w:tblPr>
      <w:tblGrid>
        <w:gridCol w:w="1299"/>
        <w:gridCol w:w="768"/>
        <w:gridCol w:w="1035"/>
        <w:gridCol w:w="1204"/>
        <w:gridCol w:w="1300"/>
        <w:gridCol w:w="1227"/>
        <w:gridCol w:w="1634"/>
      </w:tblGrid>
      <w:tr w:rsidR="000F0341" w:rsidRPr="00BF62A1" w14:paraId="0D72D8ED" w14:textId="77777777" w:rsidTr="00E40B0D">
        <w:trPr>
          <w:trHeight w:val="340"/>
        </w:trPr>
        <w:tc>
          <w:tcPr>
            <w:tcW w:w="5000" w:type="pct"/>
            <w:gridSpan w:val="7"/>
            <w:tcBorders>
              <w:top w:val="single" w:sz="4" w:space="0" w:color="auto"/>
              <w:left w:val="single" w:sz="4" w:space="0" w:color="auto"/>
              <w:bottom w:val="single" w:sz="8" w:space="0" w:color="auto"/>
              <w:right w:val="single" w:sz="4" w:space="0" w:color="auto"/>
            </w:tcBorders>
            <w:vAlign w:val="center"/>
          </w:tcPr>
          <w:p w14:paraId="4FC9D811" w14:textId="77777777" w:rsidR="000F0341" w:rsidRPr="00BF62A1" w:rsidRDefault="000F0341" w:rsidP="00E40B0D">
            <w:pPr>
              <w:spacing w:line="240" w:lineRule="auto"/>
              <w:jc w:val="center"/>
              <w:rPr>
                <w:b/>
                <w:bCs/>
                <w:sz w:val="14"/>
                <w:szCs w:val="14"/>
              </w:rPr>
            </w:pPr>
            <w:r w:rsidRPr="00BF62A1">
              <w:rPr>
                <w:b/>
                <w:bCs/>
                <w:sz w:val="14"/>
                <w:szCs w:val="14"/>
              </w:rPr>
              <w:t>Hospital volume</w:t>
            </w:r>
          </w:p>
        </w:tc>
      </w:tr>
      <w:tr w:rsidR="000F0341" w:rsidRPr="00BF62A1" w14:paraId="2C1C8899" w14:textId="77777777" w:rsidTr="00E40B0D">
        <w:trPr>
          <w:trHeight w:val="20"/>
        </w:trPr>
        <w:tc>
          <w:tcPr>
            <w:tcW w:w="782" w:type="pct"/>
            <w:tcBorders>
              <w:top w:val="single" w:sz="4" w:space="0" w:color="auto"/>
              <w:left w:val="single" w:sz="4" w:space="0" w:color="auto"/>
              <w:bottom w:val="single" w:sz="8" w:space="0" w:color="auto"/>
              <w:right w:val="single" w:sz="4" w:space="0" w:color="auto"/>
            </w:tcBorders>
          </w:tcPr>
          <w:p w14:paraId="09F8A563" w14:textId="77777777" w:rsidR="000F0341" w:rsidRPr="00BF62A1" w:rsidRDefault="000F0341" w:rsidP="00E40B0D">
            <w:pPr>
              <w:spacing w:line="240" w:lineRule="auto"/>
              <w:jc w:val="left"/>
              <w:rPr>
                <w:b/>
                <w:bCs/>
                <w:sz w:val="14"/>
                <w:szCs w:val="14"/>
              </w:rPr>
            </w:pPr>
            <w:bookmarkStart w:id="2" w:name="_Hlk191387698"/>
            <w:r w:rsidRPr="00BF62A1">
              <w:rPr>
                <w:b/>
                <w:bCs/>
                <w:color w:val="000000" w:themeColor="text1"/>
                <w:sz w:val="14"/>
                <w:szCs w:val="14"/>
              </w:rPr>
              <w:t>First author and year of publication</w:t>
            </w:r>
          </w:p>
        </w:tc>
        <w:tc>
          <w:tcPr>
            <w:tcW w:w="468" w:type="pct"/>
            <w:tcBorders>
              <w:top w:val="single" w:sz="4" w:space="0" w:color="auto"/>
              <w:left w:val="single" w:sz="4" w:space="0" w:color="auto"/>
              <w:bottom w:val="single" w:sz="8" w:space="0" w:color="auto"/>
              <w:right w:val="single" w:sz="4" w:space="0" w:color="auto"/>
            </w:tcBorders>
          </w:tcPr>
          <w:p w14:paraId="22ED7DAA" w14:textId="77777777" w:rsidR="000F0341" w:rsidRPr="00BF62A1" w:rsidRDefault="000F0341" w:rsidP="00E40B0D">
            <w:pPr>
              <w:spacing w:line="240" w:lineRule="auto"/>
              <w:jc w:val="left"/>
              <w:rPr>
                <w:b/>
                <w:bCs/>
                <w:sz w:val="14"/>
                <w:szCs w:val="14"/>
              </w:rPr>
            </w:pPr>
            <w:r w:rsidRPr="00BF62A1">
              <w:rPr>
                <w:b/>
                <w:bCs/>
                <w:sz w:val="14"/>
                <w:szCs w:val="14"/>
              </w:rPr>
              <w:t>Patients (N)</w:t>
            </w:r>
          </w:p>
        </w:tc>
        <w:tc>
          <w:tcPr>
            <w:tcW w:w="1250" w:type="pct"/>
            <w:gridSpan w:val="2"/>
            <w:tcBorders>
              <w:top w:val="single" w:sz="4" w:space="0" w:color="auto"/>
              <w:left w:val="single" w:sz="4" w:space="0" w:color="auto"/>
              <w:bottom w:val="single" w:sz="8" w:space="0" w:color="auto"/>
              <w:right w:val="single" w:sz="4" w:space="0" w:color="auto"/>
            </w:tcBorders>
          </w:tcPr>
          <w:p w14:paraId="0BFAAD2A" w14:textId="77777777" w:rsidR="000F0341" w:rsidRPr="00BF62A1" w:rsidRDefault="000F0341" w:rsidP="00E40B0D">
            <w:pPr>
              <w:spacing w:line="240" w:lineRule="auto"/>
              <w:jc w:val="left"/>
              <w:rPr>
                <w:b/>
                <w:bCs/>
                <w:sz w:val="14"/>
                <w:szCs w:val="14"/>
              </w:rPr>
            </w:pPr>
            <w:r w:rsidRPr="00BF62A1">
              <w:rPr>
                <w:b/>
                <w:bCs/>
                <w:sz w:val="14"/>
                <w:szCs w:val="14"/>
              </w:rPr>
              <w:t>Case volume category</w:t>
            </w:r>
          </w:p>
        </w:tc>
        <w:tc>
          <w:tcPr>
            <w:tcW w:w="782" w:type="pct"/>
            <w:tcBorders>
              <w:top w:val="single" w:sz="4" w:space="0" w:color="auto"/>
              <w:left w:val="single" w:sz="4" w:space="0" w:color="auto"/>
              <w:bottom w:val="single" w:sz="8" w:space="0" w:color="auto"/>
              <w:right w:val="single" w:sz="4" w:space="0" w:color="auto"/>
            </w:tcBorders>
          </w:tcPr>
          <w:p w14:paraId="2AD1E5E6" w14:textId="77777777" w:rsidR="000F0341" w:rsidRPr="00BF62A1" w:rsidRDefault="000F0341" w:rsidP="00E40B0D">
            <w:pPr>
              <w:spacing w:line="240" w:lineRule="auto"/>
              <w:jc w:val="left"/>
              <w:rPr>
                <w:b/>
                <w:bCs/>
                <w:sz w:val="14"/>
                <w:szCs w:val="14"/>
              </w:rPr>
            </w:pPr>
            <w:r w:rsidRPr="00BF62A1">
              <w:rPr>
                <w:b/>
                <w:bCs/>
                <w:sz w:val="14"/>
                <w:szCs w:val="14"/>
              </w:rPr>
              <w:t>Hospital volume / year</w:t>
            </w:r>
          </w:p>
        </w:tc>
        <w:tc>
          <w:tcPr>
            <w:tcW w:w="739" w:type="pct"/>
            <w:tcBorders>
              <w:top w:val="single" w:sz="4" w:space="0" w:color="auto"/>
              <w:left w:val="single" w:sz="4" w:space="0" w:color="auto"/>
              <w:bottom w:val="single" w:sz="8" w:space="0" w:color="auto"/>
              <w:right w:val="single" w:sz="4" w:space="0" w:color="auto"/>
            </w:tcBorders>
          </w:tcPr>
          <w:p w14:paraId="516D6086" w14:textId="77777777" w:rsidR="000F0341" w:rsidRPr="00BF62A1" w:rsidRDefault="000F0341" w:rsidP="00E40B0D">
            <w:pPr>
              <w:spacing w:line="240" w:lineRule="auto"/>
              <w:jc w:val="left"/>
              <w:rPr>
                <w:b/>
                <w:bCs/>
                <w:sz w:val="14"/>
                <w:szCs w:val="14"/>
              </w:rPr>
            </w:pPr>
            <w:r w:rsidRPr="00BF62A1">
              <w:rPr>
                <w:b/>
                <w:bCs/>
                <w:sz w:val="14"/>
                <w:szCs w:val="14"/>
              </w:rPr>
              <w:t>Patients / category</w:t>
            </w:r>
          </w:p>
        </w:tc>
        <w:tc>
          <w:tcPr>
            <w:tcW w:w="980" w:type="pct"/>
            <w:tcBorders>
              <w:top w:val="single" w:sz="4" w:space="0" w:color="auto"/>
              <w:left w:val="single" w:sz="4" w:space="0" w:color="auto"/>
              <w:bottom w:val="single" w:sz="8" w:space="0" w:color="auto"/>
              <w:right w:val="single" w:sz="4" w:space="0" w:color="auto"/>
            </w:tcBorders>
          </w:tcPr>
          <w:p w14:paraId="6C1CE8D1" w14:textId="77777777" w:rsidR="000F0341" w:rsidRPr="00BF62A1" w:rsidRDefault="000F0341" w:rsidP="00E40B0D">
            <w:pPr>
              <w:spacing w:line="240" w:lineRule="auto"/>
              <w:jc w:val="left"/>
              <w:rPr>
                <w:b/>
                <w:bCs/>
                <w:sz w:val="14"/>
                <w:szCs w:val="14"/>
              </w:rPr>
            </w:pPr>
            <w:r w:rsidRPr="00BF62A1">
              <w:rPr>
                <w:b/>
                <w:bCs/>
                <w:sz w:val="14"/>
                <w:szCs w:val="14"/>
              </w:rPr>
              <w:t>Units / category</w:t>
            </w:r>
          </w:p>
        </w:tc>
      </w:tr>
      <w:tr w:rsidR="000F0341" w:rsidRPr="00BF62A1" w14:paraId="6F5302C7" w14:textId="77777777" w:rsidTr="00E40B0D">
        <w:trPr>
          <w:trHeight w:val="20"/>
        </w:trPr>
        <w:tc>
          <w:tcPr>
            <w:tcW w:w="782" w:type="pct"/>
            <w:vMerge w:val="restart"/>
            <w:tcBorders>
              <w:top w:val="single" w:sz="8" w:space="0" w:color="auto"/>
              <w:left w:val="single" w:sz="4" w:space="0" w:color="auto"/>
              <w:right w:val="single" w:sz="4" w:space="0" w:color="auto"/>
            </w:tcBorders>
          </w:tcPr>
          <w:p w14:paraId="5DB113FF" w14:textId="77777777" w:rsidR="000F0341" w:rsidRPr="00BF62A1" w:rsidRDefault="000F0341" w:rsidP="00E40B0D">
            <w:pPr>
              <w:spacing w:line="240" w:lineRule="auto"/>
              <w:jc w:val="left"/>
              <w:rPr>
                <w:sz w:val="14"/>
                <w:szCs w:val="14"/>
              </w:rPr>
            </w:pPr>
            <w:r w:rsidRPr="00BF62A1">
              <w:rPr>
                <w:sz w:val="14"/>
                <w:szCs w:val="14"/>
              </w:rPr>
              <w:t xml:space="preserve">Ardito 2020 </w:t>
            </w:r>
            <w:r w:rsidRPr="00BF62A1">
              <w:rPr>
                <w:sz w:val="14"/>
                <w:szCs w:val="14"/>
              </w:rPr>
              <w:fldChar w:fldCharType="begin"/>
            </w:r>
            <w:r>
              <w:rPr>
                <w:sz w:val="14"/>
                <w:szCs w:val="14"/>
              </w:rPr>
              <w:instrText xml:space="preserve"> ADDIN ZOTERO_ITEM CSL_CITATION {"citationID":"6THguVB0","properties":{"formattedCitation":"[65]","plainCitation":"[65]","noteIndex":0},"citationItems":[{"id":14219,"uris":["http://zotero.org/groups/4983919/items/5P557HLN"],"itemData":{"id":14219,"type":"article-journal","abstract":"OBJECTIVE: The aim of this study was to evaluate correlation between centers' volume and incidence of failure to rescue (FTR) following liver resection for hepatocellular carcinoma (HCC). SUMMARY BACKGROUND DATA: FTR, defined as the probability of postoperative death among patients with major complication, has been proposed to assess quality of care during hospitalization. Perioperative management is challenging in cirrhotic patients and the ability to recognize and treat a complication may be fundamental to rescue patients from the risk of death. METHODS: Patients undergoing liver resection for HCC between 2008 and 2018 in 18 Centers enrolled in the He.Rc.O.Le.S. Italian register. Early results included major complications (Clavien ≥3), 90-day mortality, and FTR and were analyzed according to center's volume. RESULTS: Among 1935 included patients, major complication rate was 9.4% (8.6%, 12.3%, and 7.0% for low-, intermediate- and high-volume centers, respectively, P = 0.001). Ninety-day mortality rate was 2.6% (3.7%, 4.2% and 0.9% for low-, intermediate- and high-volume centers, respectively, P &lt; 0.001). FTR was significantly higher at low- and intermediate-volume centers (28.6% and 26.5%, respectively) than at high-volume centers (6.1%, P = 0.002). Independent predictors for major complications were American Society of Anesthesiologists (ASA) &gt;2, portal hypertension, intraoperative blood transfusions, and center's volume. Independent predictors for 90-day mortality were ASA &gt;2, Child-Pugh score B, BCLC stage B-C, and center's volume. Center's volume and BCLC stage were strongly associated with FTR. CONCLUSIONS: Risk of major complications and mortality was related with comorbidities, cirrhosis severity, and complexity of surgery. These factors were not correlated with FTR. Center's volume was the only independent predictor related with severe complications, mortality, and FTR.","container-title":"Ann Surg","DOI":"10.1097/sla.0000000000004327","ISSN":"0003-4932","issue":"5","language":"eng","note":"publisher-place: Hepatobiliary Surgery Unit, Fondazione \"Policlinico Universitario A. Gemelli, IRCCS\" Catholic University of the Sacred Heart, Rome, Italy. School of Medicine and Surgery, University of Milano-Bicocca, Department of Surgery, SanGerardo Hospital, Monza, Italy. Hepatobiliary Surgery Division, Ospedale San Raffaele, Milano, Italy. Division of Hepatobiliarypancreatic Surgery, IRCCS - Regina Elena National Cancer Institute, Rome, Italy. Department of Surgery, University of Parma, Parma, Italy. Unit of General Surgery 1, University of Pavia and Foundation IRCCS Policlinico San Matteo, Pavia, Italy. Department of Surgery, AUSL Bologna Bellaria-Maggiore Hospital, Bologna, Italy. Division of General and Hepatobiliary Surgery, Department of Surgical Sciences, Dentistry, Gynecology and Pediatrics, University of Verona, Verona, Italy. Department of Clinical and Experimental Sciences, University of Brescia, Brescia, Italy. General and Oncologic Surgery, Morgagni-Pierantoni Hospital, Forlì, Italy. HPB Surgical Unit, San Paolo Hospital, Savona, Italy. Department of Surgery, Bolzano Central Hospital, Bolzano, Italy. Department of Surgery, Oncology and Gastroenterology, Hepatobiliary Surgery and Liver Transplantation, Padua University, Italy. Department of General Surgery, Poliambulanza Foundation Hospital, Brescia, Italy. Department of Surgery, Monza Policlinic, Monza, Italy. Department of Surgery, L. Sacco Hospital, Milan, Italy. Department of Emergency and Organ Transplantation, Aldo Moro University, Bari, Italy.","page":"840-846","title":"The Impact of Hospital Volume on Failure to Rescue after Liver Resection for Hepatocellular Carcinoma: Analysis from the HE.RC.O.LE.S. Italian Registry","volume":"272","author":[{"family":"Ardito","given":"F."},{"family":"Famularo","given":"S."},{"family":"Aldrighetti","given":"L."},{"family":"Grazi","given":"G. L."},{"family":"DallaValle","given":"R."},{"family":"Maestri","given":"M."},{"family":"Jovine","given":"E."},{"family":"Ruzzenente","given":"A."},{"family":"Baiocchi","given":"G. L."},{"family":"Ercolani","given":"G."},{"family":"Griseri","given":"G."},{"family":"Frena","given":"A."},{"family":"Zanus","given":"G."},{"family":"Zimmitti","given":"G."},{"family":"Antonucci","given":"A."},{"family":"Crespi","given":"M."},{"family":"Memeo","given":"R."},{"family":"Romano","given":"F."},{"family":"Giuliante","given":"F."}],"issued":{"date-parts":[["2020",11]]}}}],"schema":"https://github.com/citation-style-language/schema/raw/master/csl-citation.json"} </w:instrText>
            </w:r>
            <w:r w:rsidRPr="00BF62A1">
              <w:rPr>
                <w:sz w:val="14"/>
                <w:szCs w:val="14"/>
              </w:rPr>
              <w:fldChar w:fldCharType="separate"/>
            </w:r>
            <w:r w:rsidRPr="004125CE">
              <w:rPr>
                <w:sz w:val="14"/>
              </w:rPr>
              <w:t>[65]</w:t>
            </w:r>
            <w:r w:rsidRPr="00BF62A1">
              <w:rPr>
                <w:sz w:val="14"/>
                <w:szCs w:val="14"/>
              </w:rPr>
              <w:fldChar w:fldCharType="end"/>
            </w:r>
          </w:p>
        </w:tc>
        <w:tc>
          <w:tcPr>
            <w:tcW w:w="468" w:type="pct"/>
            <w:vMerge w:val="restart"/>
            <w:tcBorders>
              <w:top w:val="single" w:sz="8" w:space="0" w:color="auto"/>
              <w:left w:val="single" w:sz="4" w:space="0" w:color="auto"/>
              <w:right w:val="single" w:sz="4" w:space="0" w:color="auto"/>
            </w:tcBorders>
          </w:tcPr>
          <w:p w14:paraId="6D59033D" w14:textId="77777777" w:rsidR="000F0341" w:rsidRPr="00BF62A1" w:rsidRDefault="000F0341" w:rsidP="00E40B0D">
            <w:pPr>
              <w:spacing w:line="240" w:lineRule="auto"/>
              <w:jc w:val="left"/>
              <w:rPr>
                <w:sz w:val="14"/>
                <w:szCs w:val="14"/>
                <w:vertAlign w:val="superscript"/>
              </w:rPr>
            </w:pPr>
            <w:r w:rsidRPr="00BF62A1">
              <w:rPr>
                <w:sz w:val="14"/>
                <w:szCs w:val="14"/>
              </w:rPr>
              <w:t>1935</w:t>
            </w:r>
          </w:p>
        </w:tc>
        <w:tc>
          <w:tcPr>
            <w:tcW w:w="626" w:type="pct"/>
            <w:vMerge w:val="restart"/>
            <w:tcBorders>
              <w:top w:val="single" w:sz="8" w:space="0" w:color="auto"/>
              <w:left w:val="single" w:sz="4" w:space="0" w:color="auto"/>
              <w:right w:val="single" w:sz="4" w:space="0" w:color="auto"/>
            </w:tcBorders>
          </w:tcPr>
          <w:p w14:paraId="0ADE20B1" w14:textId="77777777" w:rsidR="000F0341" w:rsidRPr="00BF62A1" w:rsidRDefault="000F0341" w:rsidP="00E40B0D">
            <w:pPr>
              <w:spacing w:line="240" w:lineRule="auto"/>
              <w:jc w:val="left"/>
              <w:rPr>
                <w:sz w:val="14"/>
                <w:szCs w:val="14"/>
              </w:rPr>
            </w:pPr>
            <w:r w:rsidRPr="00BF62A1">
              <w:rPr>
                <w:sz w:val="14"/>
                <w:szCs w:val="14"/>
              </w:rPr>
              <w:t>-</w:t>
            </w:r>
          </w:p>
        </w:tc>
        <w:tc>
          <w:tcPr>
            <w:tcW w:w="624" w:type="pct"/>
            <w:tcBorders>
              <w:top w:val="single" w:sz="8" w:space="0" w:color="auto"/>
              <w:left w:val="single" w:sz="4" w:space="0" w:color="auto"/>
              <w:bottom w:val="single" w:sz="4" w:space="0" w:color="auto"/>
              <w:right w:val="single" w:sz="4" w:space="0" w:color="auto"/>
            </w:tcBorders>
          </w:tcPr>
          <w:p w14:paraId="0698DE93" w14:textId="77777777" w:rsidR="000F0341" w:rsidRPr="00BF62A1" w:rsidRDefault="000F0341" w:rsidP="00E40B0D">
            <w:pPr>
              <w:spacing w:line="240" w:lineRule="auto"/>
              <w:jc w:val="left"/>
              <w:rPr>
                <w:sz w:val="14"/>
                <w:szCs w:val="14"/>
              </w:rPr>
            </w:pPr>
            <w:r w:rsidRPr="00BF62A1">
              <w:rPr>
                <w:sz w:val="14"/>
                <w:szCs w:val="14"/>
              </w:rPr>
              <w:t>Low</w:t>
            </w:r>
          </w:p>
        </w:tc>
        <w:tc>
          <w:tcPr>
            <w:tcW w:w="782" w:type="pct"/>
            <w:tcBorders>
              <w:top w:val="single" w:sz="8" w:space="0" w:color="auto"/>
              <w:left w:val="single" w:sz="4" w:space="0" w:color="auto"/>
              <w:right w:val="single" w:sz="4" w:space="0" w:color="auto"/>
            </w:tcBorders>
          </w:tcPr>
          <w:p w14:paraId="319F70B0" w14:textId="77777777" w:rsidR="000F0341" w:rsidRPr="00BF62A1" w:rsidRDefault="000F0341" w:rsidP="00E40B0D">
            <w:pPr>
              <w:spacing w:line="240" w:lineRule="auto"/>
              <w:jc w:val="left"/>
              <w:rPr>
                <w:sz w:val="14"/>
                <w:szCs w:val="14"/>
              </w:rPr>
            </w:pPr>
            <w:r w:rsidRPr="00BF62A1">
              <w:rPr>
                <w:sz w:val="14"/>
                <w:szCs w:val="14"/>
              </w:rPr>
              <w:t>21-50</w:t>
            </w:r>
          </w:p>
        </w:tc>
        <w:tc>
          <w:tcPr>
            <w:tcW w:w="739" w:type="pct"/>
            <w:tcBorders>
              <w:top w:val="single" w:sz="8" w:space="0" w:color="auto"/>
              <w:left w:val="single" w:sz="4" w:space="0" w:color="auto"/>
              <w:right w:val="single" w:sz="4" w:space="0" w:color="auto"/>
            </w:tcBorders>
          </w:tcPr>
          <w:p w14:paraId="4CB2EE1F" w14:textId="77777777" w:rsidR="000F0341" w:rsidRPr="00BF62A1" w:rsidRDefault="000F0341" w:rsidP="00E40B0D">
            <w:pPr>
              <w:spacing w:line="240" w:lineRule="auto"/>
              <w:jc w:val="left"/>
              <w:rPr>
                <w:sz w:val="14"/>
                <w:szCs w:val="14"/>
                <w:vertAlign w:val="superscript"/>
              </w:rPr>
            </w:pPr>
            <w:r w:rsidRPr="00BF62A1">
              <w:rPr>
                <w:sz w:val="14"/>
                <w:szCs w:val="14"/>
              </w:rPr>
              <w:t>162</w:t>
            </w:r>
          </w:p>
        </w:tc>
        <w:tc>
          <w:tcPr>
            <w:tcW w:w="980" w:type="pct"/>
            <w:tcBorders>
              <w:top w:val="single" w:sz="8" w:space="0" w:color="auto"/>
              <w:left w:val="single" w:sz="4" w:space="0" w:color="auto"/>
              <w:right w:val="single" w:sz="4" w:space="0" w:color="auto"/>
            </w:tcBorders>
          </w:tcPr>
          <w:p w14:paraId="07660178" w14:textId="77777777" w:rsidR="000F0341" w:rsidRPr="00BF62A1" w:rsidRDefault="000F0341" w:rsidP="00E40B0D">
            <w:pPr>
              <w:spacing w:line="240" w:lineRule="auto"/>
              <w:jc w:val="left"/>
              <w:rPr>
                <w:sz w:val="14"/>
                <w:szCs w:val="14"/>
              </w:rPr>
            </w:pPr>
            <w:r w:rsidRPr="00BF62A1">
              <w:rPr>
                <w:sz w:val="14"/>
                <w:szCs w:val="14"/>
              </w:rPr>
              <w:t>5</w:t>
            </w:r>
          </w:p>
        </w:tc>
      </w:tr>
      <w:tr w:rsidR="000F0341" w:rsidRPr="00BF62A1" w14:paraId="1A226BDD" w14:textId="77777777" w:rsidTr="00E40B0D">
        <w:trPr>
          <w:trHeight w:val="20"/>
        </w:trPr>
        <w:tc>
          <w:tcPr>
            <w:tcW w:w="782" w:type="pct"/>
            <w:vMerge/>
            <w:tcBorders>
              <w:left w:val="single" w:sz="4" w:space="0" w:color="auto"/>
              <w:right w:val="single" w:sz="4" w:space="0" w:color="auto"/>
            </w:tcBorders>
          </w:tcPr>
          <w:p w14:paraId="5E9E703F" w14:textId="77777777" w:rsidR="000F0341" w:rsidRPr="00BF62A1"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7F4506B6" w14:textId="77777777" w:rsidR="000F0341" w:rsidRPr="00BF62A1"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161F6E8E" w14:textId="77777777" w:rsidR="000F0341" w:rsidRPr="00BF62A1"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4EE0E991" w14:textId="77777777" w:rsidR="000F0341" w:rsidRPr="00BF62A1" w:rsidRDefault="000F0341" w:rsidP="00E40B0D">
            <w:pPr>
              <w:spacing w:line="240" w:lineRule="auto"/>
              <w:jc w:val="left"/>
              <w:rPr>
                <w:sz w:val="14"/>
                <w:szCs w:val="14"/>
                <w:vertAlign w:val="superscript"/>
              </w:rPr>
            </w:pPr>
            <w:r w:rsidRPr="00BF62A1">
              <w:rPr>
                <w:sz w:val="14"/>
                <w:szCs w:val="14"/>
              </w:rPr>
              <w:t>Inte</w:t>
            </w:r>
            <w:r>
              <w:rPr>
                <w:sz w:val="14"/>
                <w:szCs w:val="14"/>
              </w:rPr>
              <w:t>r</w:t>
            </w:r>
            <w:r w:rsidRPr="00BF62A1">
              <w:rPr>
                <w:sz w:val="14"/>
                <w:szCs w:val="14"/>
              </w:rPr>
              <w:t>mediate</w:t>
            </w:r>
            <w:r w:rsidRPr="00BF62A1">
              <w:rPr>
                <w:sz w:val="14"/>
                <w:szCs w:val="14"/>
                <w:vertAlign w:val="superscript"/>
              </w:rPr>
              <w:t>b</w:t>
            </w:r>
          </w:p>
        </w:tc>
        <w:tc>
          <w:tcPr>
            <w:tcW w:w="782" w:type="pct"/>
            <w:tcBorders>
              <w:left w:val="single" w:sz="4" w:space="0" w:color="auto"/>
              <w:right w:val="single" w:sz="4" w:space="0" w:color="auto"/>
            </w:tcBorders>
          </w:tcPr>
          <w:p w14:paraId="256D516B" w14:textId="77777777" w:rsidR="000F0341" w:rsidRPr="00BF62A1" w:rsidRDefault="000F0341" w:rsidP="00E40B0D">
            <w:pPr>
              <w:spacing w:line="240" w:lineRule="auto"/>
              <w:jc w:val="left"/>
              <w:rPr>
                <w:sz w:val="14"/>
                <w:szCs w:val="14"/>
                <w:vertAlign w:val="superscript"/>
              </w:rPr>
            </w:pPr>
            <w:r w:rsidRPr="00BF62A1">
              <w:rPr>
                <w:sz w:val="14"/>
                <w:szCs w:val="14"/>
              </w:rPr>
              <w:t>51-100 / 21-100</w:t>
            </w:r>
            <w:r w:rsidRPr="00BF62A1">
              <w:rPr>
                <w:sz w:val="14"/>
                <w:szCs w:val="14"/>
                <w:vertAlign w:val="superscript"/>
              </w:rPr>
              <w:t>b</w:t>
            </w:r>
          </w:p>
        </w:tc>
        <w:tc>
          <w:tcPr>
            <w:tcW w:w="739" w:type="pct"/>
            <w:tcBorders>
              <w:left w:val="single" w:sz="4" w:space="0" w:color="auto"/>
              <w:right w:val="single" w:sz="4" w:space="0" w:color="auto"/>
            </w:tcBorders>
          </w:tcPr>
          <w:p w14:paraId="6DD9455E" w14:textId="77777777" w:rsidR="000F0341" w:rsidRPr="00BF62A1" w:rsidRDefault="000F0341" w:rsidP="00E40B0D">
            <w:pPr>
              <w:spacing w:line="240" w:lineRule="auto"/>
              <w:jc w:val="left"/>
              <w:rPr>
                <w:sz w:val="14"/>
                <w:szCs w:val="14"/>
              </w:rPr>
            </w:pPr>
            <w:r w:rsidRPr="00BF62A1">
              <w:rPr>
                <w:sz w:val="14"/>
                <w:szCs w:val="14"/>
              </w:rPr>
              <w:t>830 / 674</w:t>
            </w:r>
            <w:r w:rsidRPr="00BF62A1">
              <w:rPr>
                <w:sz w:val="14"/>
                <w:szCs w:val="14"/>
                <w:vertAlign w:val="superscript"/>
              </w:rPr>
              <w:t xml:space="preserve"> b</w:t>
            </w:r>
          </w:p>
        </w:tc>
        <w:tc>
          <w:tcPr>
            <w:tcW w:w="980" w:type="pct"/>
            <w:tcBorders>
              <w:left w:val="single" w:sz="4" w:space="0" w:color="auto"/>
              <w:right w:val="single" w:sz="4" w:space="0" w:color="auto"/>
            </w:tcBorders>
          </w:tcPr>
          <w:p w14:paraId="43471CA3" w14:textId="77777777" w:rsidR="000F0341" w:rsidRPr="00BF62A1" w:rsidRDefault="000F0341" w:rsidP="00E40B0D">
            <w:pPr>
              <w:spacing w:line="240" w:lineRule="auto"/>
              <w:jc w:val="left"/>
              <w:rPr>
                <w:sz w:val="14"/>
                <w:szCs w:val="14"/>
              </w:rPr>
            </w:pPr>
            <w:r w:rsidRPr="00BF62A1">
              <w:rPr>
                <w:sz w:val="14"/>
                <w:szCs w:val="14"/>
              </w:rPr>
              <w:t>10</w:t>
            </w:r>
          </w:p>
        </w:tc>
      </w:tr>
      <w:tr w:rsidR="000F0341" w:rsidRPr="00BF62A1" w14:paraId="3C41C026" w14:textId="77777777" w:rsidTr="00E40B0D">
        <w:trPr>
          <w:trHeight w:val="20"/>
        </w:trPr>
        <w:tc>
          <w:tcPr>
            <w:tcW w:w="782" w:type="pct"/>
            <w:vMerge/>
            <w:tcBorders>
              <w:left w:val="single" w:sz="4" w:space="0" w:color="auto"/>
              <w:bottom w:val="single" w:sz="8" w:space="0" w:color="auto"/>
              <w:right w:val="single" w:sz="4" w:space="0" w:color="auto"/>
            </w:tcBorders>
          </w:tcPr>
          <w:p w14:paraId="3590BE2D" w14:textId="77777777" w:rsidR="000F0341" w:rsidRPr="00BF62A1" w:rsidRDefault="000F0341" w:rsidP="00E40B0D">
            <w:pPr>
              <w:spacing w:line="240" w:lineRule="auto"/>
              <w:jc w:val="left"/>
              <w:rPr>
                <w:sz w:val="14"/>
                <w:szCs w:val="14"/>
              </w:rPr>
            </w:pPr>
          </w:p>
        </w:tc>
        <w:tc>
          <w:tcPr>
            <w:tcW w:w="468" w:type="pct"/>
            <w:vMerge/>
            <w:tcBorders>
              <w:left w:val="single" w:sz="4" w:space="0" w:color="auto"/>
              <w:bottom w:val="single" w:sz="8" w:space="0" w:color="auto"/>
              <w:right w:val="single" w:sz="4" w:space="0" w:color="auto"/>
            </w:tcBorders>
          </w:tcPr>
          <w:p w14:paraId="0CDC835E" w14:textId="77777777" w:rsidR="000F0341" w:rsidRPr="00BF62A1" w:rsidRDefault="000F0341" w:rsidP="00E40B0D">
            <w:pPr>
              <w:spacing w:line="240" w:lineRule="auto"/>
              <w:jc w:val="left"/>
              <w:rPr>
                <w:sz w:val="14"/>
                <w:szCs w:val="14"/>
              </w:rPr>
            </w:pPr>
          </w:p>
        </w:tc>
        <w:tc>
          <w:tcPr>
            <w:tcW w:w="626" w:type="pct"/>
            <w:vMerge/>
            <w:tcBorders>
              <w:left w:val="single" w:sz="4" w:space="0" w:color="auto"/>
              <w:bottom w:val="single" w:sz="8" w:space="0" w:color="auto"/>
              <w:right w:val="single" w:sz="4" w:space="0" w:color="auto"/>
            </w:tcBorders>
          </w:tcPr>
          <w:p w14:paraId="02A85769" w14:textId="77777777" w:rsidR="000F0341" w:rsidRPr="00BF62A1" w:rsidRDefault="000F0341" w:rsidP="00E40B0D">
            <w:pPr>
              <w:spacing w:line="240" w:lineRule="auto"/>
              <w:jc w:val="left"/>
              <w:rPr>
                <w:sz w:val="14"/>
                <w:szCs w:val="14"/>
              </w:rPr>
            </w:pPr>
          </w:p>
        </w:tc>
        <w:tc>
          <w:tcPr>
            <w:tcW w:w="624" w:type="pct"/>
            <w:tcBorders>
              <w:top w:val="single" w:sz="4" w:space="0" w:color="auto"/>
              <w:left w:val="single" w:sz="4" w:space="0" w:color="auto"/>
              <w:bottom w:val="single" w:sz="8" w:space="0" w:color="auto"/>
              <w:right w:val="single" w:sz="4" w:space="0" w:color="auto"/>
            </w:tcBorders>
          </w:tcPr>
          <w:p w14:paraId="0F2E1BB5" w14:textId="77777777" w:rsidR="000F0341" w:rsidRPr="00BF62A1" w:rsidRDefault="000F0341" w:rsidP="00E40B0D">
            <w:pPr>
              <w:spacing w:line="240" w:lineRule="auto"/>
              <w:jc w:val="left"/>
              <w:rPr>
                <w:sz w:val="14"/>
                <w:szCs w:val="14"/>
              </w:rPr>
            </w:pPr>
            <w:r w:rsidRPr="00BF62A1">
              <w:rPr>
                <w:sz w:val="14"/>
                <w:szCs w:val="14"/>
              </w:rPr>
              <w:t>High</w:t>
            </w:r>
          </w:p>
        </w:tc>
        <w:tc>
          <w:tcPr>
            <w:tcW w:w="782" w:type="pct"/>
            <w:tcBorders>
              <w:left w:val="single" w:sz="4" w:space="0" w:color="auto"/>
              <w:bottom w:val="single" w:sz="8" w:space="0" w:color="auto"/>
              <w:right w:val="single" w:sz="4" w:space="0" w:color="auto"/>
            </w:tcBorders>
          </w:tcPr>
          <w:p w14:paraId="76E9A9F2" w14:textId="77777777" w:rsidR="000F0341" w:rsidRPr="00BF62A1" w:rsidRDefault="000F0341" w:rsidP="00E40B0D">
            <w:pPr>
              <w:spacing w:line="240" w:lineRule="auto"/>
              <w:jc w:val="left"/>
              <w:rPr>
                <w:sz w:val="14"/>
                <w:szCs w:val="14"/>
              </w:rPr>
            </w:pPr>
            <w:r w:rsidRPr="00BF62A1">
              <w:rPr>
                <w:sz w:val="14"/>
                <w:szCs w:val="14"/>
              </w:rPr>
              <w:t>&gt;100 / &gt;100</w:t>
            </w:r>
            <w:r w:rsidRPr="00BF62A1">
              <w:rPr>
                <w:sz w:val="14"/>
                <w:szCs w:val="14"/>
                <w:vertAlign w:val="superscript"/>
              </w:rPr>
              <w:t>b</w:t>
            </w:r>
          </w:p>
        </w:tc>
        <w:tc>
          <w:tcPr>
            <w:tcW w:w="739" w:type="pct"/>
            <w:tcBorders>
              <w:left w:val="single" w:sz="4" w:space="0" w:color="auto"/>
              <w:bottom w:val="single" w:sz="8" w:space="0" w:color="auto"/>
              <w:right w:val="single" w:sz="4" w:space="0" w:color="auto"/>
            </w:tcBorders>
          </w:tcPr>
          <w:p w14:paraId="7D29ACC9" w14:textId="77777777" w:rsidR="000F0341" w:rsidRPr="00BF62A1" w:rsidRDefault="000F0341" w:rsidP="00E40B0D">
            <w:pPr>
              <w:spacing w:line="240" w:lineRule="auto"/>
              <w:jc w:val="left"/>
              <w:rPr>
                <w:sz w:val="14"/>
                <w:szCs w:val="14"/>
              </w:rPr>
            </w:pPr>
            <w:r w:rsidRPr="00BF62A1">
              <w:rPr>
                <w:sz w:val="14"/>
                <w:szCs w:val="14"/>
              </w:rPr>
              <w:t>943/ 674</w:t>
            </w:r>
            <w:r w:rsidRPr="00BF62A1">
              <w:rPr>
                <w:sz w:val="14"/>
                <w:szCs w:val="14"/>
                <w:vertAlign w:val="superscript"/>
              </w:rPr>
              <w:t xml:space="preserve"> b</w:t>
            </w:r>
          </w:p>
        </w:tc>
        <w:tc>
          <w:tcPr>
            <w:tcW w:w="980" w:type="pct"/>
            <w:tcBorders>
              <w:left w:val="single" w:sz="4" w:space="0" w:color="auto"/>
              <w:bottom w:val="single" w:sz="8" w:space="0" w:color="auto"/>
              <w:right w:val="single" w:sz="4" w:space="0" w:color="auto"/>
            </w:tcBorders>
          </w:tcPr>
          <w:p w14:paraId="42D68F3C" w14:textId="77777777" w:rsidR="000F0341" w:rsidRPr="00BF62A1" w:rsidRDefault="000F0341" w:rsidP="00E40B0D">
            <w:pPr>
              <w:spacing w:line="240" w:lineRule="auto"/>
              <w:jc w:val="left"/>
              <w:rPr>
                <w:sz w:val="14"/>
                <w:szCs w:val="14"/>
              </w:rPr>
            </w:pPr>
            <w:r w:rsidRPr="00BF62A1">
              <w:rPr>
                <w:sz w:val="14"/>
                <w:szCs w:val="14"/>
              </w:rPr>
              <w:t>3</w:t>
            </w:r>
          </w:p>
        </w:tc>
      </w:tr>
      <w:tr w:rsidR="000F0341" w:rsidRPr="00BF62A1" w14:paraId="3344F11D" w14:textId="77777777" w:rsidTr="00E40B0D">
        <w:trPr>
          <w:trHeight w:val="20"/>
        </w:trPr>
        <w:tc>
          <w:tcPr>
            <w:tcW w:w="782" w:type="pct"/>
            <w:vMerge w:val="restart"/>
            <w:tcBorders>
              <w:top w:val="single" w:sz="8" w:space="0" w:color="auto"/>
              <w:left w:val="single" w:sz="4" w:space="0" w:color="auto"/>
              <w:right w:val="single" w:sz="4" w:space="0" w:color="auto"/>
            </w:tcBorders>
          </w:tcPr>
          <w:p w14:paraId="417532FE" w14:textId="2C97FD3E" w:rsidR="000F0341" w:rsidRPr="00BF62A1" w:rsidRDefault="000F0341" w:rsidP="00E40B0D">
            <w:pPr>
              <w:spacing w:line="240" w:lineRule="auto"/>
              <w:jc w:val="left"/>
              <w:rPr>
                <w:sz w:val="14"/>
                <w:szCs w:val="14"/>
              </w:rPr>
            </w:pPr>
            <w:r w:rsidRPr="00BF62A1">
              <w:rPr>
                <w:sz w:val="14"/>
                <w:szCs w:val="14"/>
              </w:rPr>
              <w:t xml:space="preserve">Beal 2019 </w:t>
            </w:r>
            <w:r w:rsidRPr="00BF62A1">
              <w:rPr>
                <w:sz w:val="14"/>
                <w:szCs w:val="14"/>
              </w:rPr>
              <w:fldChar w:fldCharType="begin"/>
            </w:r>
            <w:r>
              <w:rPr>
                <w:sz w:val="14"/>
                <w:szCs w:val="14"/>
              </w:rPr>
              <w:instrText xml:space="preserve"> ADDIN ZOTERO_ITEM CSL_CITATION {"citationID":"ew41wfhX","properties":{"formattedCitation":"[87]","plainCitation":"[87]","noteIndex":0},"citationItems":[{"id":14211,"uris":["http://zotero.org/groups/4983919/items/683U76IA"],"itemData":{"id":14211,"type":"article-journal","abstract":"BACKGROUND: Data on the impact of hospital volume and travel distance on patient outcomes after major abdominal surgery remain poorly defined. We sought to characterize the relationship of travel distance, hospital volume, and long-term outcomes of patients undergoing surgical resection of hepatocellular carcinoma (HCC). METHODS: The 2004-2015 National Cancer Database was used to identify patients who underwent resection of HCC. Patients were stratified according to travel distance and hospital volume quartiles, and multivariable regression models were utilized to examine the impact of travel distance, hospital volume, and travel distance/hospital volume on overall survival (OS). RESULTS: Among the 12,266 patients identified, procedures included wedge/segmental resections (N = 7354, 59.9%), hemi-hepatectomy (N = 4003, 32.6%), and extended hepatectomy (N = 909, 7.5%). Stratifying data into quartiles, travel distance to surgical care was ≤ 5.7 miles (mi), &gt; 5.7-14.2 mi, &gt; 14.2-44.4 mi, and ≥ 44.4 mi, while hospital volume quartiles determined on the hospital level were ≤ 1 case per year, 1.1-4, 4.1-12.5, and ≥ 12.5. On multivariable analysis, increased hospital volume was associated with decreased hazard of mortality (HR 0.69, 95% CI 0.45-0.82, p &lt; 0.001). Travel distance was not significantly associated with hazard of mortality. Furthermore, only hospital volume was associated with mortality (HR 0.67, 95% CI 0.56-0.80, p &lt; 0.001) after controlling for both travel distance and hospital volume. CONCLUSIONS: Only hospital volume was associated with increased hazard of mortality. The benefits of undergoing resection for HCC at a high-volume hospital appear to outweigh the inconvenience of longer travel distances.","container-title":"J Gastrointest Surg","DOI":"10.1007/s11605-019-04233-w","ISSN":"1091-255x","issue":"7","language":"eng","note":"publisher-place: Department of Surgery, Division of Surgical Oncology, The Ohio State University Wexner Medical Center, 395 W. 12th Ave., Suite 670, Columbus, OH, USA. Department of Surgery, Division of Surgical Oncology, The Ohio State University Wexner Medical Center, 395 W. 12th Ave., Suite 670, Columbus, OH, USA. tim.pawlik@osumc.edu.","page":"1425-1434","title":"Outcomes After Resection of Hepatocellular Carcinoma: Intersection of Travel Distance and Hospital Volume","volume":"23","author":[{"family":"Beal","given":"E. W."},{"family":"Mehta","given":"R."},{"family":"Merath","given":"K."},{"family":"Tsilimigras","given":"D. I."},{"family":"Hyer","given":"J. M."},{"family":"Paredes","given":"A."},{"family":"Dillhoff","given":"M. E."},{"family":"Cloyd","given":"J."},{"family":"Ejaz","given":"A."},{"family":"Pawlik","given":"T. M."}],"issued":{"date-parts":[["2019",7]]}}}],"schema":"https://github.com/citation-style-language/schema/raw/master/csl-citation.json"} </w:instrText>
            </w:r>
            <w:r w:rsidRPr="00BF62A1">
              <w:rPr>
                <w:sz w:val="14"/>
                <w:szCs w:val="14"/>
              </w:rPr>
              <w:fldChar w:fldCharType="separate"/>
            </w:r>
            <w:r w:rsidRPr="004125CE">
              <w:rPr>
                <w:sz w:val="14"/>
              </w:rPr>
              <w:t>[</w:t>
            </w:r>
            <w:r w:rsidR="00D03F0D">
              <w:rPr>
                <w:sz w:val="14"/>
              </w:rPr>
              <w:t>78</w:t>
            </w:r>
            <w:r w:rsidRPr="004125CE">
              <w:rPr>
                <w:sz w:val="14"/>
              </w:rPr>
              <w:t>]</w:t>
            </w:r>
            <w:r w:rsidRPr="00BF62A1">
              <w:rPr>
                <w:sz w:val="14"/>
                <w:szCs w:val="14"/>
              </w:rPr>
              <w:fldChar w:fldCharType="end"/>
            </w:r>
          </w:p>
        </w:tc>
        <w:tc>
          <w:tcPr>
            <w:tcW w:w="468" w:type="pct"/>
            <w:vMerge w:val="restart"/>
            <w:tcBorders>
              <w:top w:val="single" w:sz="8" w:space="0" w:color="auto"/>
              <w:left w:val="single" w:sz="4" w:space="0" w:color="auto"/>
              <w:right w:val="single" w:sz="4" w:space="0" w:color="auto"/>
            </w:tcBorders>
          </w:tcPr>
          <w:p w14:paraId="48321529" w14:textId="77777777" w:rsidR="000F0341" w:rsidRPr="00BF62A1" w:rsidRDefault="000F0341" w:rsidP="00E40B0D">
            <w:pPr>
              <w:spacing w:line="240" w:lineRule="auto"/>
              <w:jc w:val="left"/>
              <w:rPr>
                <w:sz w:val="14"/>
                <w:szCs w:val="14"/>
              </w:rPr>
            </w:pPr>
            <w:r w:rsidRPr="00BF62A1">
              <w:rPr>
                <w:sz w:val="14"/>
                <w:szCs w:val="14"/>
              </w:rPr>
              <w:t>12226</w:t>
            </w:r>
          </w:p>
        </w:tc>
        <w:tc>
          <w:tcPr>
            <w:tcW w:w="626" w:type="pct"/>
            <w:vMerge w:val="restart"/>
            <w:tcBorders>
              <w:top w:val="single" w:sz="8" w:space="0" w:color="auto"/>
              <w:left w:val="single" w:sz="4" w:space="0" w:color="auto"/>
              <w:right w:val="single" w:sz="4" w:space="0" w:color="auto"/>
            </w:tcBorders>
          </w:tcPr>
          <w:p w14:paraId="4462AC66" w14:textId="77777777" w:rsidR="000F0341" w:rsidRPr="00BF62A1" w:rsidRDefault="000F0341" w:rsidP="00E40B0D">
            <w:pPr>
              <w:spacing w:line="240" w:lineRule="auto"/>
              <w:jc w:val="left"/>
              <w:rPr>
                <w:sz w:val="14"/>
                <w:szCs w:val="14"/>
              </w:rPr>
            </w:pPr>
            <w:r w:rsidRPr="00BF62A1">
              <w:rPr>
                <w:sz w:val="14"/>
                <w:szCs w:val="14"/>
              </w:rPr>
              <w:t>Quartiles / continuous per 10 cases</w:t>
            </w:r>
          </w:p>
        </w:tc>
        <w:tc>
          <w:tcPr>
            <w:tcW w:w="624" w:type="pct"/>
            <w:tcBorders>
              <w:top w:val="single" w:sz="8" w:space="0" w:color="auto"/>
              <w:left w:val="single" w:sz="4" w:space="0" w:color="auto"/>
              <w:bottom w:val="single" w:sz="4" w:space="0" w:color="auto"/>
              <w:right w:val="single" w:sz="4" w:space="0" w:color="auto"/>
            </w:tcBorders>
          </w:tcPr>
          <w:p w14:paraId="187C8B1E" w14:textId="77777777" w:rsidR="000F0341" w:rsidRPr="00BF62A1" w:rsidRDefault="000F0341" w:rsidP="00E40B0D">
            <w:pPr>
              <w:spacing w:line="240" w:lineRule="auto"/>
              <w:jc w:val="left"/>
              <w:rPr>
                <w:sz w:val="14"/>
                <w:szCs w:val="14"/>
              </w:rPr>
            </w:pPr>
            <w:r w:rsidRPr="00BF62A1">
              <w:rPr>
                <w:sz w:val="14"/>
                <w:szCs w:val="14"/>
              </w:rPr>
              <w:t>First</w:t>
            </w:r>
          </w:p>
        </w:tc>
        <w:tc>
          <w:tcPr>
            <w:tcW w:w="782" w:type="pct"/>
            <w:tcBorders>
              <w:top w:val="single" w:sz="8" w:space="0" w:color="auto"/>
              <w:left w:val="single" w:sz="4" w:space="0" w:color="auto"/>
              <w:right w:val="single" w:sz="4" w:space="0" w:color="auto"/>
            </w:tcBorders>
          </w:tcPr>
          <w:p w14:paraId="7CF1AB00" w14:textId="77777777" w:rsidR="000F0341" w:rsidRPr="00BF62A1" w:rsidRDefault="000F0341" w:rsidP="00E40B0D">
            <w:pPr>
              <w:spacing w:line="240" w:lineRule="auto"/>
              <w:jc w:val="left"/>
              <w:rPr>
                <w:sz w:val="14"/>
                <w:szCs w:val="14"/>
              </w:rPr>
            </w:pPr>
            <w:r w:rsidRPr="00BF62A1">
              <w:rPr>
                <w:sz w:val="14"/>
                <w:szCs w:val="14"/>
              </w:rPr>
              <w:t>≤1</w:t>
            </w:r>
          </w:p>
        </w:tc>
        <w:tc>
          <w:tcPr>
            <w:tcW w:w="739" w:type="pct"/>
            <w:tcBorders>
              <w:top w:val="single" w:sz="8" w:space="0" w:color="auto"/>
              <w:left w:val="single" w:sz="4" w:space="0" w:color="auto"/>
              <w:right w:val="single" w:sz="4" w:space="0" w:color="auto"/>
            </w:tcBorders>
          </w:tcPr>
          <w:p w14:paraId="5E3A2C8A" w14:textId="77777777" w:rsidR="000F0341" w:rsidRPr="00BF62A1" w:rsidRDefault="000F0341" w:rsidP="00E40B0D">
            <w:pPr>
              <w:spacing w:line="240" w:lineRule="auto"/>
              <w:jc w:val="left"/>
              <w:rPr>
                <w:sz w:val="14"/>
                <w:szCs w:val="14"/>
              </w:rPr>
            </w:pPr>
            <w:r w:rsidRPr="00BF62A1">
              <w:rPr>
                <w:sz w:val="14"/>
                <w:szCs w:val="14"/>
              </w:rPr>
              <w:t>3040</w:t>
            </w:r>
          </w:p>
        </w:tc>
        <w:tc>
          <w:tcPr>
            <w:tcW w:w="980" w:type="pct"/>
            <w:vMerge w:val="restart"/>
            <w:tcBorders>
              <w:top w:val="single" w:sz="8" w:space="0" w:color="auto"/>
              <w:left w:val="single" w:sz="4" w:space="0" w:color="auto"/>
              <w:right w:val="single" w:sz="4" w:space="0" w:color="auto"/>
            </w:tcBorders>
          </w:tcPr>
          <w:p w14:paraId="78CB889D" w14:textId="77777777" w:rsidR="000F0341" w:rsidRPr="00BF62A1" w:rsidRDefault="000F0341" w:rsidP="00E40B0D">
            <w:pPr>
              <w:spacing w:line="240" w:lineRule="auto"/>
              <w:jc w:val="left"/>
              <w:rPr>
                <w:sz w:val="14"/>
                <w:szCs w:val="14"/>
                <w:vertAlign w:val="superscript"/>
              </w:rPr>
            </w:pPr>
            <w:r w:rsidRPr="00BF62A1">
              <w:rPr>
                <w:sz w:val="14"/>
                <w:szCs w:val="14"/>
                <w:vertAlign w:val="superscript"/>
              </w:rPr>
              <w:t>-</w:t>
            </w:r>
          </w:p>
        </w:tc>
      </w:tr>
      <w:tr w:rsidR="000F0341" w:rsidRPr="00BF62A1" w14:paraId="5DF85FC9" w14:textId="77777777" w:rsidTr="00E40B0D">
        <w:trPr>
          <w:trHeight w:val="20"/>
        </w:trPr>
        <w:tc>
          <w:tcPr>
            <w:tcW w:w="782" w:type="pct"/>
            <w:vMerge/>
            <w:tcBorders>
              <w:left w:val="single" w:sz="4" w:space="0" w:color="auto"/>
              <w:right w:val="single" w:sz="4" w:space="0" w:color="auto"/>
            </w:tcBorders>
          </w:tcPr>
          <w:p w14:paraId="76E2A599" w14:textId="77777777" w:rsidR="000F0341" w:rsidRPr="00BF62A1"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6FF7C408" w14:textId="77777777" w:rsidR="000F0341" w:rsidRPr="00BF62A1"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0F286504" w14:textId="77777777" w:rsidR="000F0341" w:rsidRPr="00BF62A1"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1BB7F28B" w14:textId="77777777" w:rsidR="000F0341" w:rsidRPr="00BF62A1" w:rsidRDefault="000F0341" w:rsidP="00E40B0D">
            <w:pPr>
              <w:spacing w:line="240" w:lineRule="auto"/>
              <w:jc w:val="left"/>
              <w:rPr>
                <w:sz w:val="14"/>
                <w:szCs w:val="14"/>
              </w:rPr>
            </w:pPr>
            <w:r w:rsidRPr="00BF62A1">
              <w:rPr>
                <w:sz w:val="14"/>
                <w:szCs w:val="14"/>
              </w:rPr>
              <w:t>Second</w:t>
            </w:r>
          </w:p>
        </w:tc>
        <w:tc>
          <w:tcPr>
            <w:tcW w:w="782" w:type="pct"/>
            <w:tcBorders>
              <w:left w:val="single" w:sz="4" w:space="0" w:color="auto"/>
              <w:right w:val="single" w:sz="4" w:space="0" w:color="auto"/>
            </w:tcBorders>
          </w:tcPr>
          <w:p w14:paraId="7AE078C9" w14:textId="77777777" w:rsidR="000F0341" w:rsidRPr="00BF62A1" w:rsidRDefault="000F0341" w:rsidP="00E40B0D">
            <w:pPr>
              <w:spacing w:line="240" w:lineRule="auto"/>
              <w:jc w:val="left"/>
              <w:rPr>
                <w:sz w:val="14"/>
                <w:szCs w:val="14"/>
              </w:rPr>
            </w:pPr>
            <w:r w:rsidRPr="00BF62A1">
              <w:rPr>
                <w:sz w:val="14"/>
                <w:szCs w:val="14"/>
              </w:rPr>
              <w:t>1.1- 4</w:t>
            </w:r>
          </w:p>
        </w:tc>
        <w:tc>
          <w:tcPr>
            <w:tcW w:w="739" w:type="pct"/>
            <w:tcBorders>
              <w:left w:val="single" w:sz="4" w:space="0" w:color="auto"/>
              <w:right w:val="single" w:sz="4" w:space="0" w:color="auto"/>
            </w:tcBorders>
          </w:tcPr>
          <w:p w14:paraId="1086C35D" w14:textId="77777777" w:rsidR="000F0341" w:rsidRPr="00BF62A1" w:rsidRDefault="000F0341" w:rsidP="00E40B0D">
            <w:pPr>
              <w:spacing w:line="240" w:lineRule="auto"/>
              <w:jc w:val="left"/>
              <w:rPr>
                <w:sz w:val="14"/>
                <w:szCs w:val="14"/>
              </w:rPr>
            </w:pPr>
            <w:r w:rsidRPr="00BF62A1">
              <w:rPr>
                <w:sz w:val="14"/>
                <w:szCs w:val="14"/>
              </w:rPr>
              <w:t>3067</w:t>
            </w:r>
          </w:p>
        </w:tc>
        <w:tc>
          <w:tcPr>
            <w:tcW w:w="980" w:type="pct"/>
            <w:vMerge/>
            <w:tcBorders>
              <w:left w:val="single" w:sz="4" w:space="0" w:color="auto"/>
              <w:right w:val="single" w:sz="4" w:space="0" w:color="auto"/>
            </w:tcBorders>
          </w:tcPr>
          <w:p w14:paraId="1D018281" w14:textId="77777777" w:rsidR="000F0341" w:rsidRPr="00BF62A1" w:rsidRDefault="000F0341" w:rsidP="00E40B0D">
            <w:pPr>
              <w:spacing w:line="240" w:lineRule="auto"/>
              <w:jc w:val="left"/>
              <w:rPr>
                <w:sz w:val="14"/>
                <w:szCs w:val="14"/>
              </w:rPr>
            </w:pPr>
          </w:p>
        </w:tc>
      </w:tr>
      <w:tr w:rsidR="000F0341" w:rsidRPr="00BF62A1" w14:paraId="7F01B952" w14:textId="77777777" w:rsidTr="00E40B0D">
        <w:trPr>
          <w:trHeight w:val="20"/>
        </w:trPr>
        <w:tc>
          <w:tcPr>
            <w:tcW w:w="782" w:type="pct"/>
            <w:vMerge/>
            <w:tcBorders>
              <w:left w:val="single" w:sz="4" w:space="0" w:color="auto"/>
              <w:right w:val="single" w:sz="4" w:space="0" w:color="auto"/>
            </w:tcBorders>
          </w:tcPr>
          <w:p w14:paraId="1C7F8274" w14:textId="77777777" w:rsidR="000F0341" w:rsidRPr="00BF62A1"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62BC6D36" w14:textId="77777777" w:rsidR="000F0341" w:rsidRPr="00BF62A1"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71B69EFC" w14:textId="77777777" w:rsidR="000F0341" w:rsidRPr="00BF62A1"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05FE18BF" w14:textId="77777777" w:rsidR="000F0341" w:rsidRPr="00BF62A1" w:rsidRDefault="000F0341" w:rsidP="00E40B0D">
            <w:pPr>
              <w:spacing w:line="240" w:lineRule="auto"/>
              <w:jc w:val="left"/>
              <w:rPr>
                <w:sz w:val="14"/>
                <w:szCs w:val="14"/>
              </w:rPr>
            </w:pPr>
            <w:r w:rsidRPr="00BF62A1">
              <w:rPr>
                <w:sz w:val="14"/>
                <w:szCs w:val="14"/>
              </w:rPr>
              <w:t>Third</w:t>
            </w:r>
          </w:p>
        </w:tc>
        <w:tc>
          <w:tcPr>
            <w:tcW w:w="782" w:type="pct"/>
            <w:tcBorders>
              <w:left w:val="single" w:sz="4" w:space="0" w:color="auto"/>
              <w:right w:val="single" w:sz="4" w:space="0" w:color="auto"/>
            </w:tcBorders>
          </w:tcPr>
          <w:p w14:paraId="0007F9C8" w14:textId="77777777" w:rsidR="000F0341" w:rsidRPr="00BF62A1" w:rsidRDefault="000F0341" w:rsidP="00E40B0D">
            <w:pPr>
              <w:spacing w:line="240" w:lineRule="auto"/>
              <w:jc w:val="left"/>
              <w:rPr>
                <w:sz w:val="14"/>
                <w:szCs w:val="14"/>
              </w:rPr>
            </w:pPr>
            <w:r w:rsidRPr="00BF62A1">
              <w:rPr>
                <w:sz w:val="14"/>
                <w:szCs w:val="14"/>
              </w:rPr>
              <w:t>4.1-12.5</w:t>
            </w:r>
          </w:p>
        </w:tc>
        <w:tc>
          <w:tcPr>
            <w:tcW w:w="739" w:type="pct"/>
            <w:tcBorders>
              <w:left w:val="single" w:sz="4" w:space="0" w:color="auto"/>
              <w:right w:val="single" w:sz="4" w:space="0" w:color="auto"/>
            </w:tcBorders>
          </w:tcPr>
          <w:p w14:paraId="4D062F71" w14:textId="77777777" w:rsidR="000F0341" w:rsidRPr="00BF62A1" w:rsidRDefault="000F0341" w:rsidP="00E40B0D">
            <w:pPr>
              <w:spacing w:line="240" w:lineRule="auto"/>
              <w:jc w:val="left"/>
              <w:rPr>
                <w:sz w:val="14"/>
                <w:szCs w:val="14"/>
              </w:rPr>
            </w:pPr>
            <w:r w:rsidRPr="00BF62A1">
              <w:rPr>
                <w:sz w:val="14"/>
                <w:szCs w:val="14"/>
              </w:rPr>
              <w:t>3091</w:t>
            </w:r>
          </w:p>
        </w:tc>
        <w:tc>
          <w:tcPr>
            <w:tcW w:w="980" w:type="pct"/>
            <w:vMerge/>
            <w:tcBorders>
              <w:left w:val="single" w:sz="4" w:space="0" w:color="auto"/>
              <w:right w:val="single" w:sz="4" w:space="0" w:color="auto"/>
            </w:tcBorders>
          </w:tcPr>
          <w:p w14:paraId="0156EE54" w14:textId="77777777" w:rsidR="000F0341" w:rsidRPr="00BF62A1" w:rsidRDefault="000F0341" w:rsidP="00E40B0D">
            <w:pPr>
              <w:spacing w:line="240" w:lineRule="auto"/>
              <w:jc w:val="left"/>
              <w:rPr>
                <w:sz w:val="14"/>
                <w:szCs w:val="14"/>
              </w:rPr>
            </w:pPr>
          </w:p>
        </w:tc>
      </w:tr>
      <w:tr w:rsidR="000F0341" w:rsidRPr="00BF62A1" w14:paraId="4F56CDF2" w14:textId="77777777" w:rsidTr="00E40B0D">
        <w:trPr>
          <w:trHeight w:val="20"/>
        </w:trPr>
        <w:tc>
          <w:tcPr>
            <w:tcW w:w="782" w:type="pct"/>
            <w:vMerge/>
            <w:tcBorders>
              <w:left w:val="single" w:sz="4" w:space="0" w:color="auto"/>
              <w:bottom w:val="single" w:sz="8" w:space="0" w:color="auto"/>
              <w:right w:val="single" w:sz="4" w:space="0" w:color="auto"/>
            </w:tcBorders>
          </w:tcPr>
          <w:p w14:paraId="002F7076" w14:textId="77777777" w:rsidR="000F0341" w:rsidRPr="00BF62A1" w:rsidRDefault="000F0341" w:rsidP="00E40B0D">
            <w:pPr>
              <w:spacing w:line="240" w:lineRule="auto"/>
              <w:jc w:val="left"/>
              <w:rPr>
                <w:sz w:val="14"/>
                <w:szCs w:val="14"/>
              </w:rPr>
            </w:pPr>
          </w:p>
        </w:tc>
        <w:tc>
          <w:tcPr>
            <w:tcW w:w="468" w:type="pct"/>
            <w:vMerge/>
            <w:tcBorders>
              <w:left w:val="single" w:sz="4" w:space="0" w:color="auto"/>
              <w:bottom w:val="single" w:sz="8" w:space="0" w:color="auto"/>
              <w:right w:val="single" w:sz="4" w:space="0" w:color="auto"/>
            </w:tcBorders>
          </w:tcPr>
          <w:p w14:paraId="36FA0CA6" w14:textId="77777777" w:rsidR="000F0341" w:rsidRPr="00BF62A1" w:rsidRDefault="000F0341" w:rsidP="00E40B0D">
            <w:pPr>
              <w:spacing w:line="240" w:lineRule="auto"/>
              <w:jc w:val="left"/>
              <w:rPr>
                <w:sz w:val="14"/>
                <w:szCs w:val="14"/>
              </w:rPr>
            </w:pPr>
          </w:p>
        </w:tc>
        <w:tc>
          <w:tcPr>
            <w:tcW w:w="626" w:type="pct"/>
            <w:vMerge/>
            <w:tcBorders>
              <w:left w:val="single" w:sz="4" w:space="0" w:color="auto"/>
              <w:bottom w:val="single" w:sz="8" w:space="0" w:color="auto"/>
              <w:right w:val="single" w:sz="4" w:space="0" w:color="auto"/>
            </w:tcBorders>
          </w:tcPr>
          <w:p w14:paraId="31C41579" w14:textId="77777777" w:rsidR="000F0341" w:rsidRPr="00BF62A1" w:rsidRDefault="000F0341" w:rsidP="00E40B0D">
            <w:pPr>
              <w:spacing w:line="240" w:lineRule="auto"/>
              <w:jc w:val="left"/>
              <w:rPr>
                <w:sz w:val="14"/>
                <w:szCs w:val="14"/>
              </w:rPr>
            </w:pPr>
          </w:p>
        </w:tc>
        <w:tc>
          <w:tcPr>
            <w:tcW w:w="624" w:type="pct"/>
            <w:tcBorders>
              <w:top w:val="single" w:sz="4" w:space="0" w:color="auto"/>
              <w:left w:val="single" w:sz="4" w:space="0" w:color="auto"/>
              <w:bottom w:val="single" w:sz="8" w:space="0" w:color="auto"/>
              <w:right w:val="single" w:sz="4" w:space="0" w:color="auto"/>
            </w:tcBorders>
          </w:tcPr>
          <w:p w14:paraId="4A788AAA" w14:textId="77777777" w:rsidR="000F0341" w:rsidRPr="00BF62A1" w:rsidRDefault="000F0341" w:rsidP="00E40B0D">
            <w:pPr>
              <w:spacing w:line="240" w:lineRule="auto"/>
              <w:jc w:val="left"/>
              <w:rPr>
                <w:sz w:val="14"/>
                <w:szCs w:val="14"/>
              </w:rPr>
            </w:pPr>
            <w:r w:rsidRPr="00BF62A1">
              <w:rPr>
                <w:sz w:val="14"/>
                <w:szCs w:val="14"/>
              </w:rPr>
              <w:t>Fourth</w:t>
            </w:r>
          </w:p>
        </w:tc>
        <w:tc>
          <w:tcPr>
            <w:tcW w:w="782" w:type="pct"/>
            <w:tcBorders>
              <w:left w:val="single" w:sz="4" w:space="0" w:color="auto"/>
              <w:bottom w:val="single" w:sz="8" w:space="0" w:color="auto"/>
              <w:right w:val="single" w:sz="4" w:space="0" w:color="auto"/>
            </w:tcBorders>
          </w:tcPr>
          <w:p w14:paraId="0D6C6F15" w14:textId="77777777" w:rsidR="000F0341" w:rsidRPr="00BF62A1" w:rsidRDefault="000F0341" w:rsidP="00E40B0D">
            <w:pPr>
              <w:spacing w:line="240" w:lineRule="auto"/>
              <w:jc w:val="left"/>
              <w:rPr>
                <w:sz w:val="14"/>
                <w:szCs w:val="14"/>
              </w:rPr>
            </w:pPr>
            <w:r w:rsidRPr="00BF62A1">
              <w:rPr>
                <w:sz w:val="14"/>
                <w:szCs w:val="14"/>
              </w:rPr>
              <w:t>≥12.5</w:t>
            </w:r>
          </w:p>
        </w:tc>
        <w:tc>
          <w:tcPr>
            <w:tcW w:w="739" w:type="pct"/>
            <w:tcBorders>
              <w:left w:val="single" w:sz="4" w:space="0" w:color="auto"/>
              <w:bottom w:val="single" w:sz="8" w:space="0" w:color="auto"/>
              <w:right w:val="single" w:sz="4" w:space="0" w:color="auto"/>
            </w:tcBorders>
          </w:tcPr>
          <w:p w14:paraId="13EE2B82" w14:textId="77777777" w:rsidR="000F0341" w:rsidRPr="00BF62A1" w:rsidRDefault="000F0341" w:rsidP="00E40B0D">
            <w:pPr>
              <w:spacing w:line="240" w:lineRule="auto"/>
              <w:jc w:val="left"/>
              <w:rPr>
                <w:sz w:val="14"/>
                <w:szCs w:val="14"/>
              </w:rPr>
            </w:pPr>
            <w:r w:rsidRPr="00BF62A1">
              <w:rPr>
                <w:sz w:val="14"/>
                <w:szCs w:val="14"/>
              </w:rPr>
              <w:t>3068</w:t>
            </w:r>
          </w:p>
        </w:tc>
        <w:tc>
          <w:tcPr>
            <w:tcW w:w="980" w:type="pct"/>
            <w:vMerge/>
            <w:tcBorders>
              <w:left w:val="single" w:sz="4" w:space="0" w:color="auto"/>
              <w:bottom w:val="single" w:sz="8" w:space="0" w:color="auto"/>
              <w:right w:val="single" w:sz="4" w:space="0" w:color="auto"/>
            </w:tcBorders>
          </w:tcPr>
          <w:p w14:paraId="3307DA84" w14:textId="77777777" w:rsidR="000F0341" w:rsidRPr="00BF62A1" w:rsidRDefault="000F0341" w:rsidP="00E40B0D">
            <w:pPr>
              <w:spacing w:line="240" w:lineRule="auto"/>
              <w:jc w:val="left"/>
              <w:rPr>
                <w:sz w:val="14"/>
                <w:szCs w:val="14"/>
              </w:rPr>
            </w:pPr>
          </w:p>
        </w:tc>
      </w:tr>
      <w:tr w:rsidR="000F0341" w:rsidRPr="00BF62A1" w14:paraId="609E3ADC" w14:textId="77777777" w:rsidTr="00E40B0D">
        <w:trPr>
          <w:trHeight w:val="20"/>
        </w:trPr>
        <w:tc>
          <w:tcPr>
            <w:tcW w:w="782" w:type="pct"/>
            <w:vMerge w:val="restart"/>
            <w:tcBorders>
              <w:top w:val="single" w:sz="8" w:space="0" w:color="auto"/>
              <w:left w:val="single" w:sz="4" w:space="0" w:color="auto"/>
              <w:right w:val="single" w:sz="4" w:space="0" w:color="auto"/>
            </w:tcBorders>
          </w:tcPr>
          <w:p w14:paraId="5027AE81" w14:textId="33CE064D" w:rsidR="000F0341" w:rsidRPr="00BF62A1" w:rsidRDefault="000F0341" w:rsidP="00E40B0D">
            <w:pPr>
              <w:spacing w:line="240" w:lineRule="auto"/>
              <w:jc w:val="left"/>
              <w:rPr>
                <w:color w:val="000000"/>
                <w:sz w:val="14"/>
                <w:szCs w:val="14"/>
              </w:rPr>
            </w:pPr>
            <w:r w:rsidRPr="00BF62A1">
              <w:rPr>
                <w:sz w:val="14"/>
                <w:szCs w:val="14"/>
              </w:rPr>
              <w:t xml:space="preserve">Chapman 2017 </w:t>
            </w:r>
            <w:r w:rsidRPr="00BF62A1">
              <w:rPr>
                <w:sz w:val="14"/>
                <w:szCs w:val="14"/>
              </w:rPr>
              <w:fldChar w:fldCharType="begin"/>
            </w:r>
            <w:r>
              <w:rPr>
                <w:sz w:val="14"/>
                <w:szCs w:val="14"/>
              </w:rPr>
              <w:instrText xml:space="preserve"> ADDIN ZOTERO_ITEM CSL_CITATION {"citationID":"91iB6HTY","properties":{"formattedCitation":"[86]","plainCitation":"[86]","noteIndex":0},"citationItems":[{"id":14341,"uris":["http://zotero.org/groups/4983919/items/NTZZKCIS"],"itemData":{"id":14341,"type":"article-journal","abstract":"BACKGROUND: Previous studies have demonstrated improved in-hospital mortality after hepatic resection for hepatocellular carcinoma (HCC) at teaching hospitals. The objective of this study was to evaluate if resection of HCC at academic cancer programs (ACP) is associated with improved 10-year survival. STUDY DESIGN: Using the National Cancer Data Base (NCDB) (1998 to 2011), we evaluated patients undergoing hepatic resection for HCC at ACPs, comprehensive community cancer programs (CCCPs), and community cancer programs (CCPs). High volume cancer programs (HVCPs) were defined as performing 10 or more hepatectomies per year. Multivariate Cox proportional hazard models by stepwise selection were applied to estimate hazard ratios (HR) of predictors of survival. The Kaplan-Meier method was used to generate survival curves at each facility type, and survival rates were compared using the log-rank test. RESULTS: We identified 12,757 patients undergoing hepatic resection for HCC at ACPs (n = 8,404), CCPs (n = 483), and CCCPs (n = 3,870). Sixty-two percent (n = 5,191) of patients treated at ACPs were at high volume institutions compared with 11.6% (n = 446) and 0% of CCCPs and CCPs, respectively (p &lt; 0.0001). On multivariable analysis, patients undergoing hepatic resection at transplant centers (p &lt; 0.0001) and HVCPs had significantly improved survival (p &lt; 0.0001). Adjusted 10-year survival rates were 28.7% at high volume ACPs, 28.2% at high volume CCCPs, 24.9% at low volume CCCPs, 25.1% at low volume ACPs, and 21.3% at CCPs (p ≤ 0.0001). CONCLUSIONS: Patients undergoing hepatic resection for HCC at HVCPs had a significantly improved 10-year survival. Regionalization of HCC treatment to HVCPs may improve long-term survival.","container-title":"J Am Coll Surg","DOI":"10.1016/j.jamcollsurg.2016.11.011","ISSN":"1072-7515","issue":"3","language":"eng","page":"362-372","title":"Impact of Facility Type and Surgical Volume on 10-Year Survival in Patients Undergoing Hepatic Resection for Hepatocellular Carcinoma","volume":"224","author":[{"family":"Chapman","given":"B. C."},{"family":"Paniccia","given":"A."},{"family":"Hosokawa","given":"P. W."},{"family":"Henderson","given":"W. G."},{"family":"Overbey","given":"D. M."},{"family":"Messersmith","given":"W."},{"family":"McCarter","given":"M. D."},{"family":"Gleisner","given":"A."},{"family":"Edil","given":"B. H."},{"family":"Schulick","given":"R. D."},{"family":"Gajdos","given":"C."}],"issued":{"date-parts":[["2017",3]]}}}],"schema":"https://github.com/citation-style-language/schema/raw/master/csl-citation.json"} </w:instrText>
            </w:r>
            <w:r w:rsidRPr="00BF62A1">
              <w:rPr>
                <w:sz w:val="14"/>
                <w:szCs w:val="14"/>
              </w:rPr>
              <w:fldChar w:fldCharType="separate"/>
            </w:r>
            <w:r w:rsidRPr="004125CE">
              <w:rPr>
                <w:sz w:val="14"/>
              </w:rPr>
              <w:t>[8</w:t>
            </w:r>
            <w:r w:rsidR="00D03F0D">
              <w:rPr>
                <w:sz w:val="14"/>
              </w:rPr>
              <w:t>2</w:t>
            </w:r>
            <w:r w:rsidRPr="004125CE">
              <w:rPr>
                <w:sz w:val="14"/>
              </w:rPr>
              <w:t>]</w:t>
            </w:r>
            <w:r w:rsidRPr="00BF62A1">
              <w:rPr>
                <w:sz w:val="14"/>
                <w:szCs w:val="14"/>
              </w:rPr>
              <w:fldChar w:fldCharType="end"/>
            </w:r>
          </w:p>
        </w:tc>
        <w:tc>
          <w:tcPr>
            <w:tcW w:w="468" w:type="pct"/>
            <w:vMerge w:val="restart"/>
            <w:tcBorders>
              <w:top w:val="single" w:sz="8" w:space="0" w:color="auto"/>
              <w:left w:val="single" w:sz="4" w:space="0" w:color="auto"/>
              <w:right w:val="single" w:sz="4" w:space="0" w:color="auto"/>
            </w:tcBorders>
          </w:tcPr>
          <w:p w14:paraId="1D5E72CB" w14:textId="77777777" w:rsidR="000F0341" w:rsidRPr="00BF62A1" w:rsidRDefault="000F0341" w:rsidP="00E40B0D">
            <w:pPr>
              <w:spacing w:line="240" w:lineRule="auto"/>
              <w:jc w:val="left"/>
              <w:rPr>
                <w:sz w:val="14"/>
                <w:szCs w:val="14"/>
              </w:rPr>
            </w:pPr>
            <w:r w:rsidRPr="00BF62A1">
              <w:rPr>
                <w:sz w:val="14"/>
                <w:szCs w:val="14"/>
              </w:rPr>
              <w:t>12757</w:t>
            </w:r>
          </w:p>
        </w:tc>
        <w:tc>
          <w:tcPr>
            <w:tcW w:w="626" w:type="pct"/>
            <w:vMerge w:val="restart"/>
            <w:tcBorders>
              <w:top w:val="single" w:sz="8" w:space="0" w:color="auto"/>
              <w:left w:val="single" w:sz="4" w:space="0" w:color="auto"/>
              <w:right w:val="single" w:sz="4" w:space="0" w:color="auto"/>
            </w:tcBorders>
          </w:tcPr>
          <w:p w14:paraId="4B6686C0" w14:textId="77777777" w:rsidR="000F0341" w:rsidRPr="00BF62A1" w:rsidRDefault="000F0341" w:rsidP="00E40B0D">
            <w:pPr>
              <w:spacing w:line="240" w:lineRule="auto"/>
              <w:jc w:val="left"/>
              <w:rPr>
                <w:sz w:val="14"/>
                <w:szCs w:val="14"/>
              </w:rPr>
            </w:pPr>
            <w:r w:rsidRPr="00BF62A1">
              <w:rPr>
                <w:sz w:val="14"/>
                <w:szCs w:val="14"/>
              </w:rPr>
              <w:t>-</w:t>
            </w:r>
          </w:p>
        </w:tc>
        <w:tc>
          <w:tcPr>
            <w:tcW w:w="624" w:type="pct"/>
            <w:tcBorders>
              <w:top w:val="single" w:sz="8" w:space="0" w:color="auto"/>
              <w:left w:val="single" w:sz="4" w:space="0" w:color="auto"/>
              <w:bottom w:val="single" w:sz="4" w:space="0" w:color="auto"/>
              <w:right w:val="single" w:sz="4" w:space="0" w:color="auto"/>
            </w:tcBorders>
          </w:tcPr>
          <w:p w14:paraId="374C45A6" w14:textId="77777777" w:rsidR="000F0341" w:rsidRPr="00BF62A1" w:rsidRDefault="000F0341" w:rsidP="00E40B0D">
            <w:pPr>
              <w:spacing w:line="240" w:lineRule="auto"/>
              <w:jc w:val="left"/>
              <w:rPr>
                <w:sz w:val="14"/>
                <w:szCs w:val="14"/>
              </w:rPr>
            </w:pPr>
            <w:r w:rsidRPr="00BF62A1">
              <w:rPr>
                <w:sz w:val="14"/>
                <w:szCs w:val="14"/>
              </w:rPr>
              <w:t>Low</w:t>
            </w:r>
          </w:p>
        </w:tc>
        <w:tc>
          <w:tcPr>
            <w:tcW w:w="782" w:type="pct"/>
            <w:tcBorders>
              <w:top w:val="single" w:sz="8" w:space="0" w:color="auto"/>
              <w:left w:val="single" w:sz="4" w:space="0" w:color="auto"/>
              <w:right w:val="single" w:sz="4" w:space="0" w:color="auto"/>
            </w:tcBorders>
          </w:tcPr>
          <w:p w14:paraId="0418B93D" w14:textId="77777777" w:rsidR="000F0341" w:rsidRPr="00BF62A1" w:rsidRDefault="000F0341" w:rsidP="00E40B0D">
            <w:pPr>
              <w:spacing w:line="240" w:lineRule="auto"/>
              <w:jc w:val="left"/>
              <w:rPr>
                <w:sz w:val="14"/>
                <w:szCs w:val="14"/>
              </w:rPr>
            </w:pPr>
            <w:r w:rsidRPr="00BF62A1">
              <w:rPr>
                <w:sz w:val="14"/>
                <w:szCs w:val="14"/>
              </w:rPr>
              <w:t>&lt;10</w:t>
            </w:r>
          </w:p>
        </w:tc>
        <w:tc>
          <w:tcPr>
            <w:tcW w:w="739" w:type="pct"/>
            <w:tcBorders>
              <w:top w:val="single" w:sz="8" w:space="0" w:color="auto"/>
              <w:left w:val="single" w:sz="4" w:space="0" w:color="auto"/>
              <w:right w:val="single" w:sz="4" w:space="0" w:color="auto"/>
            </w:tcBorders>
          </w:tcPr>
          <w:p w14:paraId="43871B06" w14:textId="77777777" w:rsidR="000F0341" w:rsidRPr="00BF62A1" w:rsidRDefault="000F0341" w:rsidP="00E40B0D">
            <w:pPr>
              <w:spacing w:line="240" w:lineRule="auto"/>
              <w:jc w:val="left"/>
              <w:rPr>
                <w:sz w:val="14"/>
                <w:szCs w:val="14"/>
              </w:rPr>
            </w:pPr>
            <w:r w:rsidRPr="00BF62A1">
              <w:rPr>
                <w:sz w:val="14"/>
                <w:szCs w:val="14"/>
              </w:rPr>
              <w:t>7106</w:t>
            </w:r>
          </w:p>
        </w:tc>
        <w:tc>
          <w:tcPr>
            <w:tcW w:w="980" w:type="pct"/>
            <w:tcBorders>
              <w:top w:val="single" w:sz="8" w:space="0" w:color="auto"/>
              <w:left w:val="single" w:sz="4" w:space="0" w:color="auto"/>
              <w:right w:val="single" w:sz="4" w:space="0" w:color="auto"/>
            </w:tcBorders>
          </w:tcPr>
          <w:p w14:paraId="3124820F" w14:textId="77777777" w:rsidR="000F0341" w:rsidRPr="00BF62A1" w:rsidRDefault="000F0341" w:rsidP="00E40B0D">
            <w:pPr>
              <w:spacing w:line="240" w:lineRule="auto"/>
              <w:jc w:val="left"/>
              <w:rPr>
                <w:sz w:val="14"/>
                <w:szCs w:val="14"/>
              </w:rPr>
            </w:pPr>
            <w:r w:rsidRPr="00BF62A1">
              <w:rPr>
                <w:sz w:val="14"/>
                <w:szCs w:val="14"/>
              </w:rPr>
              <w:t>1003</w:t>
            </w:r>
          </w:p>
        </w:tc>
      </w:tr>
      <w:tr w:rsidR="000F0341" w:rsidRPr="00BF62A1" w14:paraId="2C50F3DF" w14:textId="77777777" w:rsidTr="00E40B0D">
        <w:trPr>
          <w:trHeight w:val="20"/>
        </w:trPr>
        <w:tc>
          <w:tcPr>
            <w:tcW w:w="782" w:type="pct"/>
            <w:vMerge/>
            <w:tcBorders>
              <w:left w:val="single" w:sz="4" w:space="0" w:color="auto"/>
              <w:bottom w:val="single" w:sz="8" w:space="0" w:color="auto"/>
              <w:right w:val="single" w:sz="4" w:space="0" w:color="auto"/>
            </w:tcBorders>
          </w:tcPr>
          <w:p w14:paraId="3144F9B7" w14:textId="77777777" w:rsidR="000F0341" w:rsidRPr="00BF62A1" w:rsidRDefault="000F0341" w:rsidP="00E40B0D">
            <w:pPr>
              <w:spacing w:line="240" w:lineRule="auto"/>
              <w:jc w:val="left"/>
              <w:rPr>
                <w:sz w:val="14"/>
                <w:szCs w:val="14"/>
              </w:rPr>
            </w:pPr>
          </w:p>
        </w:tc>
        <w:tc>
          <w:tcPr>
            <w:tcW w:w="468" w:type="pct"/>
            <w:vMerge/>
            <w:tcBorders>
              <w:left w:val="single" w:sz="4" w:space="0" w:color="auto"/>
              <w:bottom w:val="single" w:sz="8" w:space="0" w:color="auto"/>
              <w:right w:val="single" w:sz="4" w:space="0" w:color="auto"/>
            </w:tcBorders>
          </w:tcPr>
          <w:p w14:paraId="3E2CBB9F" w14:textId="77777777" w:rsidR="000F0341" w:rsidRPr="00BF62A1" w:rsidRDefault="000F0341" w:rsidP="00E40B0D">
            <w:pPr>
              <w:spacing w:line="240" w:lineRule="auto"/>
              <w:jc w:val="left"/>
              <w:rPr>
                <w:sz w:val="14"/>
                <w:szCs w:val="14"/>
              </w:rPr>
            </w:pPr>
          </w:p>
        </w:tc>
        <w:tc>
          <w:tcPr>
            <w:tcW w:w="626" w:type="pct"/>
            <w:vMerge/>
            <w:tcBorders>
              <w:left w:val="single" w:sz="4" w:space="0" w:color="auto"/>
              <w:bottom w:val="single" w:sz="8" w:space="0" w:color="auto"/>
              <w:right w:val="single" w:sz="4" w:space="0" w:color="auto"/>
            </w:tcBorders>
          </w:tcPr>
          <w:p w14:paraId="552689F1" w14:textId="77777777" w:rsidR="000F0341" w:rsidRPr="00BF62A1" w:rsidRDefault="000F0341" w:rsidP="00E40B0D">
            <w:pPr>
              <w:spacing w:line="240" w:lineRule="auto"/>
              <w:jc w:val="left"/>
              <w:rPr>
                <w:sz w:val="14"/>
                <w:szCs w:val="14"/>
              </w:rPr>
            </w:pPr>
          </w:p>
        </w:tc>
        <w:tc>
          <w:tcPr>
            <w:tcW w:w="624" w:type="pct"/>
            <w:tcBorders>
              <w:top w:val="single" w:sz="4" w:space="0" w:color="auto"/>
              <w:left w:val="single" w:sz="4" w:space="0" w:color="auto"/>
              <w:bottom w:val="single" w:sz="8" w:space="0" w:color="auto"/>
              <w:right w:val="single" w:sz="4" w:space="0" w:color="auto"/>
            </w:tcBorders>
          </w:tcPr>
          <w:p w14:paraId="4286D1D2" w14:textId="77777777" w:rsidR="000F0341" w:rsidRPr="00BF62A1" w:rsidRDefault="000F0341" w:rsidP="00E40B0D">
            <w:pPr>
              <w:spacing w:line="240" w:lineRule="auto"/>
              <w:jc w:val="left"/>
              <w:rPr>
                <w:sz w:val="14"/>
                <w:szCs w:val="14"/>
              </w:rPr>
            </w:pPr>
            <w:r w:rsidRPr="00BF62A1">
              <w:rPr>
                <w:sz w:val="14"/>
                <w:szCs w:val="14"/>
              </w:rPr>
              <w:t>High</w:t>
            </w:r>
          </w:p>
        </w:tc>
        <w:tc>
          <w:tcPr>
            <w:tcW w:w="782" w:type="pct"/>
            <w:tcBorders>
              <w:left w:val="single" w:sz="4" w:space="0" w:color="auto"/>
              <w:bottom w:val="single" w:sz="8" w:space="0" w:color="auto"/>
              <w:right w:val="single" w:sz="4" w:space="0" w:color="auto"/>
            </w:tcBorders>
          </w:tcPr>
          <w:p w14:paraId="492C3503" w14:textId="77777777" w:rsidR="000F0341" w:rsidRPr="00BF62A1" w:rsidRDefault="000F0341" w:rsidP="00E40B0D">
            <w:pPr>
              <w:spacing w:line="240" w:lineRule="auto"/>
              <w:jc w:val="left"/>
              <w:rPr>
                <w:sz w:val="14"/>
                <w:szCs w:val="14"/>
              </w:rPr>
            </w:pPr>
            <w:r w:rsidRPr="00BF62A1">
              <w:rPr>
                <w:sz w:val="14"/>
                <w:szCs w:val="14"/>
              </w:rPr>
              <w:t>≥10</w:t>
            </w:r>
          </w:p>
        </w:tc>
        <w:tc>
          <w:tcPr>
            <w:tcW w:w="739" w:type="pct"/>
            <w:tcBorders>
              <w:left w:val="single" w:sz="4" w:space="0" w:color="auto"/>
              <w:bottom w:val="single" w:sz="8" w:space="0" w:color="auto"/>
              <w:right w:val="single" w:sz="4" w:space="0" w:color="auto"/>
            </w:tcBorders>
          </w:tcPr>
          <w:p w14:paraId="3FFA981F" w14:textId="77777777" w:rsidR="000F0341" w:rsidRPr="00BF62A1" w:rsidRDefault="000F0341" w:rsidP="00E40B0D">
            <w:pPr>
              <w:spacing w:line="240" w:lineRule="auto"/>
              <w:jc w:val="left"/>
              <w:rPr>
                <w:sz w:val="14"/>
                <w:szCs w:val="14"/>
              </w:rPr>
            </w:pPr>
            <w:r w:rsidRPr="00BF62A1">
              <w:rPr>
                <w:sz w:val="14"/>
                <w:szCs w:val="14"/>
              </w:rPr>
              <w:t>5637</w:t>
            </w:r>
          </w:p>
        </w:tc>
        <w:tc>
          <w:tcPr>
            <w:tcW w:w="980" w:type="pct"/>
            <w:tcBorders>
              <w:left w:val="single" w:sz="4" w:space="0" w:color="auto"/>
              <w:bottom w:val="single" w:sz="8" w:space="0" w:color="auto"/>
              <w:right w:val="single" w:sz="4" w:space="0" w:color="auto"/>
            </w:tcBorders>
          </w:tcPr>
          <w:p w14:paraId="0BAAA38C" w14:textId="77777777" w:rsidR="000F0341" w:rsidRPr="00BF62A1" w:rsidRDefault="000F0341" w:rsidP="00E40B0D">
            <w:pPr>
              <w:spacing w:line="240" w:lineRule="auto"/>
              <w:jc w:val="left"/>
              <w:rPr>
                <w:sz w:val="14"/>
                <w:szCs w:val="14"/>
              </w:rPr>
            </w:pPr>
            <w:r w:rsidRPr="00BF62A1">
              <w:rPr>
                <w:sz w:val="14"/>
                <w:szCs w:val="14"/>
              </w:rPr>
              <w:t>57</w:t>
            </w:r>
          </w:p>
        </w:tc>
      </w:tr>
      <w:tr w:rsidR="000F0341" w:rsidRPr="00BF62A1" w14:paraId="2D04047E" w14:textId="77777777" w:rsidTr="00E40B0D">
        <w:trPr>
          <w:trHeight w:val="20"/>
        </w:trPr>
        <w:tc>
          <w:tcPr>
            <w:tcW w:w="782" w:type="pct"/>
            <w:vMerge w:val="restart"/>
            <w:tcBorders>
              <w:top w:val="single" w:sz="8" w:space="0" w:color="auto"/>
              <w:left w:val="single" w:sz="4" w:space="0" w:color="auto"/>
              <w:right w:val="single" w:sz="4" w:space="0" w:color="auto"/>
            </w:tcBorders>
          </w:tcPr>
          <w:p w14:paraId="38A88CD3" w14:textId="77777777" w:rsidR="000F0341" w:rsidRPr="00BF62A1" w:rsidRDefault="000F0341" w:rsidP="00E40B0D">
            <w:pPr>
              <w:spacing w:line="240" w:lineRule="auto"/>
              <w:jc w:val="left"/>
              <w:rPr>
                <w:sz w:val="14"/>
                <w:szCs w:val="14"/>
              </w:rPr>
            </w:pPr>
            <w:r w:rsidRPr="00BF62A1">
              <w:rPr>
                <w:sz w:val="14"/>
                <w:szCs w:val="14"/>
              </w:rPr>
              <w:t xml:space="preserve">Diggs 2021 </w:t>
            </w:r>
            <w:r w:rsidRPr="00BF62A1">
              <w:rPr>
                <w:sz w:val="14"/>
                <w:szCs w:val="14"/>
              </w:rPr>
              <w:fldChar w:fldCharType="begin"/>
            </w:r>
            <w:r>
              <w:rPr>
                <w:sz w:val="14"/>
                <w:szCs w:val="14"/>
              </w:rPr>
              <w:instrText xml:space="preserve"> ADDIN ZOTERO_ITEM CSL_CITATION {"citationID":"IvIfJiE9","properties":{"formattedCitation":"[67]","plainCitation":"[67]","noteIndex":0},"citationItems":[{"id":14334,"uris":["http://zotero.org/groups/4983919/items/DLBKIRJS"],"itemData":{"id":14334,"type":"article-journal","abstract":"INTRODUCTION: Major hepatectomies are utilized to manage primary hepatic malignancies. Reports from high-volume centers (HVCs) with minimal perioperative mortality focus on multiple aspects of perioperative care, although patient-specific factors remain unelucidated. We identified patient factors associated with outcomes and examined whether these contribute to survival differences. METHODS: We queried the National Cancer Database (2006-2015) for patients with primary liver malignancies managed with major hepatectomy. Facilities were dichotomized by volume (high volume: &gt;15 hepatectomies/year). Perioperative outcomes were compared based on patient demographic and clinical characteristics as well as center volume. RESULTS: 4263 patients were included with 78.5% receiving care in low-volume centers (LVCs). 90-day postoperative mortality was higher in LVCs vs. HVCs (12% vs. 7.5%; P &lt; .001). Factors associated with undergoing surgery in LVCs included: living in areas with lower income (P = .006) and education (P &lt; .001), having nonprivate insurance (P &lt; .001), residing near the care center (P &lt; .001), and having a comorbidity score (CDS) &gt;1 (P = .014). Patients with CDS ≤ 1 had higher 90-day mortality in LVCs (11.3% vs. 6.6%; P &lt; .001) and had similar outcomes in LVCs and HVCs (15.6% vs. 13.7% P = .6). Patients with CDS &gt; 1 were more likely to receive care in LVCs (16.3% vs. 12.7%; P &lt; .001). CONCLUSION: Reduced perioperative mortality following major hepatectomy in HVCs is driven by optimal management of patients with low CDS. However, nearly 1 in 5 patients who undergo major hepatectomies have a high CDS and approximately 15% of them succumb in the perioperative period irrespective of the treating centers' experience.","container-title":"Am Surg","DOI":"10.1177/0003134820973368","ISSN":"0003-1348","issue":"7","language":"eng","page":"1163-1170","title":"Patient Comorbidities Drive High Mortality Rates Associated with Major Liver Resections Irrespective of Hospital Volume","volume":"87","author":[{"family":"Diggs","given":"L. P."},{"family":"Aversa","given":"J. G."},{"family":"Wiemken","given":"T. L."},{"family":"Martin","given":"S. P."},{"family":"Drake","given":"J. A."},{"family":"Ruff","given":"S. M."},{"family":"Wach","given":"M. M."},{"family":"Brown","given":"Z. J."},{"family":"Blakely","given":"A. M."},{"family":"Davis","given":"J. L."},{"family":"Luu","given":"C."},{"family":"Hernandez","given":"J. M."}],"issued":{"date-parts":[["2021",7]]}}}],"schema":"https://github.com/citation-style-language/schema/raw/master/csl-citation.json"} </w:instrText>
            </w:r>
            <w:r w:rsidRPr="00BF62A1">
              <w:rPr>
                <w:sz w:val="14"/>
                <w:szCs w:val="14"/>
              </w:rPr>
              <w:fldChar w:fldCharType="separate"/>
            </w:r>
            <w:r w:rsidRPr="004125CE">
              <w:rPr>
                <w:sz w:val="14"/>
              </w:rPr>
              <w:t>[67]</w:t>
            </w:r>
            <w:r w:rsidRPr="00BF62A1">
              <w:rPr>
                <w:sz w:val="14"/>
                <w:szCs w:val="14"/>
              </w:rPr>
              <w:fldChar w:fldCharType="end"/>
            </w:r>
          </w:p>
        </w:tc>
        <w:tc>
          <w:tcPr>
            <w:tcW w:w="468" w:type="pct"/>
            <w:vMerge w:val="restart"/>
            <w:tcBorders>
              <w:top w:val="single" w:sz="8" w:space="0" w:color="auto"/>
              <w:left w:val="single" w:sz="4" w:space="0" w:color="auto"/>
              <w:right w:val="single" w:sz="4" w:space="0" w:color="auto"/>
            </w:tcBorders>
          </w:tcPr>
          <w:p w14:paraId="352F5A30" w14:textId="77777777" w:rsidR="000F0341" w:rsidRPr="00BF62A1" w:rsidRDefault="000F0341" w:rsidP="00E40B0D">
            <w:pPr>
              <w:spacing w:line="240" w:lineRule="auto"/>
              <w:jc w:val="left"/>
              <w:rPr>
                <w:sz w:val="14"/>
                <w:szCs w:val="14"/>
              </w:rPr>
            </w:pPr>
            <w:r w:rsidRPr="00BF62A1">
              <w:rPr>
                <w:sz w:val="14"/>
                <w:szCs w:val="14"/>
              </w:rPr>
              <w:t>4263</w:t>
            </w:r>
          </w:p>
        </w:tc>
        <w:tc>
          <w:tcPr>
            <w:tcW w:w="626" w:type="pct"/>
            <w:vMerge w:val="restart"/>
            <w:tcBorders>
              <w:top w:val="single" w:sz="8" w:space="0" w:color="auto"/>
              <w:left w:val="single" w:sz="4" w:space="0" w:color="auto"/>
              <w:right w:val="single" w:sz="4" w:space="0" w:color="auto"/>
            </w:tcBorders>
          </w:tcPr>
          <w:p w14:paraId="74A3AD9D" w14:textId="77777777" w:rsidR="000F0341" w:rsidRPr="00BF62A1" w:rsidRDefault="000F0341" w:rsidP="00E40B0D">
            <w:pPr>
              <w:spacing w:line="240" w:lineRule="auto"/>
              <w:jc w:val="left"/>
              <w:rPr>
                <w:sz w:val="14"/>
                <w:szCs w:val="14"/>
              </w:rPr>
            </w:pPr>
            <w:r w:rsidRPr="00BF62A1">
              <w:rPr>
                <w:sz w:val="14"/>
                <w:szCs w:val="14"/>
              </w:rPr>
              <w:t>-</w:t>
            </w:r>
          </w:p>
        </w:tc>
        <w:tc>
          <w:tcPr>
            <w:tcW w:w="624" w:type="pct"/>
            <w:tcBorders>
              <w:top w:val="single" w:sz="8" w:space="0" w:color="auto"/>
              <w:left w:val="single" w:sz="4" w:space="0" w:color="auto"/>
              <w:bottom w:val="single" w:sz="4" w:space="0" w:color="auto"/>
              <w:right w:val="single" w:sz="4" w:space="0" w:color="auto"/>
            </w:tcBorders>
          </w:tcPr>
          <w:p w14:paraId="4648597E" w14:textId="77777777" w:rsidR="000F0341" w:rsidRPr="00BF62A1" w:rsidRDefault="000F0341" w:rsidP="00E40B0D">
            <w:pPr>
              <w:spacing w:line="240" w:lineRule="auto"/>
              <w:jc w:val="left"/>
              <w:rPr>
                <w:sz w:val="14"/>
                <w:szCs w:val="14"/>
              </w:rPr>
            </w:pPr>
            <w:r w:rsidRPr="00BF62A1">
              <w:rPr>
                <w:sz w:val="14"/>
                <w:szCs w:val="14"/>
              </w:rPr>
              <w:t>Low</w:t>
            </w:r>
          </w:p>
        </w:tc>
        <w:tc>
          <w:tcPr>
            <w:tcW w:w="782" w:type="pct"/>
            <w:tcBorders>
              <w:top w:val="single" w:sz="8" w:space="0" w:color="auto"/>
              <w:left w:val="single" w:sz="4" w:space="0" w:color="auto"/>
              <w:right w:val="single" w:sz="4" w:space="0" w:color="auto"/>
            </w:tcBorders>
          </w:tcPr>
          <w:p w14:paraId="609E218B" w14:textId="77777777" w:rsidR="000F0341" w:rsidRPr="00BF62A1" w:rsidRDefault="000F0341" w:rsidP="00E40B0D">
            <w:pPr>
              <w:spacing w:line="240" w:lineRule="auto"/>
              <w:jc w:val="left"/>
              <w:rPr>
                <w:sz w:val="14"/>
                <w:szCs w:val="14"/>
              </w:rPr>
            </w:pPr>
            <w:r w:rsidRPr="00BF62A1">
              <w:rPr>
                <w:sz w:val="14"/>
                <w:szCs w:val="14"/>
              </w:rPr>
              <w:t>&lt;15</w:t>
            </w:r>
          </w:p>
        </w:tc>
        <w:tc>
          <w:tcPr>
            <w:tcW w:w="739" w:type="pct"/>
            <w:tcBorders>
              <w:top w:val="single" w:sz="8" w:space="0" w:color="auto"/>
              <w:left w:val="single" w:sz="4" w:space="0" w:color="auto"/>
              <w:right w:val="single" w:sz="4" w:space="0" w:color="auto"/>
            </w:tcBorders>
          </w:tcPr>
          <w:p w14:paraId="2D79CB7B" w14:textId="77777777" w:rsidR="000F0341" w:rsidRPr="00BF62A1" w:rsidRDefault="000F0341" w:rsidP="00E40B0D">
            <w:pPr>
              <w:spacing w:line="240" w:lineRule="auto"/>
              <w:jc w:val="left"/>
              <w:rPr>
                <w:sz w:val="14"/>
                <w:szCs w:val="14"/>
              </w:rPr>
            </w:pPr>
            <w:r w:rsidRPr="00BF62A1">
              <w:rPr>
                <w:sz w:val="14"/>
                <w:szCs w:val="14"/>
              </w:rPr>
              <w:t>3342</w:t>
            </w:r>
          </w:p>
        </w:tc>
        <w:tc>
          <w:tcPr>
            <w:tcW w:w="980" w:type="pct"/>
            <w:tcBorders>
              <w:top w:val="single" w:sz="8" w:space="0" w:color="auto"/>
              <w:left w:val="single" w:sz="4" w:space="0" w:color="auto"/>
              <w:right w:val="single" w:sz="4" w:space="0" w:color="auto"/>
            </w:tcBorders>
          </w:tcPr>
          <w:p w14:paraId="347FFC6F" w14:textId="77777777" w:rsidR="000F0341" w:rsidRPr="00BF62A1" w:rsidRDefault="000F0341" w:rsidP="00E40B0D">
            <w:pPr>
              <w:spacing w:line="240" w:lineRule="auto"/>
              <w:jc w:val="left"/>
              <w:rPr>
                <w:sz w:val="14"/>
                <w:szCs w:val="14"/>
              </w:rPr>
            </w:pPr>
            <w:r w:rsidRPr="00BF62A1">
              <w:rPr>
                <w:sz w:val="14"/>
                <w:szCs w:val="14"/>
              </w:rPr>
              <w:t>590</w:t>
            </w:r>
          </w:p>
        </w:tc>
      </w:tr>
      <w:tr w:rsidR="000F0341" w:rsidRPr="00BF62A1" w14:paraId="71368264" w14:textId="77777777" w:rsidTr="00E40B0D">
        <w:trPr>
          <w:trHeight w:val="20"/>
        </w:trPr>
        <w:tc>
          <w:tcPr>
            <w:tcW w:w="782" w:type="pct"/>
            <w:vMerge/>
            <w:tcBorders>
              <w:left w:val="single" w:sz="4" w:space="0" w:color="auto"/>
              <w:bottom w:val="single" w:sz="8" w:space="0" w:color="auto"/>
              <w:right w:val="single" w:sz="4" w:space="0" w:color="auto"/>
            </w:tcBorders>
          </w:tcPr>
          <w:p w14:paraId="0E2D2B45" w14:textId="77777777" w:rsidR="000F0341" w:rsidRPr="00BF62A1" w:rsidRDefault="000F0341" w:rsidP="00E40B0D">
            <w:pPr>
              <w:spacing w:line="240" w:lineRule="auto"/>
              <w:jc w:val="left"/>
              <w:rPr>
                <w:sz w:val="14"/>
                <w:szCs w:val="14"/>
              </w:rPr>
            </w:pPr>
          </w:p>
        </w:tc>
        <w:tc>
          <w:tcPr>
            <w:tcW w:w="468" w:type="pct"/>
            <w:vMerge/>
            <w:tcBorders>
              <w:left w:val="single" w:sz="4" w:space="0" w:color="auto"/>
              <w:bottom w:val="single" w:sz="8" w:space="0" w:color="auto"/>
              <w:right w:val="single" w:sz="4" w:space="0" w:color="auto"/>
            </w:tcBorders>
          </w:tcPr>
          <w:p w14:paraId="75E1B334" w14:textId="77777777" w:rsidR="000F0341" w:rsidRPr="00BF62A1" w:rsidRDefault="000F0341" w:rsidP="00E40B0D">
            <w:pPr>
              <w:spacing w:line="240" w:lineRule="auto"/>
              <w:jc w:val="left"/>
              <w:rPr>
                <w:sz w:val="14"/>
                <w:szCs w:val="14"/>
              </w:rPr>
            </w:pPr>
          </w:p>
        </w:tc>
        <w:tc>
          <w:tcPr>
            <w:tcW w:w="626" w:type="pct"/>
            <w:vMerge/>
            <w:tcBorders>
              <w:left w:val="single" w:sz="4" w:space="0" w:color="auto"/>
              <w:bottom w:val="single" w:sz="8" w:space="0" w:color="auto"/>
              <w:right w:val="single" w:sz="4" w:space="0" w:color="auto"/>
            </w:tcBorders>
          </w:tcPr>
          <w:p w14:paraId="6EA4DA7B" w14:textId="77777777" w:rsidR="000F0341" w:rsidRPr="00BF62A1" w:rsidRDefault="000F0341" w:rsidP="00E40B0D">
            <w:pPr>
              <w:spacing w:line="240" w:lineRule="auto"/>
              <w:jc w:val="left"/>
              <w:rPr>
                <w:sz w:val="14"/>
                <w:szCs w:val="14"/>
              </w:rPr>
            </w:pPr>
          </w:p>
        </w:tc>
        <w:tc>
          <w:tcPr>
            <w:tcW w:w="624" w:type="pct"/>
            <w:tcBorders>
              <w:top w:val="single" w:sz="4" w:space="0" w:color="auto"/>
              <w:left w:val="single" w:sz="4" w:space="0" w:color="auto"/>
              <w:bottom w:val="single" w:sz="8" w:space="0" w:color="auto"/>
              <w:right w:val="single" w:sz="4" w:space="0" w:color="auto"/>
            </w:tcBorders>
          </w:tcPr>
          <w:p w14:paraId="455EA5FB" w14:textId="77777777" w:rsidR="000F0341" w:rsidRPr="00BF62A1" w:rsidRDefault="000F0341" w:rsidP="00E40B0D">
            <w:pPr>
              <w:spacing w:line="240" w:lineRule="auto"/>
              <w:jc w:val="left"/>
              <w:rPr>
                <w:sz w:val="14"/>
                <w:szCs w:val="14"/>
              </w:rPr>
            </w:pPr>
            <w:r w:rsidRPr="00BF62A1">
              <w:rPr>
                <w:sz w:val="14"/>
                <w:szCs w:val="14"/>
              </w:rPr>
              <w:t>High</w:t>
            </w:r>
          </w:p>
        </w:tc>
        <w:tc>
          <w:tcPr>
            <w:tcW w:w="782" w:type="pct"/>
            <w:tcBorders>
              <w:left w:val="single" w:sz="4" w:space="0" w:color="auto"/>
              <w:bottom w:val="single" w:sz="8" w:space="0" w:color="auto"/>
              <w:right w:val="single" w:sz="4" w:space="0" w:color="auto"/>
            </w:tcBorders>
          </w:tcPr>
          <w:p w14:paraId="5B126D6B" w14:textId="77777777" w:rsidR="000F0341" w:rsidRPr="00BF62A1" w:rsidRDefault="000F0341" w:rsidP="00E40B0D">
            <w:pPr>
              <w:spacing w:line="240" w:lineRule="auto"/>
              <w:jc w:val="left"/>
              <w:rPr>
                <w:sz w:val="14"/>
                <w:szCs w:val="14"/>
              </w:rPr>
            </w:pPr>
            <w:r w:rsidRPr="00BF62A1">
              <w:rPr>
                <w:sz w:val="14"/>
                <w:szCs w:val="14"/>
              </w:rPr>
              <w:t>≥15</w:t>
            </w:r>
          </w:p>
        </w:tc>
        <w:tc>
          <w:tcPr>
            <w:tcW w:w="739" w:type="pct"/>
            <w:tcBorders>
              <w:left w:val="single" w:sz="4" w:space="0" w:color="auto"/>
              <w:bottom w:val="single" w:sz="8" w:space="0" w:color="auto"/>
              <w:right w:val="single" w:sz="4" w:space="0" w:color="auto"/>
            </w:tcBorders>
          </w:tcPr>
          <w:p w14:paraId="6CFC768A" w14:textId="77777777" w:rsidR="000F0341" w:rsidRPr="00BF62A1" w:rsidRDefault="000F0341" w:rsidP="00E40B0D">
            <w:pPr>
              <w:spacing w:line="240" w:lineRule="auto"/>
              <w:jc w:val="left"/>
              <w:rPr>
                <w:sz w:val="14"/>
                <w:szCs w:val="14"/>
              </w:rPr>
            </w:pPr>
            <w:r w:rsidRPr="00BF62A1">
              <w:rPr>
                <w:sz w:val="14"/>
                <w:szCs w:val="14"/>
              </w:rPr>
              <w:t>921</w:t>
            </w:r>
          </w:p>
        </w:tc>
        <w:tc>
          <w:tcPr>
            <w:tcW w:w="980" w:type="pct"/>
            <w:tcBorders>
              <w:left w:val="single" w:sz="4" w:space="0" w:color="auto"/>
              <w:bottom w:val="single" w:sz="8" w:space="0" w:color="auto"/>
              <w:right w:val="single" w:sz="4" w:space="0" w:color="auto"/>
            </w:tcBorders>
          </w:tcPr>
          <w:p w14:paraId="2C5C6FB7" w14:textId="77777777" w:rsidR="000F0341" w:rsidRPr="00BF62A1" w:rsidRDefault="000F0341" w:rsidP="00E40B0D">
            <w:pPr>
              <w:spacing w:line="240" w:lineRule="auto"/>
              <w:jc w:val="left"/>
              <w:rPr>
                <w:sz w:val="14"/>
                <w:szCs w:val="14"/>
              </w:rPr>
            </w:pPr>
            <w:r w:rsidRPr="00BF62A1">
              <w:rPr>
                <w:sz w:val="14"/>
                <w:szCs w:val="14"/>
              </w:rPr>
              <w:t>17</w:t>
            </w:r>
          </w:p>
        </w:tc>
      </w:tr>
      <w:tr w:rsidR="000F0341" w:rsidRPr="00BF62A1" w14:paraId="52820323" w14:textId="77777777" w:rsidTr="00E40B0D">
        <w:trPr>
          <w:trHeight w:val="20"/>
        </w:trPr>
        <w:tc>
          <w:tcPr>
            <w:tcW w:w="782" w:type="pct"/>
            <w:vMerge w:val="restart"/>
            <w:tcBorders>
              <w:top w:val="single" w:sz="8" w:space="0" w:color="auto"/>
              <w:left w:val="single" w:sz="4" w:space="0" w:color="auto"/>
              <w:right w:val="single" w:sz="4" w:space="0" w:color="auto"/>
            </w:tcBorders>
          </w:tcPr>
          <w:p w14:paraId="53351809" w14:textId="4F7DF1AE" w:rsidR="000F0341" w:rsidRPr="00BF62A1" w:rsidRDefault="000F0341" w:rsidP="00E40B0D">
            <w:pPr>
              <w:spacing w:line="240" w:lineRule="auto"/>
              <w:jc w:val="left"/>
              <w:rPr>
                <w:sz w:val="14"/>
                <w:szCs w:val="14"/>
              </w:rPr>
            </w:pPr>
            <w:r w:rsidRPr="00BF62A1">
              <w:rPr>
                <w:sz w:val="14"/>
                <w:szCs w:val="14"/>
              </w:rPr>
              <w:t xml:space="preserve">Eguia 2021 </w:t>
            </w:r>
            <w:r w:rsidRPr="00BF62A1">
              <w:rPr>
                <w:sz w:val="14"/>
                <w:szCs w:val="14"/>
              </w:rPr>
              <w:fldChar w:fldCharType="begin"/>
            </w:r>
            <w:r>
              <w:rPr>
                <w:sz w:val="14"/>
                <w:szCs w:val="14"/>
              </w:rPr>
              <w:instrText xml:space="preserve"> ADDIN ZOTERO_ITEM CSL_CITATION {"citationID":"g0cuK6W0","properties":{"formattedCitation":"[90]","plainCitation":"[90]","noteIndex":0},"citationItems":[{"id":14236,"uris":["http://zotero.org/groups/4983919/items/Q54D367G"],"itemData":{"id":14236,"type":"article-journal","abstract":"BACKGROUND: Prior studies comparing the efficacy of laparoscopic (LHR) and open hepatic resection (OHR) have not evaluated inpatient costs. METHODS: We conducted a retrospective cohort study using the Healthcare Cost and Utilization Project State Inpatient Databases to identify patients undergoing hepatic resection between 2010 and 2014. RESULTS: 10,239 patients underwent hepatic resection. 865 (8%) underwent LHR and 9374 (92%) underwent OHR. On adjusting for hospital volume, patients undergoing LHR had a lower risk of respiratory (OR 0.64, 95% CI [0.52, 0.78]), wound (OR 0.48; 95% CI [0.29, 0.79]) and hematologic (OR 0.57; 95% CI [0.44, 0.73]) complication as well as a lower risk of being in the highest quartile of cost (0.58; 95% CI [0.43, 0.77]) than those undergoing OHR. Patients undergoing LHR in very high volume (&gt;314 hepatectomies/year) centers had lower risk-adjusted 90-day aggregate costs of care than those undergoing OHR (-$8022; 95% CI [-$11,732, -$4311). DISCUSSION: Laparoscopic partial hepatectomy is associated with lower risk of postoperative complication than OHR. This translates to lower aggregate costs in very high-volume centers.","container-title":"Am J Surg","DOI":"10.1016/j.amjsurg.2020.12.051","ISSN":"0002-9610","issue":"3","language":"eng","note":"publisher-place: Department of Surgery, Loyola University Medical Center, Maywood, IL, USA. Electronic address: emanuel.eguia@lumc.edu. Department of Surgery, Loyola University Medical Center, Maywood, IL, USA. Department of Surgery, University of South Florida, Tampa, FL, USA.","page":"577-583","title":"Laparoscopic partial hepatectomy is cost-effective when performed in high volume centers: A five state analysis","volume":"222","author":[{"family":"Eguia","given":"E."},{"family":"Sweigert","given":"P. J."},{"family":"Li","given":"R. D."},{"family":"Kuo","given":"P. C."},{"family":"Janjua","given":"H."},{"family":"Abood","given":"G."},{"family":"Baker","given":"M. S."}],"issued":{"date-parts":[["2021",9]]}}}],"schema":"https://github.com/citation-style-language/schema/raw/master/csl-citation.json"} </w:instrText>
            </w:r>
            <w:r w:rsidRPr="00BF62A1">
              <w:rPr>
                <w:sz w:val="14"/>
                <w:szCs w:val="14"/>
              </w:rPr>
              <w:fldChar w:fldCharType="separate"/>
            </w:r>
            <w:r w:rsidRPr="004125CE">
              <w:rPr>
                <w:sz w:val="14"/>
              </w:rPr>
              <w:t>[</w:t>
            </w:r>
            <w:r w:rsidR="00D03F0D">
              <w:rPr>
                <w:sz w:val="14"/>
              </w:rPr>
              <w:t>7</w:t>
            </w:r>
            <w:r w:rsidRPr="004125CE">
              <w:rPr>
                <w:sz w:val="14"/>
              </w:rPr>
              <w:t>9]</w:t>
            </w:r>
            <w:r w:rsidRPr="00BF62A1">
              <w:rPr>
                <w:sz w:val="14"/>
                <w:szCs w:val="14"/>
              </w:rPr>
              <w:fldChar w:fldCharType="end"/>
            </w:r>
          </w:p>
        </w:tc>
        <w:tc>
          <w:tcPr>
            <w:tcW w:w="468" w:type="pct"/>
            <w:vMerge w:val="restart"/>
            <w:tcBorders>
              <w:top w:val="single" w:sz="8" w:space="0" w:color="auto"/>
              <w:left w:val="single" w:sz="4" w:space="0" w:color="auto"/>
              <w:right w:val="single" w:sz="4" w:space="0" w:color="auto"/>
            </w:tcBorders>
          </w:tcPr>
          <w:p w14:paraId="36E7E5B7" w14:textId="77777777" w:rsidR="000F0341" w:rsidRPr="00BF62A1" w:rsidRDefault="000F0341" w:rsidP="00E40B0D">
            <w:pPr>
              <w:spacing w:line="240" w:lineRule="auto"/>
              <w:jc w:val="left"/>
              <w:rPr>
                <w:sz w:val="14"/>
                <w:szCs w:val="14"/>
              </w:rPr>
            </w:pPr>
            <w:r w:rsidRPr="00BF62A1">
              <w:rPr>
                <w:sz w:val="14"/>
                <w:szCs w:val="14"/>
              </w:rPr>
              <w:t>10239</w:t>
            </w:r>
          </w:p>
        </w:tc>
        <w:tc>
          <w:tcPr>
            <w:tcW w:w="626" w:type="pct"/>
            <w:vMerge w:val="restart"/>
            <w:tcBorders>
              <w:top w:val="single" w:sz="8" w:space="0" w:color="auto"/>
              <w:left w:val="single" w:sz="4" w:space="0" w:color="auto"/>
              <w:right w:val="single" w:sz="4" w:space="0" w:color="auto"/>
            </w:tcBorders>
          </w:tcPr>
          <w:p w14:paraId="79646C27" w14:textId="77777777" w:rsidR="000F0341" w:rsidRPr="00BF62A1" w:rsidRDefault="000F0341" w:rsidP="00E40B0D">
            <w:pPr>
              <w:spacing w:line="240" w:lineRule="auto"/>
              <w:jc w:val="left"/>
              <w:rPr>
                <w:sz w:val="14"/>
                <w:szCs w:val="14"/>
              </w:rPr>
            </w:pPr>
            <w:r w:rsidRPr="00BF62A1">
              <w:rPr>
                <w:sz w:val="14"/>
                <w:szCs w:val="14"/>
              </w:rPr>
              <w:t>-</w:t>
            </w:r>
          </w:p>
        </w:tc>
        <w:tc>
          <w:tcPr>
            <w:tcW w:w="624" w:type="pct"/>
            <w:tcBorders>
              <w:top w:val="single" w:sz="8" w:space="0" w:color="auto"/>
              <w:left w:val="single" w:sz="4" w:space="0" w:color="auto"/>
              <w:bottom w:val="single" w:sz="4" w:space="0" w:color="auto"/>
              <w:right w:val="single" w:sz="4" w:space="0" w:color="auto"/>
            </w:tcBorders>
          </w:tcPr>
          <w:p w14:paraId="1C9609BC" w14:textId="77777777" w:rsidR="000F0341" w:rsidRPr="00BF62A1" w:rsidRDefault="000F0341" w:rsidP="00E40B0D">
            <w:pPr>
              <w:spacing w:line="240" w:lineRule="auto"/>
              <w:jc w:val="left"/>
              <w:rPr>
                <w:sz w:val="14"/>
                <w:szCs w:val="14"/>
              </w:rPr>
            </w:pPr>
            <w:r w:rsidRPr="00BF62A1">
              <w:rPr>
                <w:sz w:val="14"/>
                <w:szCs w:val="14"/>
              </w:rPr>
              <w:t>Low</w:t>
            </w:r>
          </w:p>
        </w:tc>
        <w:tc>
          <w:tcPr>
            <w:tcW w:w="782" w:type="pct"/>
            <w:tcBorders>
              <w:top w:val="single" w:sz="8" w:space="0" w:color="auto"/>
              <w:left w:val="single" w:sz="4" w:space="0" w:color="auto"/>
              <w:right w:val="single" w:sz="4" w:space="0" w:color="auto"/>
            </w:tcBorders>
          </w:tcPr>
          <w:p w14:paraId="4300249F" w14:textId="77777777" w:rsidR="000F0341" w:rsidRPr="00BF62A1" w:rsidRDefault="000F0341" w:rsidP="00E40B0D">
            <w:pPr>
              <w:spacing w:line="240" w:lineRule="auto"/>
              <w:jc w:val="left"/>
              <w:rPr>
                <w:sz w:val="14"/>
                <w:szCs w:val="14"/>
              </w:rPr>
            </w:pPr>
            <w:r w:rsidRPr="00BF62A1">
              <w:rPr>
                <w:sz w:val="14"/>
                <w:szCs w:val="14"/>
              </w:rPr>
              <w:t>&lt;53</w:t>
            </w:r>
          </w:p>
        </w:tc>
        <w:tc>
          <w:tcPr>
            <w:tcW w:w="739" w:type="pct"/>
            <w:tcBorders>
              <w:top w:val="single" w:sz="8" w:space="0" w:color="auto"/>
              <w:left w:val="single" w:sz="4" w:space="0" w:color="auto"/>
              <w:right w:val="single" w:sz="4" w:space="0" w:color="auto"/>
            </w:tcBorders>
          </w:tcPr>
          <w:p w14:paraId="7789D1DB" w14:textId="77777777" w:rsidR="000F0341" w:rsidRPr="00BF62A1" w:rsidRDefault="000F0341" w:rsidP="00E40B0D">
            <w:pPr>
              <w:spacing w:line="240" w:lineRule="auto"/>
              <w:jc w:val="left"/>
              <w:rPr>
                <w:sz w:val="14"/>
                <w:szCs w:val="14"/>
              </w:rPr>
            </w:pPr>
            <w:r w:rsidRPr="00BF62A1">
              <w:rPr>
                <w:sz w:val="14"/>
                <w:szCs w:val="14"/>
              </w:rPr>
              <w:t>2662</w:t>
            </w:r>
          </w:p>
        </w:tc>
        <w:tc>
          <w:tcPr>
            <w:tcW w:w="980" w:type="pct"/>
            <w:vMerge w:val="restart"/>
            <w:tcBorders>
              <w:top w:val="single" w:sz="8" w:space="0" w:color="auto"/>
              <w:left w:val="single" w:sz="4" w:space="0" w:color="auto"/>
              <w:right w:val="single" w:sz="4" w:space="0" w:color="auto"/>
            </w:tcBorders>
          </w:tcPr>
          <w:p w14:paraId="7D44C68D" w14:textId="77777777" w:rsidR="000F0341" w:rsidRPr="00BF62A1" w:rsidRDefault="000F0341" w:rsidP="00E40B0D">
            <w:pPr>
              <w:spacing w:line="240" w:lineRule="auto"/>
              <w:jc w:val="left"/>
              <w:rPr>
                <w:sz w:val="14"/>
                <w:szCs w:val="14"/>
              </w:rPr>
            </w:pPr>
            <w:r w:rsidRPr="00BF62A1">
              <w:rPr>
                <w:sz w:val="14"/>
                <w:szCs w:val="14"/>
              </w:rPr>
              <w:t>-</w:t>
            </w:r>
          </w:p>
        </w:tc>
      </w:tr>
      <w:tr w:rsidR="000F0341" w:rsidRPr="00BF62A1" w14:paraId="3C924FF2" w14:textId="77777777" w:rsidTr="00E40B0D">
        <w:trPr>
          <w:trHeight w:val="20"/>
        </w:trPr>
        <w:tc>
          <w:tcPr>
            <w:tcW w:w="782" w:type="pct"/>
            <w:vMerge/>
            <w:tcBorders>
              <w:left w:val="single" w:sz="4" w:space="0" w:color="auto"/>
              <w:right w:val="single" w:sz="4" w:space="0" w:color="auto"/>
            </w:tcBorders>
          </w:tcPr>
          <w:p w14:paraId="60BF2F8D" w14:textId="77777777" w:rsidR="000F0341" w:rsidRPr="00BF62A1"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21902C43" w14:textId="77777777" w:rsidR="000F0341" w:rsidRPr="00BF62A1"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32FEB95E" w14:textId="77777777" w:rsidR="000F0341" w:rsidRPr="00BF62A1"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711A195F" w14:textId="77777777" w:rsidR="000F0341" w:rsidRPr="00BF62A1" w:rsidRDefault="000F0341" w:rsidP="00E40B0D">
            <w:pPr>
              <w:spacing w:line="240" w:lineRule="auto"/>
              <w:jc w:val="left"/>
              <w:rPr>
                <w:sz w:val="14"/>
                <w:szCs w:val="14"/>
              </w:rPr>
            </w:pPr>
            <w:r w:rsidRPr="00BF62A1">
              <w:rPr>
                <w:sz w:val="14"/>
                <w:szCs w:val="14"/>
              </w:rPr>
              <w:t>Moderate</w:t>
            </w:r>
          </w:p>
        </w:tc>
        <w:tc>
          <w:tcPr>
            <w:tcW w:w="782" w:type="pct"/>
            <w:tcBorders>
              <w:left w:val="single" w:sz="4" w:space="0" w:color="auto"/>
              <w:right w:val="single" w:sz="4" w:space="0" w:color="auto"/>
            </w:tcBorders>
          </w:tcPr>
          <w:p w14:paraId="114C43A1" w14:textId="77777777" w:rsidR="000F0341" w:rsidRPr="00BF62A1" w:rsidRDefault="000F0341" w:rsidP="00E40B0D">
            <w:pPr>
              <w:spacing w:line="240" w:lineRule="auto"/>
              <w:jc w:val="left"/>
              <w:rPr>
                <w:sz w:val="14"/>
                <w:szCs w:val="14"/>
              </w:rPr>
            </w:pPr>
            <w:r w:rsidRPr="00BF62A1">
              <w:rPr>
                <w:sz w:val="14"/>
                <w:szCs w:val="14"/>
              </w:rPr>
              <w:t>53-119</w:t>
            </w:r>
          </w:p>
        </w:tc>
        <w:tc>
          <w:tcPr>
            <w:tcW w:w="739" w:type="pct"/>
            <w:tcBorders>
              <w:left w:val="single" w:sz="4" w:space="0" w:color="auto"/>
              <w:right w:val="single" w:sz="4" w:space="0" w:color="auto"/>
            </w:tcBorders>
          </w:tcPr>
          <w:p w14:paraId="35CB438B" w14:textId="77777777" w:rsidR="000F0341" w:rsidRPr="00BF62A1" w:rsidRDefault="000F0341" w:rsidP="00E40B0D">
            <w:pPr>
              <w:spacing w:line="240" w:lineRule="auto"/>
              <w:jc w:val="left"/>
              <w:rPr>
                <w:sz w:val="14"/>
                <w:szCs w:val="14"/>
              </w:rPr>
            </w:pPr>
            <w:r w:rsidRPr="00BF62A1">
              <w:rPr>
                <w:sz w:val="14"/>
                <w:szCs w:val="14"/>
              </w:rPr>
              <w:t>2523</w:t>
            </w:r>
          </w:p>
        </w:tc>
        <w:tc>
          <w:tcPr>
            <w:tcW w:w="980" w:type="pct"/>
            <w:vMerge/>
            <w:tcBorders>
              <w:left w:val="single" w:sz="4" w:space="0" w:color="auto"/>
              <w:right w:val="single" w:sz="4" w:space="0" w:color="auto"/>
            </w:tcBorders>
          </w:tcPr>
          <w:p w14:paraId="51EAECFC" w14:textId="77777777" w:rsidR="000F0341" w:rsidRPr="00BF62A1" w:rsidRDefault="000F0341" w:rsidP="00E40B0D">
            <w:pPr>
              <w:pStyle w:val="ListParagraph"/>
              <w:numPr>
                <w:ilvl w:val="0"/>
                <w:numId w:val="33"/>
              </w:numPr>
              <w:spacing w:line="240" w:lineRule="auto"/>
              <w:jc w:val="left"/>
              <w:rPr>
                <w:sz w:val="14"/>
                <w:szCs w:val="14"/>
              </w:rPr>
            </w:pPr>
          </w:p>
        </w:tc>
      </w:tr>
      <w:tr w:rsidR="000F0341" w:rsidRPr="00BF62A1" w14:paraId="1432692A" w14:textId="77777777" w:rsidTr="00E40B0D">
        <w:trPr>
          <w:trHeight w:val="20"/>
        </w:trPr>
        <w:tc>
          <w:tcPr>
            <w:tcW w:w="782" w:type="pct"/>
            <w:vMerge/>
            <w:tcBorders>
              <w:left w:val="single" w:sz="4" w:space="0" w:color="auto"/>
              <w:right w:val="single" w:sz="4" w:space="0" w:color="auto"/>
            </w:tcBorders>
          </w:tcPr>
          <w:p w14:paraId="5411CCEE" w14:textId="77777777" w:rsidR="000F0341" w:rsidRPr="00BF62A1"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49EFB461" w14:textId="77777777" w:rsidR="000F0341" w:rsidRPr="00BF62A1"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0BE7D8FD" w14:textId="77777777" w:rsidR="000F0341" w:rsidRPr="00BF62A1"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587C1D07" w14:textId="77777777" w:rsidR="000F0341" w:rsidRPr="00BF62A1" w:rsidRDefault="000F0341" w:rsidP="00E40B0D">
            <w:pPr>
              <w:spacing w:line="240" w:lineRule="auto"/>
              <w:jc w:val="left"/>
              <w:rPr>
                <w:sz w:val="14"/>
                <w:szCs w:val="14"/>
              </w:rPr>
            </w:pPr>
            <w:r w:rsidRPr="00BF62A1">
              <w:rPr>
                <w:sz w:val="14"/>
                <w:szCs w:val="14"/>
              </w:rPr>
              <w:t>High</w:t>
            </w:r>
          </w:p>
        </w:tc>
        <w:tc>
          <w:tcPr>
            <w:tcW w:w="782" w:type="pct"/>
            <w:tcBorders>
              <w:left w:val="single" w:sz="4" w:space="0" w:color="auto"/>
              <w:right w:val="single" w:sz="4" w:space="0" w:color="auto"/>
            </w:tcBorders>
          </w:tcPr>
          <w:p w14:paraId="2C727B72" w14:textId="77777777" w:rsidR="000F0341" w:rsidRPr="00BF62A1" w:rsidRDefault="000F0341" w:rsidP="00E40B0D">
            <w:pPr>
              <w:spacing w:line="240" w:lineRule="auto"/>
              <w:jc w:val="left"/>
              <w:rPr>
                <w:sz w:val="14"/>
                <w:szCs w:val="14"/>
              </w:rPr>
            </w:pPr>
            <w:r w:rsidRPr="00BF62A1">
              <w:rPr>
                <w:sz w:val="14"/>
                <w:szCs w:val="14"/>
              </w:rPr>
              <w:t>120-314</w:t>
            </w:r>
          </w:p>
        </w:tc>
        <w:tc>
          <w:tcPr>
            <w:tcW w:w="739" w:type="pct"/>
            <w:tcBorders>
              <w:left w:val="single" w:sz="4" w:space="0" w:color="auto"/>
              <w:right w:val="single" w:sz="4" w:space="0" w:color="auto"/>
            </w:tcBorders>
          </w:tcPr>
          <w:p w14:paraId="3EF69F74" w14:textId="77777777" w:rsidR="000F0341" w:rsidRPr="00BF62A1" w:rsidRDefault="000F0341" w:rsidP="00E40B0D">
            <w:pPr>
              <w:spacing w:line="240" w:lineRule="auto"/>
              <w:jc w:val="left"/>
              <w:rPr>
                <w:sz w:val="14"/>
                <w:szCs w:val="14"/>
              </w:rPr>
            </w:pPr>
            <w:r w:rsidRPr="00BF62A1">
              <w:rPr>
                <w:sz w:val="14"/>
                <w:szCs w:val="14"/>
              </w:rPr>
              <w:t>2625</w:t>
            </w:r>
          </w:p>
        </w:tc>
        <w:tc>
          <w:tcPr>
            <w:tcW w:w="980" w:type="pct"/>
            <w:vMerge/>
            <w:tcBorders>
              <w:left w:val="single" w:sz="4" w:space="0" w:color="auto"/>
              <w:right w:val="single" w:sz="4" w:space="0" w:color="auto"/>
            </w:tcBorders>
          </w:tcPr>
          <w:p w14:paraId="164FF338" w14:textId="77777777" w:rsidR="000F0341" w:rsidRPr="00BF62A1" w:rsidRDefault="000F0341" w:rsidP="00E40B0D">
            <w:pPr>
              <w:pStyle w:val="ListParagraph"/>
              <w:numPr>
                <w:ilvl w:val="0"/>
                <w:numId w:val="33"/>
              </w:numPr>
              <w:spacing w:line="240" w:lineRule="auto"/>
              <w:jc w:val="left"/>
              <w:rPr>
                <w:sz w:val="14"/>
                <w:szCs w:val="14"/>
              </w:rPr>
            </w:pPr>
          </w:p>
        </w:tc>
      </w:tr>
      <w:tr w:rsidR="000F0341" w:rsidRPr="00BF62A1" w14:paraId="7135B980" w14:textId="77777777" w:rsidTr="00E40B0D">
        <w:trPr>
          <w:trHeight w:val="20"/>
        </w:trPr>
        <w:tc>
          <w:tcPr>
            <w:tcW w:w="782" w:type="pct"/>
            <w:vMerge/>
            <w:tcBorders>
              <w:left w:val="single" w:sz="4" w:space="0" w:color="auto"/>
              <w:bottom w:val="single" w:sz="8" w:space="0" w:color="auto"/>
              <w:right w:val="single" w:sz="4" w:space="0" w:color="auto"/>
            </w:tcBorders>
          </w:tcPr>
          <w:p w14:paraId="6CF91E1D" w14:textId="77777777" w:rsidR="000F0341" w:rsidRPr="00BF62A1" w:rsidRDefault="000F0341" w:rsidP="00E40B0D">
            <w:pPr>
              <w:spacing w:line="240" w:lineRule="auto"/>
              <w:jc w:val="left"/>
              <w:rPr>
                <w:sz w:val="14"/>
                <w:szCs w:val="14"/>
              </w:rPr>
            </w:pPr>
          </w:p>
        </w:tc>
        <w:tc>
          <w:tcPr>
            <w:tcW w:w="468" w:type="pct"/>
            <w:vMerge/>
            <w:tcBorders>
              <w:left w:val="single" w:sz="4" w:space="0" w:color="auto"/>
              <w:bottom w:val="single" w:sz="8" w:space="0" w:color="auto"/>
              <w:right w:val="single" w:sz="4" w:space="0" w:color="auto"/>
            </w:tcBorders>
          </w:tcPr>
          <w:p w14:paraId="2C051EAB" w14:textId="77777777" w:rsidR="000F0341" w:rsidRPr="00BF62A1" w:rsidRDefault="000F0341" w:rsidP="00E40B0D">
            <w:pPr>
              <w:spacing w:line="240" w:lineRule="auto"/>
              <w:jc w:val="left"/>
              <w:rPr>
                <w:sz w:val="14"/>
                <w:szCs w:val="14"/>
              </w:rPr>
            </w:pPr>
          </w:p>
        </w:tc>
        <w:tc>
          <w:tcPr>
            <w:tcW w:w="626" w:type="pct"/>
            <w:vMerge/>
            <w:tcBorders>
              <w:left w:val="single" w:sz="4" w:space="0" w:color="auto"/>
              <w:bottom w:val="single" w:sz="8" w:space="0" w:color="auto"/>
              <w:right w:val="single" w:sz="4" w:space="0" w:color="auto"/>
            </w:tcBorders>
          </w:tcPr>
          <w:p w14:paraId="5B7661C2" w14:textId="77777777" w:rsidR="000F0341" w:rsidRPr="00BF62A1" w:rsidRDefault="000F0341" w:rsidP="00E40B0D">
            <w:pPr>
              <w:spacing w:line="240" w:lineRule="auto"/>
              <w:jc w:val="left"/>
              <w:rPr>
                <w:sz w:val="14"/>
                <w:szCs w:val="14"/>
              </w:rPr>
            </w:pPr>
          </w:p>
        </w:tc>
        <w:tc>
          <w:tcPr>
            <w:tcW w:w="624" w:type="pct"/>
            <w:tcBorders>
              <w:top w:val="single" w:sz="4" w:space="0" w:color="auto"/>
              <w:left w:val="single" w:sz="4" w:space="0" w:color="auto"/>
              <w:bottom w:val="single" w:sz="8" w:space="0" w:color="auto"/>
              <w:right w:val="single" w:sz="4" w:space="0" w:color="auto"/>
            </w:tcBorders>
          </w:tcPr>
          <w:p w14:paraId="67912EEF" w14:textId="77777777" w:rsidR="000F0341" w:rsidRPr="00BF62A1" w:rsidRDefault="000F0341" w:rsidP="00E40B0D">
            <w:pPr>
              <w:spacing w:line="240" w:lineRule="auto"/>
              <w:jc w:val="left"/>
              <w:rPr>
                <w:sz w:val="14"/>
                <w:szCs w:val="14"/>
              </w:rPr>
            </w:pPr>
            <w:r w:rsidRPr="00BF62A1">
              <w:rPr>
                <w:sz w:val="14"/>
                <w:szCs w:val="14"/>
              </w:rPr>
              <w:t>Very high</w:t>
            </w:r>
          </w:p>
        </w:tc>
        <w:tc>
          <w:tcPr>
            <w:tcW w:w="782" w:type="pct"/>
            <w:tcBorders>
              <w:left w:val="single" w:sz="4" w:space="0" w:color="auto"/>
              <w:bottom w:val="single" w:sz="8" w:space="0" w:color="auto"/>
              <w:right w:val="single" w:sz="4" w:space="0" w:color="auto"/>
            </w:tcBorders>
          </w:tcPr>
          <w:p w14:paraId="47C27066" w14:textId="77777777" w:rsidR="000F0341" w:rsidRPr="00BF62A1" w:rsidRDefault="000F0341" w:rsidP="00E40B0D">
            <w:pPr>
              <w:spacing w:line="240" w:lineRule="auto"/>
              <w:jc w:val="left"/>
              <w:rPr>
                <w:sz w:val="14"/>
                <w:szCs w:val="14"/>
              </w:rPr>
            </w:pPr>
            <w:r w:rsidRPr="00BF62A1">
              <w:rPr>
                <w:sz w:val="14"/>
                <w:szCs w:val="14"/>
              </w:rPr>
              <w:t>&gt;314</w:t>
            </w:r>
          </w:p>
        </w:tc>
        <w:tc>
          <w:tcPr>
            <w:tcW w:w="739" w:type="pct"/>
            <w:tcBorders>
              <w:left w:val="single" w:sz="4" w:space="0" w:color="auto"/>
              <w:bottom w:val="single" w:sz="8" w:space="0" w:color="auto"/>
              <w:right w:val="single" w:sz="4" w:space="0" w:color="auto"/>
            </w:tcBorders>
          </w:tcPr>
          <w:p w14:paraId="095ED046" w14:textId="77777777" w:rsidR="000F0341" w:rsidRPr="00BF62A1" w:rsidRDefault="000F0341" w:rsidP="00E40B0D">
            <w:pPr>
              <w:spacing w:line="240" w:lineRule="auto"/>
              <w:jc w:val="left"/>
              <w:rPr>
                <w:sz w:val="14"/>
                <w:szCs w:val="14"/>
              </w:rPr>
            </w:pPr>
            <w:r w:rsidRPr="00BF62A1">
              <w:rPr>
                <w:sz w:val="14"/>
                <w:szCs w:val="14"/>
              </w:rPr>
              <w:t>2431</w:t>
            </w:r>
          </w:p>
        </w:tc>
        <w:tc>
          <w:tcPr>
            <w:tcW w:w="980" w:type="pct"/>
            <w:vMerge/>
            <w:tcBorders>
              <w:left w:val="single" w:sz="4" w:space="0" w:color="auto"/>
              <w:bottom w:val="single" w:sz="8" w:space="0" w:color="auto"/>
              <w:right w:val="single" w:sz="4" w:space="0" w:color="auto"/>
            </w:tcBorders>
          </w:tcPr>
          <w:p w14:paraId="1568D164" w14:textId="77777777" w:rsidR="000F0341" w:rsidRPr="00BF62A1" w:rsidRDefault="000F0341" w:rsidP="00E40B0D">
            <w:pPr>
              <w:pStyle w:val="ListParagraph"/>
              <w:numPr>
                <w:ilvl w:val="0"/>
                <w:numId w:val="33"/>
              </w:numPr>
              <w:spacing w:line="240" w:lineRule="auto"/>
              <w:jc w:val="left"/>
              <w:rPr>
                <w:sz w:val="14"/>
                <w:szCs w:val="14"/>
              </w:rPr>
            </w:pPr>
          </w:p>
        </w:tc>
      </w:tr>
      <w:tr w:rsidR="000F0341" w:rsidRPr="00BF62A1" w14:paraId="40BEBEB4" w14:textId="77777777" w:rsidTr="00E40B0D">
        <w:trPr>
          <w:trHeight w:val="20"/>
        </w:trPr>
        <w:tc>
          <w:tcPr>
            <w:tcW w:w="782" w:type="pct"/>
            <w:vMerge w:val="restart"/>
            <w:tcBorders>
              <w:top w:val="single" w:sz="8" w:space="0" w:color="auto"/>
              <w:left w:val="single" w:sz="4" w:space="0" w:color="auto"/>
              <w:right w:val="single" w:sz="4" w:space="0" w:color="auto"/>
            </w:tcBorders>
          </w:tcPr>
          <w:p w14:paraId="351A4AFA" w14:textId="1236F89D" w:rsidR="000F0341" w:rsidRPr="00BF62A1" w:rsidRDefault="000F0341" w:rsidP="00E40B0D">
            <w:pPr>
              <w:spacing w:line="240" w:lineRule="auto"/>
              <w:jc w:val="left"/>
              <w:rPr>
                <w:sz w:val="14"/>
                <w:szCs w:val="14"/>
              </w:rPr>
            </w:pPr>
            <w:r w:rsidRPr="00BF62A1">
              <w:rPr>
                <w:sz w:val="14"/>
                <w:szCs w:val="14"/>
              </w:rPr>
              <w:t xml:space="preserve">El Amrani 2019 </w:t>
            </w:r>
            <w:r w:rsidRPr="00BF62A1">
              <w:rPr>
                <w:sz w:val="14"/>
                <w:szCs w:val="14"/>
              </w:rPr>
              <w:fldChar w:fldCharType="begin"/>
            </w:r>
            <w:r>
              <w:rPr>
                <w:sz w:val="14"/>
                <w:szCs w:val="14"/>
              </w:rPr>
              <w:instrText xml:space="preserve"> ADDIN ZOTERO_ITEM CSL_CITATION {"citationID":"1OP3OA9Q","properties":{"formattedCitation":"[95]","plainCitation":"[95]","noteIndex":0},"citationItems":[{"id":14298,"uris":["http://zotero.org/groups/4983919/items/U7ZDCDJ9"],"itemData":{"id":14298,"type":"article-journal","abstract":"OBJECTIVES: We aimed to examine whether the improved outcome of a digestive cancer procedure in high-volume hospitals is specific or correlates with that of other digestive cancer procedures, and determine if the discriminant cut-off of hospital volume may influence postoperative mortality (POM) regardless of the procedure. BACKGROUND: Performing complex surgeries in tertiary centers is associated with improved outcome. However, the association between POM and hospital volume of nonspecific procedures is unknown. METHODS: Patients who underwent colectomy, proctectomy, esophagectomy, gastrectomy, pancreatectomy, and hepatectomy for cancer between 2012 and 2017 were identified in the French nationwide database. Chi-square automatic interaction detector was used to identify the cut-off values of the annual caseload affecting the 90-day POM. A common threshold was estimated by minimization of chi-square distance taking into account the specific mortality of each procedure. RESULTS: Overall, 225,752 patients were identified. Hospitals were categorized according to the procedure volume (colectomy: ≥80 cases/yr, proctectomy: ≥35/yr, esophagectomy: ≥41/yr, gastrectomy: ≥16/yr, pancreatectomy: ≥26/yr, and hepatectomy: ≥76/yr). The overall 90-day POM was 5.1% and varied significantly with volume. The benefits of high volume were transferable across procedures. High-volume hospitals for colorectal cancer surgery significantly influenced the risk of death after hepatectomy (P &lt; 0.001) and pancreatectomy (P &lt; 0.001). The common threshold for all procedures that influenced POM was 199 cases/yr (odds ratio 1.29, P &lt; 0.001). CONCLUSION: In digestive cancer surgery, the volume-POM relationship of one procedure was associated with the volume of other procedures. Thus, tertiary hospitals should be defined according to the common threshold of different procedures.","container-title":"Ann Surg","DOI":"10.1097/sla.0000000000003532","ISSN":"0003-4932","issue":"5","language":"eng","page":"775-782","title":"Specificity of Procedure volume and its Association With Postoperative Mortality in Digestive Cancer Surgery: A Nationwide Study of 225,752 Patients","volume":"270","author":[{"family":"El Amrani","given":"M."},{"family":"Lenne","given":"X."},{"family":"Clement","given":"G."},{"family":"Delpero","given":"J. R."},{"family":"Theis","given":"D."},{"family":"Pruvot","given":"F. R."},{"family":"Bruandet","given":"A."},{"family":"Truant","given":"S."}],"issued":{"date-parts":[["2019",11]]}}}],"schema":"https://github.com/citation-style-language/schema/raw/master/csl-citation.json"} </w:instrText>
            </w:r>
            <w:r w:rsidRPr="00BF62A1">
              <w:rPr>
                <w:sz w:val="14"/>
                <w:szCs w:val="14"/>
              </w:rPr>
              <w:fldChar w:fldCharType="separate"/>
            </w:r>
            <w:r w:rsidRPr="004125CE">
              <w:rPr>
                <w:sz w:val="14"/>
              </w:rPr>
              <w:t>[</w:t>
            </w:r>
            <w:r w:rsidR="00D03F0D">
              <w:rPr>
                <w:sz w:val="14"/>
              </w:rPr>
              <w:t>69</w:t>
            </w:r>
            <w:r w:rsidRPr="004125CE">
              <w:rPr>
                <w:sz w:val="14"/>
              </w:rPr>
              <w:t>]</w:t>
            </w:r>
            <w:r w:rsidRPr="00BF62A1">
              <w:rPr>
                <w:sz w:val="14"/>
                <w:szCs w:val="14"/>
              </w:rPr>
              <w:fldChar w:fldCharType="end"/>
            </w:r>
          </w:p>
        </w:tc>
        <w:tc>
          <w:tcPr>
            <w:tcW w:w="468" w:type="pct"/>
            <w:vMerge w:val="restart"/>
            <w:tcBorders>
              <w:top w:val="single" w:sz="8" w:space="0" w:color="auto"/>
              <w:left w:val="single" w:sz="4" w:space="0" w:color="auto"/>
              <w:right w:val="single" w:sz="4" w:space="0" w:color="auto"/>
            </w:tcBorders>
          </w:tcPr>
          <w:p w14:paraId="4CBB2CD1" w14:textId="77777777" w:rsidR="000F0341" w:rsidRPr="00BF62A1" w:rsidRDefault="000F0341" w:rsidP="00E40B0D">
            <w:pPr>
              <w:spacing w:line="240" w:lineRule="auto"/>
              <w:jc w:val="left"/>
              <w:rPr>
                <w:color w:val="000000" w:themeColor="text1"/>
                <w:sz w:val="14"/>
                <w:szCs w:val="14"/>
              </w:rPr>
            </w:pPr>
            <w:r w:rsidRPr="00BF62A1">
              <w:rPr>
                <w:color w:val="000000" w:themeColor="text1"/>
                <w:sz w:val="14"/>
                <w:szCs w:val="14"/>
              </w:rPr>
              <w:t>28763</w:t>
            </w:r>
          </w:p>
        </w:tc>
        <w:tc>
          <w:tcPr>
            <w:tcW w:w="626" w:type="pct"/>
            <w:vMerge w:val="restart"/>
            <w:tcBorders>
              <w:top w:val="single" w:sz="8" w:space="0" w:color="auto"/>
              <w:left w:val="single" w:sz="4" w:space="0" w:color="auto"/>
              <w:right w:val="single" w:sz="4" w:space="0" w:color="auto"/>
            </w:tcBorders>
          </w:tcPr>
          <w:p w14:paraId="43B31927" w14:textId="77777777" w:rsidR="000F0341" w:rsidRPr="00BF62A1" w:rsidRDefault="000F0341" w:rsidP="00E40B0D">
            <w:pPr>
              <w:spacing w:line="240" w:lineRule="auto"/>
              <w:jc w:val="left"/>
              <w:rPr>
                <w:sz w:val="14"/>
                <w:szCs w:val="14"/>
              </w:rPr>
            </w:pPr>
            <w:r w:rsidRPr="00BF62A1">
              <w:rPr>
                <w:sz w:val="14"/>
                <w:szCs w:val="14"/>
              </w:rPr>
              <w:t>-</w:t>
            </w:r>
          </w:p>
        </w:tc>
        <w:tc>
          <w:tcPr>
            <w:tcW w:w="624" w:type="pct"/>
            <w:tcBorders>
              <w:top w:val="single" w:sz="8" w:space="0" w:color="auto"/>
              <w:left w:val="single" w:sz="4" w:space="0" w:color="auto"/>
              <w:bottom w:val="single" w:sz="4" w:space="0" w:color="auto"/>
              <w:right w:val="single" w:sz="4" w:space="0" w:color="auto"/>
            </w:tcBorders>
          </w:tcPr>
          <w:p w14:paraId="48D8D518" w14:textId="77777777" w:rsidR="000F0341" w:rsidRPr="00BF62A1" w:rsidRDefault="000F0341" w:rsidP="00E40B0D">
            <w:pPr>
              <w:spacing w:line="240" w:lineRule="auto"/>
              <w:jc w:val="left"/>
              <w:rPr>
                <w:sz w:val="14"/>
                <w:szCs w:val="14"/>
              </w:rPr>
            </w:pPr>
            <w:r w:rsidRPr="00BF62A1">
              <w:rPr>
                <w:sz w:val="14"/>
                <w:szCs w:val="14"/>
              </w:rPr>
              <w:t>Low</w:t>
            </w:r>
          </w:p>
        </w:tc>
        <w:tc>
          <w:tcPr>
            <w:tcW w:w="782" w:type="pct"/>
            <w:tcBorders>
              <w:top w:val="single" w:sz="8" w:space="0" w:color="auto"/>
              <w:left w:val="single" w:sz="4" w:space="0" w:color="auto"/>
              <w:right w:val="single" w:sz="4" w:space="0" w:color="auto"/>
            </w:tcBorders>
          </w:tcPr>
          <w:p w14:paraId="4173D116" w14:textId="77777777" w:rsidR="000F0341" w:rsidRPr="00BF62A1" w:rsidRDefault="000F0341" w:rsidP="00E40B0D">
            <w:pPr>
              <w:spacing w:line="240" w:lineRule="auto"/>
              <w:jc w:val="left"/>
              <w:rPr>
                <w:sz w:val="14"/>
                <w:szCs w:val="14"/>
              </w:rPr>
            </w:pPr>
            <w:r w:rsidRPr="00BF62A1">
              <w:rPr>
                <w:sz w:val="14"/>
                <w:szCs w:val="14"/>
              </w:rPr>
              <w:t>&lt;76</w:t>
            </w:r>
          </w:p>
        </w:tc>
        <w:tc>
          <w:tcPr>
            <w:tcW w:w="739" w:type="pct"/>
            <w:tcBorders>
              <w:top w:val="single" w:sz="8" w:space="0" w:color="auto"/>
              <w:left w:val="single" w:sz="4" w:space="0" w:color="auto"/>
              <w:right w:val="single" w:sz="4" w:space="0" w:color="auto"/>
            </w:tcBorders>
          </w:tcPr>
          <w:p w14:paraId="13290AE4" w14:textId="77777777" w:rsidR="000F0341" w:rsidRPr="00BF62A1" w:rsidRDefault="000F0341" w:rsidP="00E40B0D">
            <w:pPr>
              <w:spacing w:line="240" w:lineRule="auto"/>
              <w:jc w:val="left"/>
              <w:rPr>
                <w:sz w:val="14"/>
                <w:szCs w:val="14"/>
              </w:rPr>
            </w:pPr>
            <w:r w:rsidRPr="00BF62A1">
              <w:rPr>
                <w:sz w:val="14"/>
                <w:szCs w:val="14"/>
              </w:rPr>
              <w:t>16928</w:t>
            </w:r>
          </w:p>
        </w:tc>
        <w:tc>
          <w:tcPr>
            <w:tcW w:w="980" w:type="pct"/>
            <w:tcBorders>
              <w:top w:val="single" w:sz="8" w:space="0" w:color="auto"/>
              <w:left w:val="single" w:sz="4" w:space="0" w:color="auto"/>
              <w:right w:val="single" w:sz="4" w:space="0" w:color="auto"/>
            </w:tcBorders>
          </w:tcPr>
          <w:p w14:paraId="289394C3" w14:textId="77777777" w:rsidR="000F0341" w:rsidRPr="00BF62A1" w:rsidRDefault="000F0341" w:rsidP="00E40B0D">
            <w:pPr>
              <w:spacing w:line="240" w:lineRule="auto"/>
              <w:jc w:val="left"/>
              <w:rPr>
                <w:sz w:val="14"/>
                <w:szCs w:val="14"/>
              </w:rPr>
            </w:pPr>
            <w:r w:rsidRPr="00BF62A1">
              <w:rPr>
                <w:sz w:val="14"/>
                <w:szCs w:val="14"/>
              </w:rPr>
              <w:t>680</w:t>
            </w:r>
            <w:r w:rsidRPr="00BF62A1">
              <w:rPr>
                <w:sz w:val="14"/>
                <w:szCs w:val="14"/>
                <w:vertAlign w:val="superscript"/>
              </w:rPr>
              <w:t>a</w:t>
            </w:r>
          </w:p>
        </w:tc>
      </w:tr>
      <w:tr w:rsidR="000F0341" w:rsidRPr="00BF62A1" w14:paraId="2240E538" w14:textId="77777777" w:rsidTr="00E40B0D">
        <w:trPr>
          <w:trHeight w:val="20"/>
        </w:trPr>
        <w:tc>
          <w:tcPr>
            <w:tcW w:w="782" w:type="pct"/>
            <w:vMerge/>
            <w:tcBorders>
              <w:left w:val="single" w:sz="4" w:space="0" w:color="auto"/>
              <w:bottom w:val="single" w:sz="8" w:space="0" w:color="auto"/>
              <w:right w:val="single" w:sz="4" w:space="0" w:color="auto"/>
            </w:tcBorders>
          </w:tcPr>
          <w:p w14:paraId="70A6CC44" w14:textId="77777777" w:rsidR="000F0341" w:rsidRPr="00BF62A1" w:rsidRDefault="000F0341" w:rsidP="00E40B0D">
            <w:pPr>
              <w:spacing w:line="240" w:lineRule="auto"/>
              <w:jc w:val="left"/>
              <w:rPr>
                <w:sz w:val="14"/>
                <w:szCs w:val="14"/>
              </w:rPr>
            </w:pPr>
          </w:p>
        </w:tc>
        <w:tc>
          <w:tcPr>
            <w:tcW w:w="468" w:type="pct"/>
            <w:vMerge/>
            <w:tcBorders>
              <w:left w:val="single" w:sz="4" w:space="0" w:color="auto"/>
              <w:bottom w:val="single" w:sz="8" w:space="0" w:color="auto"/>
              <w:right w:val="single" w:sz="4" w:space="0" w:color="auto"/>
            </w:tcBorders>
          </w:tcPr>
          <w:p w14:paraId="49F7347B" w14:textId="77777777" w:rsidR="000F0341" w:rsidRPr="00BF62A1" w:rsidRDefault="000F0341" w:rsidP="00E40B0D">
            <w:pPr>
              <w:spacing w:line="240" w:lineRule="auto"/>
              <w:jc w:val="left"/>
              <w:rPr>
                <w:color w:val="000000" w:themeColor="text1"/>
                <w:sz w:val="14"/>
                <w:szCs w:val="14"/>
              </w:rPr>
            </w:pPr>
          </w:p>
        </w:tc>
        <w:tc>
          <w:tcPr>
            <w:tcW w:w="626" w:type="pct"/>
            <w:vMerge/>
            <w:tcBorders>
              <w:left w:val="single" w:sz="4" w:space="0" w:color="auto"/>
              <w:bottom w:val="single" w:sz="8" w:space="0" w:color="auto"/>
              <w:right w:val="single" w:sz="4" w:space="0" w:color="auto"/>
            </w:tcBorders>
          </w:tcPr>
          <w:p w14:paraId="2BA51C31" w14:textId="77777777" w:rsidR="000F0341" w:rsidRPr="00BF62A1" w:rsidRDefault="000F0341" w:rsidP="00E40B0D">
            <w:pPr>
              <w:spacing w:line="240" w:lineRule="auto"/>
              <w:jc w:val="left"/>
              <w:rPr>
                <w:sz w:val="14"/>
                <w:szCs w:val="14"/>
              </w:rPr>
            </w:pPr>
          </w:p>
        </w:tc>
        <w:tc>
          <w:tcPr>
            <w:tcW w:w="624" w:type="pct"/>
            <w:tcBorders>
              <w:top w:val="single" w:sz="4" w:space="0" w:color="auto"/>
              <w:left w:val="single" w:sz="4" w:space="0" w:color="auto"/>
              <w:bottom w:val="single" w:sz="8" w:space="0" w:color="auto"/>
              <w:right w:val="single" w:sz="4" w:space="0" w:color="auto"/>
            </w:tcBorders>
          </w:tcPr>
          <w:p w14:paraId="78373E8B" w14:textId="77777777" w:rsidR="000F0341" w:rsidRPr="00BF62A1" w:rsidRDefault="000F0341" w:rsidP="00E40B0D">
            <w:pPr>
              <w:spacing w:line="240" w:lineRule="auto"/>
              <w:jc w:val="left"/>
              <w:rPr>
                <w:sz w:val="14"/>
                <w:szCs w:val="14"/>
              </w:rPr>
            </w:pPr>
            <w:r w:rsidRPr="00BF62A1">
              <w:rPr>
                <w:sz w:val="14"/>
                <w:szCs w:val="14"/>
              </w:rPr>
              <w:t>High</w:t>
            </w:r>
          </w:p>
        </w:tc>
        <w:tc>
          <w:tcPr>
            <w:tcW w:w="782" w:type="pct"/>
            <w:tcBorders>
              <w:left w:val="single" w:sz="4" w:space="0" w:color="auto"/>
              <w:bottom w:val="single" w:sz="8" w:space="0" w:color="auto"/>
              <w:right w:val="single" w:sz="4" w:space="0" w:color="auto"/>
            </w:tcBorders>
          </w:tcPr>
          <w:p w14:paraId="7A6743EB" w14:textId="77777777" w:rsidR="000F0341" w:rsidRPr="00BF62A1" w:rsidRDefault="000F0341" w:rsidP="00E40B0D">
            <w:pPr>
              <w:spacing w:line="240" w:lineRule="auto"/>
              <w:jc w:val="left"/>
              <w:rPr>
                <w:sz w:val="14"/>
                <w:szCs w:val="14"/>
              </w:rPr>
            </w:pPr>
            <w:r w:rsidRPr="00BF62A1">
              <w:rPr>
                <w:sz w:val="14"/>
                <w:szCs w:val="14"/>
              </w:rPr>
              <w:t>≥76</w:t>
            </w:r>
          </w:p>
        </w:tc>
        <w:tc>
          <w:tcPr>
            <w:tcW w:w="739" w:type="pct"/>
            <w:tcBorders>
              <w:left w:val="single" w:sz="4" w:space="0" w:color="auto"/>
              <w:bottom w:val="single" w:sz="8" w:space="0" w:color="auto"/>
              <w:right w:val="single" w:sz="4" w:space="0" w:color="auto"/>
            </w:tcBorders>
          </w:tcPr>
          <w:p w14:paraId="66A57E16" w14:textId="77777777" w:rsidR="000F0341" w:rsidRPr="00BF62A1" w:rsidRDefault="000F0341" w:rsidP="00E40B0D">
            <w:pPr>
              <w:spacing w:line="240" w:lineRule="auto"/>
              <w:jc w:val="left"/>
              <w:rPr>
                <w:sz w:val="14"/>
                <w:szCs w:val="14"/>
              </w:rPr>
            </w:pPr>
            <w:r w:rsidRPr="00BF62A1">
              <w:rPr>
                <w:sz w:val="14"/>
                <w:szCs w:val="14"/>
              </w:rPr>
              <w:t>11835</w:t>
            </w:r>
          </w:p>
        </w:tc>
        <w:tc>
          <w:tcPr>
            <w:tcW w:w="980" w:type="pct"/>
            <w:tcBorders>
              <w:left w:val="single" w:sz="4" w:space="0" w:color="auto"/>
              <w:bottom w:val="single" w:sz="8" w:space="0" w:color="auto"/>
              <w:right w:val="single" w:sz="4" w:space="0" w:color="auto"/>
            </w:tcBorders>
          </w:tcPr>
          <w:p w14:paraId="75E30B99" w14:textId="77777777" w:rsidR="000F0341" w:rsidRPr="00BF62A1" w:rsidRDefault="000F0341" w:rsidP="00E40B0D">
            <w:pPr>
              <w:spacing w:line="240" w:lineRule="auto"/>
              <w:jc w:val="left"/>
              <w:rPr>
                <w:sz w:val="14"/>
                <w:szCs w:val="14"/>
              </w:rPr>
            </w:pPr>
            <w:r w:rsidRPr="00BF62A1">
              <w:rPr>
                <w:sz w:val="14"/>
                <w:szCs w:val="14"/>
              </w:rPr>
              <w:t>35</w:t>
            </w:r>
            <w:r w:rsidRPr="00BF62A1">
              <w:rPr>
                <w:sz w:val="14"/>
                <w:szCs w:val="14"/>
                <w:vertAlign w:val="superscript"/>
              </w:rPr>
              <w:t>a</w:t>
            </w:r>
          </w:p>
        </w:tc>
      </w:tr>
      <w:tr w:rsidR="000F0341" w:rsidRPr="00BF62A1" w14:paraId="51496124" w14:textId="77777777" w:rsidTr="00E40B0D">
        <w:trPr>
          <w:trHeight w:val="20"/>
        </w:trPr>
        <w:tc>
          <w:tcPr>
            <w:tcW w:w="782" w:type="pct"/>
            <w:vMerge w:val="restart"/>
            <w:tcBorders>
              <w:top w:val="single" w:sz="8" w:space="0" w:color="auto"/>
              <w:left w:val="single" w:sz="4" w:space="0" w:color="auto"/>
              <w:right w:val="single" w:sz="4" w:space="0" w:color="auto"/>
            </w:tcBorders>
          </w:tcPr>
          <w:p w14:paraId="2EA659E8" w14:textId="44DAFE18" w:rsidR="000F0341" w:rsidRPr="00BF62A1" w:rsidRDefault="000F0341" w:rsidP="00E40B0D">
            <w:pPr>
              <w:spacing w:line="240" w:lineRule="auto"/>
              <w:jc w:val="left"/>
              <w:rPr>
                <w:color w:val="000000"/>
                <w:sz w:val="14"/>
                <w:szCs w:val="14"/>
              </w:rPr>
            </w:pPr>
            <w:r w:rsidRPr="00BF62A1">
              <w:rPr>
                <w:color w:val="000000"/>
                <w:sz w:val="14"/>
                <w:szCs w:val="14"/>
              </w:rPr>
              <w:t>Endo 2023</w:t>
            </w:r>
            <w:r w:rsidRPr="00BF62A1">
              <w:rPr>
                <w:color w:val="000000"/>
                <w:sz w:val="14"/>
                <w:szCs w:val="14"/>
                <w:vertAlign w:val="superscript"/>
              </w:rPr>
              <w:t xml:space="preserve">1 </w:t>
            </w:r>
            <w:r w:rsidRPr="00BF62A1">
              <w:rPr>
                <w:color w:val="000000"/>
                <w:sz w:val="14"/>
                <w:szCs w:val="14"/>
                <w:vertAlign w:val="superscript"/>
              </w:rPr>
              <w:fldChar w:fldCharType="begin"/>
            </w:r>
            <w:r>
              <w:rPr>
                <w:color w:val="000000"/>
                <w:sz w:val="14"/>
                <w:szCs w:val="14"/>
                <w:vertAlign w:val="superscript"/>
              </w:rPr>
              <w:instrText xml:space="preserve"> ADDIN ZOTERO_ITEM CSL_CITATION {"citationID":"eCiuHWMO","properties":{"formattedCitation":"[82]","plainCitation":"[82]","noteIndex":0},"citationItems":[{"id":14272,"uris":["http://zotero.org/groups/4983919/items/DRTNI4XK"],"itemData":{"id":14272,"type":"article-journal","abstract":"BACKGROUND: Hospital volume affects outcomes of patients who underwent resection for hepatocellular carcinoma (HCC). We sought to assess the impact of minimally invasive hepatectomy (MIH) volume on short- and long-term outcomes among patients with HCC. METHODS: Patients who underwent MIH for HCC from 2010 to 2018 were identified from the National Cancer Database. Multivariable modeling with restricted cubic splines (RCS) was utilized to identify the MIH hospital volume threshold. Textbook outcome (TO) was defined as no conversion to open resection, negative margins after resection (R0), no extended length-of-stay, no readmission, and no 90-day mortality. RESULTS: Among 3268 patients who underwent MIH for HCC, median age was 65.0 (IQR 59.0-72.0) and the majority was male (n = 2308, 70.6%). MIH hospital volume ranged from 1 to 87 cases, with a median of 13 (IQR 7-23). Overall, 2151 (60.9%) patients achieved TO after resection. While particularly high rates of achievement were found for no 90-day mortality (n = 3106, 95.0%), no readmission (n = 3153, 96.5%), and R0 resection (n = 3,017, 92.3%), other TO components including no conversion to open (n = 2778, 85.0%) and no prolonged LOS (n = 2584, 79.1%) were achieved less frequently. Patients treated at high-volume centers (≥50 MIH cases) were more likely to experience TO (high volume centers, n = 334, 68.7% vs. low volume centers, n = 1656, 59.5%, p &lt; 0.001) and better long-term survival (5-year OS; high volume centers, 64.7% vs. low volume centers, 54.6%, p &lt; 0.001). CONCLUSIONS: MIH hospital volume was associated with a higher likelihood of achieving TO and improved long-term survival among patients undergoing resection of HCC.","container-title":"Journal of gastrointestinal surgery : official journal of the Society for Surgery of the Alimentary Tract","DOI":"10.1007/s11605-023-05609-9","ISSN":"1873-4626 (Electronic)","language":"eng","title":"Hospital Volume and Textbook Outcomes in Minimally Invasive Hepatectomy for Hepatocellular Carcinoma.","URL":"https://pubmed.ncbi.nlm.nih.gov/36732402/","author":[{"family":"Endo","given":"Yutaka"},{"family":"Moazzam","given":"Zorays"},{"family":"Woldesenbet","given":"Selamawit"},{"family":"Lima","given":"Henrique A"},{"family":"Alaimo","given":"Laura"},{"family":"Munir","given":"Muhammad Musaab"},{"family":"Shaikh","given":"Chanza F."},{"family":"Yang","given":"Jason"},{"family":"Azap","given":"Lovette"},{"family":"Katayama","given":"Erryk"},{"family":"Kitago","given":"Minoru"},{"family":"Pawlik","given":"Timothy M"}],"issued":{"date-parts":[["2023",2]]}}}],"schema":"https://github.com/citation-style-language/schema/raw/master/csl-citation.json"} </w:instrText>
            </w:r>
            <w:r w:rsidRPr="00BF62A1">
              <w:rPr>
                <w:color w:val="000000"/>
                <w:sz w:val="14"/>
                <w:szCs w:val="14"/>
                <w:vertAlign w:val="superscript"/>
              </w:rPr>
              <w:fldChar w:fldCharType="separate"/>
            </w:r>
            <w:r w:rsidRPr="004125CE">
              <w:rPr>
                <w:sz w:val="14"/>
              </w:rPr>
              <w:t>[8</w:t>
            </w:r>
            <w:r w:rsidR="00D03F0D">
              <w:rPr>
                <w:sz w:val="14"/>
              </w:rPr>
              <w:t>6</w:t>
            </w:r>
            <w:r w:rsidRPr="004125CE">
              <w:rPr>
                <w:sz w:val="14"/>
              </w:rPr>
              <w:t>]</w:t>
            </w:r>
            <w:r w:rsidRPr="00BF62A1">
              <w:rPr>
                <w:color w:val="000000"/>
                <w:sz w:val="14"/>
                <w:szCs w:val="14"/>
                <w:vertAlign w:val="superscript"/>
              </w:rPr>
              <w:fldChar w:fldCharType="end"/>
            </w:r>
          </w:p>
        </w:tc>
        <w:tc>
          <w:tcPr>
            <w:tcW w:w="468" w:type="pct"/>
            <w:vMerge w:val="restart"/>
            <w:tcBorders>
              <w:top w:val="single" w:sz="8" w:space="0" w:color="auto"/>
              <w:left w:val="single" w:sz="4" w:space="0" w:color="auto"/>
              <w:right w:val="single" w:sz="4" w:space="0" w:color="auto"/>
            </w:tcBorders>
          </w:tcPr>
          <w:p w14:paraId="3ED3D47A" w14:textId="77777777" w:rsidR="000F0341" w:rsidRPr="00BF62A1" w:rsidRDefault="000F0341" w:rsidP="00E40B0D">
            <w:pPr>
              <w:spacing w:line="240" w:lineRule="auto"/>
              <w:jc w:val="left"/>
              <w:rPr>
                <w:color w:val="000000" w:themeColor="text1"/>
                <w:sz w:val="14"/>
                <w:szCs w:val="14"/>
              </w:rPr>
            </w:pPr>
            <w:r w:rsidRPr="00BF62A1">
              <w:rPr>
                <w:color w:val="000000" w:themeColor="text1"/>
                <w:sz w:val="14"/>
                <w:szCs w:val="14"/>
              </w:rPr>
              <w:t>3268</w:t>
            </w:r>
          </w:p>
        </w:tc>
        <w:tc>
          <w:tcPr>
            <w:tcW w:w="626" w:type="pct"/>
            <w:vMerge w:val="restart"/>
            <w:tcBorders>
              <w:top w:val="single" w:sz="8" w:space="0" w:color="auto"/>
              <w:left w:val="single" w:sz="4" w:space="0" w:color="auto"/>
              <w:right w:val="single" w:sz="4" w:space="0" w:color="auto"/>
            </w:tcBorders>
          </w:tcPr>
          <w:p w14:paraId="5F8B12D4" w14:textId="77777777" w:rsidR="000F0341" w:rsidRPr="00BF62A1" w:rsidRDefault="000F0341" w:rsidP="00E40B0D">
            <w:pPr>
              <w:spacing w:line="240" w:lineRule="auto"/>
              <w:jc w:val="left"/>
              <w:rPr>
                <w:sz w:val="14"/>
                <w:szCs w:val="14"/>
              </w:rPr>
            </w:pPr>
            <w:r w:rsidRPr="00BF62A1">
              <w:rPr>
                <w:sz w:val="14"/>
                <w:szCs w:val="14"/>
              </w:rPr>
              <w:t>-</w:t>
            </w:r>
          </w:p>
        </w:tc>
        <w:tc>
          <w:tcPr>
            <w:tcW w:w="624" w:type="pct"/>
            <w:tcBorders>
              <w:top w:val="single" w:sz="8" w:space="0" w:color="auto"/>
              <w:left w:val="single" w:sz="4" w:space="0" w:color="auto"/>
              <w:bottom w:val="single" w:sz="4" w:space="0" w:color="auto"/>
              <w:right w:val="single" w:sz="4" w:space="0" w:color="auto"/>
            </w:tcBorders>
          </w:tcPr>
          <w:p w14:paraId="755E25EE" w14:textId="77777777" w:rsidR="000F0341" w:rsidRPr="00BF62A1" w:rsidRDefault="000F0341" w:rsidP="00E40B0D">
            <w:pPr>
              <w:spacing w:line="240" w:lineRule="auto"/>
              <w:jc w:val="left"/>
              <w:rPr>
                <w:sz w:val="14"/>
                <w:szCs w:val="14"/>
              </w:rPr>
            </w:pPr>
            <w:r w:rsidRPr="00BF62A1">
              <w:rPr>
                <w:sz w:val="14"/>
                <w:szCs w:val="14"/>
              </w:rPr>
              <w:t>Low</w:t>
            </w:r>
          </w:p>
        </w:tc>
        <w:tc>
          <w:tcPr>
            <w:tcW w:w="782" w:type="pct"/>
            <w:tcBorders>
              <w:top w:val="single" w:sz="8" w:space="0" w:color="auto"/>
              <w:left w:val="single" w:sz="4" w:space="0" w:color="auto"/>
              <w:right w:val="single" w:sz="4" w:space="0" w:color="auto"/>
            </w:tcBorders>
          </w:tcPr>
          <w:p w14:paraId="37E21046" w14:textId="77777777" w:rsidR="000F0341" w:rsidRPr="00BF62A1" w:rsidRDefault="000F0341" w:rsidP="00E40B0D">
            <w:pPr>
              <w:spacing w:line="240" w:lineRule="auto"/>
              <w:jc w:val="left"/>
              <w:rPr>
                <w:sz w:val="14"/>
                <w:szCs w:val="14"/>
              </w:rPr>
            </w:pPr>
            <w:r w:rsidRPr="00BF62A1">
              <w:rPr>
                <w:sz w:val="14"/>
                <w:szCs w:val="14"/>
              </w:rPr>
              <w:t>&lt;50</w:t>
            </w:r>
          </w:p>
        </w:tc>
        <w:tc>
          <w:tcPr>
            <w:tcW w:w="739" w:type="pct"/>
            <w:tcBorders>
              <w:top w:val="single" w:sz="8" w:space="0" w:color="auto"/>
              <w:left w:val="single" w:sz="4" w:space="0" w:color="auto"/>
              <w:right w:val="single" w:sz="4" w:space="0" w:color="auto"/>
            </w:tcBorders>
          </w:tcPr>
          <w:p w14:paraId="76972E29" w14:textId="77777777" w:rsidR="000F0341" w:rsidRPr="00BF62A1" w:rsidRDefault="000F0341" w:rsidP="00E40B0D">
            <w:pPr>
              <w:spacing w:line="240" w:lineRule="auto"/>
              <w:jc w:val="left"/>
              <w:rPr>
                <w:sz w:val="14"/>
                <w:szCs w:val="14"/>
              </w:rPr>
            </w:pPr>
            <w:r w:rsidRPr="00BF62A1">
              <w:rPr>
                <w:sz w:val="14"/>
                <w:szCs w:val="14"/>
              </w:rPr>
              <w:t>2782 (85.1)</w:t>
            </w:r>
          </w:p>
        </w:tc>
        <w:tc>
          <w:tcPr>
            <w:tcW w:w="980" w:type="pct"/>
            <w:vMerge w:val="restart"/>
            <w:tcBorders>
              <w:top w:val="single" w:sz="8" w:space="0" w:color="auto"/>
              <w:left w:val="single" w:sz="4" w:space="0" w:color="auto"/>
              <w:right w:val="single" w:sz="4" w:space="0" w:color="auto"/>
            </w:tcBorders>
          </w:tcPr>
          <w:p w14:paraId="20D2C7D8" w14:textId="77777777" w:rsidR="000F0341" w:rsidRPr="00BF62A1" w:rsidRDefault="000F0341" w:rsidP="00E40B0D">
            <w:pPr>
              <w:spacing w:line="240" w:lineRule="auto"/>
              <w:jc w:val="left"/>
              <w:rPr>
                <w:sz w:val="14"/>
                <w:szCs w:val="14"/>
              </w:rPr>
            </w:pPr>
            <w:r w:rsidRPr="00BF62A1">
              <w:rPr>
                <w:sz w:val="14"/>
                <w:szCs w:val="14"/>
              </w:rPr>
              <w:t>-</w:t>
            </w:r>
          </w:p>
        </w:tc>
      </w:tr>
      <w:tr w:rsidR="000F0341" w:rsidRPr="00BF62A1" w14:paraId="66118D2B" w14:textId="77777777" w:rsidTr="00E40B0D">
        <w:trPr>
          <w:trHeight w:val="20"/>
        </w:trPr>
        <w:tc>
          <w:tcPr>
            <w:tcW w:w="782" w:type="pct"/>
            <w:vMerge/>
            <w:tcBorders>
              <w:left w:val="single" w:sz="4" w:space="0" w:color="auto"/>
              <w:bottom w:val="single" w:sz="8" w:space="0" w:color="auto"/>
              <w:right w:val="single" w:sz="4" w:space="0" w:color="auto"/>
            </w:tcBorders>
          </w:tcPr>
          <w:p w14:paraId="07207A59" w14:textId="77777777" w:rsidR="000F0341" w:rsidRPr="00BF62A1" w:rsidRDefault="000F0341" w:rsidP="00E40B0D">
            <w:pPr>
              <w:spacing w:line="240" w:lineRule="auto"/>
              <w:jc w:val="left"/>
              <w:rPr>
                <w:color w:val="000000"/>
                <w:sz w:val="14"/>
                <w:szCs w:val="14"/>
              </w:rPr>
            </w:pPr>
          </w:p>
        </w:tc>
        <w:tc>
          <w:tcPr>
            <w:tcW w:w="468" w:type="pct"/>
            <w:vMerge/>
            <w:tcBorders>
              <w:left w:val="single" w:sz="4" w:space="0" w:color="auto"/>
              <w:bottom w:val="single" w:sz="8" w:space="0" w:color="auto"/>
              <w:right w:val="single" w:sz="4" w:space="0" w:color="auto"/>
            </w:tcBorders>
          </w:tcPr>
          <w:p w14:paraId="04025AC3" w14:textId="77777777" w:rsidR="000F0341" w:rsidRPr="00BF62A1" w:rsidRDefault="000F0341" w:rsidP="00E40B0D">
            <w:pPr>
              <w:spacing w:line="240" w:lineRule="auto"/>
              <w:jc w:val="left"/>
              <w:rPr>
                <w:color w:val="000000" w:themeColor="text1"/>
                <w:sz w:val="14"/>
                <w:szCs w:val="14"/>
              </w:rPr>
            </w:pPr>
          </w:p>
        </w:tc>
        <w:tc>
          <w:tcPr>
            <w:tcW w:w="626" w:type="pct"/>
            <w:vMerge/>
            <w:tcBorders>
              <w:left w:val="single" w:sz="4" w:space="0" w:color="auto"/>
              <w:bottom w:val="single" w:sz="8" w:space="0" w:color="auto"/>
              <w:right w:val="single" w:sz="4" w:space="0" w:color="auto"/>
            </w:tcBorders>
          </w:tcPr>
          <w:p w14:paraId="6960A7AE" w14:textId="77777777" w:rsidR="000F0341" w:rsidRPr="00BF62A1" w:rsidRDefault="000F0341" w:rsidP="00E40B0D">
            <w:pPr>
              <w:spacing w:line="240" w:lineRule="auto"/>
              <w:jc w:val="left"/>
              <w:rPr>
                <w:sz w:val="14"/>
                <w:szCs w:val="14"/>
              </w:rPr>
            </w:pPr>
          </w:p>
        </w:tc>
        <w:tc>
          <w:tcPr>
            <w:tcW w:w="624" w:type="pct"/>
            <w:tcBorders>
              <w:top w:val="single" w:sz="4" w:space="0" w:color="auto"/>
              <w:left w:val="single" w:sz="4" w:space="0" w:color="auto"/>
              <w:bottom w:val="single" w:sz="8" w:space="0" w:color="auto"/>
              <w:right w:val="single" w:sz="4" w:space="0" w:color="auto"/>
            </w:tcBorders>
          </w:tcPr>
          <w:p w14:paraId="3C0DAAEF" w14:textId="77777777" w:rsidR="000F0341" w:rsidRPr="00BF62A1" w:rsidRDefault="000F0341" w:rsidP="00E40B0D">
            <w:pPr>
              <w:spacing w:line="240" w:lineRule="auto"/>
              <w:jc w:val="left"/>
              <w:rPr>
                <w:sz w:val="14"/>
                <w:szCs w:val="14"/>
              </w:rPr>
            </w:pPr>
            <w:r w:rsidRPr="00BF62A1">
              <w:rPr>
                <w:sz w:val="14"/>
                <w:szCs w:val="14"/>
              </w:rPr>
              <w:t>High</w:t>
            </w:r>
          </w:p>
        </w:tc>
        <w:tc>
          <w:tcPr>
            <w:tcW w:w="782" w:type="pct"/>
            <w:tcBorders>
              <w:left w:val="single" w:sz="4" w:space="0" w:color="auto"/>
              <w:bottom w:val="single" w:sz="8" w:space="0" w:color="auto"/>
              <w:right w:val="single" w:sz="4" w:space="0" w:color="auto"/>
            </w:tcBorders>
          </w:tcPr>
          <w:p w14:paraId="73635BCD" w14:textId="77777777" w:rsidR="000F0341" w:rsidRPr="00BF62A1" w:rsidRDefault="000F0341" w:rsidP="00E40B0D">
            <w:pPr>
              <w:spacing w:line="240" w:lineRule="auto"/>
              <w:jc w:val="left"/>
              <w:rPr>
                <w:sz w:val="14"/>
                <w:szCs w:val="14"/>
              </w:rPr>
            </w:pPr>
            <w:r w:rsidRPr="00BF62A1">
              <w:rPr>
                <w:sz w:val="14"/>
                <w:szCs w:val="14"/>
              </w:rPr>
              <w:t>≥50</w:t>
            </w:r>
          </w:p>
        </w:tc>
        <w:tc>
          <w:tcPr>
            <w:tcW w:w="739" w:type="pct"/>
            <w:tcBorders>
              <w:left w:val="single" w:sz="4" w:space="0" w:color="auto"/>
              <w:bottom w:val="single" w:sz="8" w:space="0" w:color="auto"/>
              <w:right w:val="single" w:sz="4" w:space="0" w:color="auto"/>
            </w:tcBorders>
          </w:tcPr>
          <w:p w14:paraId="45C5C487" w14:textId="77777777" w:rsidR="000F0341" w:rsidRPr="00BF62A1" w:rsidRDefault="000F0341" w:rsidP="00E40B0D">
            <w:pPr>
              <w:spacing w:line="240" w:lineRule="auto"/>
              <w:jc w:val="left"/>
              <w:rPr>
                <w:sz w:val="14"/>
                <w:szCs w:val="14"/>
              </w:rPr>
            </w:pPr>
            <w:r w:rsidRPr="00BF62A1">
              <w:rPr>
                <w:sz w:val="14"/>
                <w:szCs w:val="14"/>
              </w:rPr>
              <w:t>486 (14.9)</w:t>
            </w:r>
          </w:p>
        </w:tc>
        <w:tc>
          <w:tcPr>
            <w:tcW w:w="980" w:type="pct"/>
            <w:vMerge/>
            <w:tcBorders>
              <w:left w:val="single" w:sz="4" w:space="0" w:color="auto"/>
              <w:bottom w:val="single" w:sz="8" w:space="0" w:color="auto"/>
              <w:right w:val="single" w:sz="4" w:space="0" w:color="auto"/>
            </w:tcBorders>
          </w:tcPr>
          <w:p w14:paraId="4F114F07" w14:textId="77777777" w:rsidR="000F0341" w:rsidRPr="00BF62A1" w:rsidRDefault="000F0341" w:rsidP="00E40B0D">
            <w:pPr>
              <w:pStyle w:val="ListParagraph"/>
              <w:spacing w:line="240" w:lineRule="auto"/>
              <w:jc w:val="left"/>
              <w:rPr>
                <w:sz w:val="14"/>
                <w:szCs w:val="14"/>
              </w:rPr>
            </w:pPr>
          </w:p>
        </w:tc>
      </w:tr>
      <w:tr w:rsidR="000F0341" w:rsidRPr="00BF62A1" w14:paraId="26729A03" w14:textId="77777777" w:rsidTr="00E40B0D">
        <w:trPr>
          <w:trHeight w:val="20"/>
        </w:trPr>
        <w:tc>
          <w:tcPr>
            <w:tcW w:w="782" w:type="pct"/>
            <w:vMerge w:val="restart"/>
            <w:tcBorders>
              <w:top w:val="single" w:sz="8" w:space="0" w:color="auto"/>
              <w:left w:val="single" w:sz="4" w:space="0" w:color="auto"/>
              <w:right w:val="single" w:sz="4" w:space="0" w:color="auto"/>
            </w:tcBorders>
          </w:tcPr>
          <w:p w14:paraId="4A618B5A" w14:textId="2111B107" w:rsidR="000F0341" w:rsidRPr="00BF62A1" w:rsidRDefault="000F0341" w:rsidP="00E40B0D">
            <w:pPr>
              <w:spacing w:line="240" w:lineRule="auto"/>
              <w:jc w:val="left"/>
              <w:rPr>
                <w:color w:val="000000"/>
                <w:sz w:val="14"/>
                <w:szCs w:val="14"/>
              </w:rPr>
            </w:pPr>
            <w:r w:rsidRPr="00BF62A1">
              <w:rPr>
                <w:sz w:val="14"/>
                <w:szCs w:val="14"/>
              </w:rPr>
              <w:t xml:space="preserve">Farges 2012 </w:t>
            </w:r>
            <w:r w:rsidRPr="00BF62A1">
              <w:rPr>
                <w:sz w:val="14"/>
                <w:szCs w:val="14"/>
              </w:rPr>
              <w:fldChar w:fldCharType="begin"/>
            </w:r>
            <w:r>
              <w:rPr>
                <w:sz w:val="14"/>
                <w:szCs w:val="14"/>
              </w:rPr>
              <w:instrText xml:space="preserve"> ADDIN ZOTERO_ITEM CSL_CITATION {"citationID":"9YR0Rrpd","properties":{"formattedCitation":"[85]","plainCitation":"[85]","noteIndex":0},"citationItems":[{"id":14195,"uris":["http://zotero.org/groups/4983919/items/RGM7KH6Z"],"itemData":{"id":14195,"type":"article-journal","abstract":"OBJECTIVE: To evaluate at a national level the incidence of liver resection, postoperative mortality, and variables that predict this outcome. BACKGROUND: Data on indications of and results of liver resection are mainly derived from high-volume centers. Nationwide data are lacking. METHODS: French health care databases were screened to identify all patients who had undergone elective hepatectomy between 2007 and 2010. The patients' age, address, associated conditions, indication and extent of hepatic (or extrahepatic) surgery and the hospital type, location, and hepatectomy caseload were retrieved. Logistic regression was used to measure the influence of these parameters on in-hospital and 90-day mortality rates. The model, created using patients operated on in 2007 and 2009, was tested in those operated on in 2008 and 2010. RESULTS: Overall, 28,708 hepatectomies were performed. The annual incidence (13.2 per 10 adult inhabitants) varied between regions, but the extremal quotient was limited to 2.2 because 15% of the operations took place outside the patients' home region. Hospitals performed a median of 4 resections per year but 53% of all resections were performed in institutions with a volume of more than 50 per year. Treatment for primary tumors and major resections correlated with hepatectomy caseload. In-hospital and 90-day mortality were 3.4% and 5.8%, respectively. The area under the receiver operating characteristic curve of the prognostic model was 0.78/0.77 in the training and validation sample. CONCLUSIONS: There were significant disparities in practice. In-hospital mortality underestimated true, postoperative mortality by more than 50%. The model created may be useful for more efficient regionalization of care and patient counseling.","container-title":"Ann Surg","DOI":"10.1097/SLA.0b013e31827241d5","ISSN":"0003-4932","issue":"5","language":"eng","note":"publisher-place: Department of Hepatobiliopancreatic Surgery and Liver Transplantation, Hôpital Beaujon, AP-HP, Université Paris 7, 100 bld du General Leclerc, Clichy, France. olivier.farges@bjn.aphp.fr","page":"697-704; discussion 704-5","title":"Incidence and risks of liver resection: an all-inclusive French nationwide study","volume":"256","author":[{"family":"Farges","given":"O."},{"family":"Goutte","given":"N."},{"family":"Bendersky","given":"N."},{"family":"Falissard","given":"B."}],"issued":{"date-parts":[["2012",11]]}}}],"schema":"https://github.com/citation-style-language/schema/raw/master/csl-citation.json"} </w:instrText>
            </w:r>
            <w:r w:rsidRPr="00BF62A1">
              <w:rPr>
                <w:sz w:val="14"/>
                <w:szCs w:val="14"/>
              </w:rPr>
              <w:fldChar w:fldCharType="separate"/>
            </w:r>
            <w:r w:rsidRPr="004125CE">
              <w:rPr>
                <w:sz w:val="14"/>
              </w:rPr>
              <w:t>[8</w:t>
            </w:r>
            <w:r w:rsidR="00D03F0D">
              <w:rPr>
                <w:sz w:val="14"/>
              </w:rPr>
              <w:t>8</w:t>
            </w:r>
            <w:r w:rsidRPr="004125CE">
              <w:rPr>
                <w:sz w:val="14"/>
              </w:rPr>
              <w:t>]</w:t>
            </w:r>
            <w:r w:rsidRPr="00BF62A1">
              <w:rPr>
                <w:sz w:val="14"/>
                <w:szCs w:val="14"/>
              </w:rPr>
              <w:fldChar w:fldCharType="end"/>
            </w:r>
          </w:p>
        </w:tc>
        <w:tc>
          <w:tcPr>
            <w:tcW w:w="468" w:type="pct"/>
            <w:vMerge w:val="restart"/>
            <w:tcBorders>
              <w:top w:val="single" w:sz="8" w:space="0" w:color="auto"/>
              <w:left w:val="single" w:sz="4" w:space="0" w:color="auto"/>
              <w:right w:val="single" w:sz="4" w:space="0" w:color="auto"/>
            </w:tcBorders>
          </w:tcPr>
          <w:p w14:paraId="1B2BE8A5" w14:textId="77777777" w:rsidR="000F0341" w:rsidRPr="00BF62A1" w:rsidRDefault="000F0341" w:rsidP="00E40B0D">
            <w:pPr>
              <w:spacing w:line="240" w:lineRule="auto"/>
              <w:jc w:val="left"/>
              <w:rPr>
                <w:sz w:val="14"/>
                <w:szCs w:val="14"/>
              </w:rPr>
            </w:pPr>
            <w:r w:rsidRPr="00BF62A1">
              <w:rPr>
                <w:sz w:val="14"/>
                <w:szCs w:val="14"/>
              </w:rPr>
              <w:t>22275</w:t>
            </w:r>
          </w:p>
        </w:tc>
        <w:tc>
          <w:tcPr>
            <w:tcW w:w="626" w:type="pct"/>
            <w:vMerge w:val="restart"/>
            <w:tcBorders>
              <w:top w:val="single" w:sz="8" w:space="0" w:color="auto"/>
              <w:left w:val="single" w:sz="4" w:space="0" w:color="auto"/>
              <w:right w:val="single" w:sz="4" w:space="0" w:color="auto"/>
            </w:tcBorders>
          </w:tcPr>
          <w:p w14:paraId="7E88B976" w14:textId="77777777" w:rsidR="000F0341" w:rsidRPr="00BF62A1" w:rsidRDefault="000F0341" w:rsidP="00E40B0D">
            <w:pPr>
              <w:spacing w:line="240" w:lineRule="auto"/>
              <w:jc w:val="left"/>
              <w:rPr>
                <w:sz w:val="14"/>
                <w:szCs w:val="14"/>
              </w:rPr>
            </w:pPr>
            <w:r w:rsidRPr="00BF62A1">
              <w:rPr>
                <w:sz w:val="14"/>
                <w:szCs w:val="14"/>
              </w:rPr>
              <w:t>Unnamed categories</w:t>
            </w:r>
          </w:p>
        </w:tc>
        <w:tc>
          <w:tcPr>
            <w:tcW w:w="624" w:type="pct"/>
            <w:tcBorders>
              <w:top w:val="single" w:sz="8" w:space="0" w:color="auto"/>
              <w:left w:val="single" w:sz="4" w:space="0" w:color="auto"/>
              <w:right w:val="single" w:sz="4" w:space="0" w:color="auto"/>
            </w:tcBorders>
          </w:tcPr>
          <w:p w14:paraId="5E3FD48F" w14:textId="77777777" w:rsidR="000F0341" w:rsidRPr="00BF62A1" w:rsidRDefault="000F0341" w:rsidP="00E40B0D">
            <w:pPr>
              <w:spacing w:line="240" w:lineRule="auto"/>
              <w:jc w:val="left"/>
              <w:rPr>
                <w:sz w:val="14"/>
                <w:szCs w:val="14"/>
              </w:rPr>
            </w:pPr>
            <w:r w:rsidRPr="00BF62A1">
              <w:rPr>
                <w:sz w:val="14"/>
                <w:szCs w:val="14"/>
              </w:rPr>
              <w:t>≤ 5</w:t>
            </w:r>
          </w:p>
        </w:tc>
        <w:tc>
          <w:tcPr>
            <w:tcW w:w="782" w:type="pct"/>
            <w:tcBorders>
              <w:top w:val="single" w:sz="8" w:space="0" w:color="auto"/>
              <w:left w:val="single" w:sz="4" w:space="0" w:color="auto"/>
              <w:bottom w:val="single" w:sz="4" w:space="0" w:color="auto"/>
              <w:right w:val="single" w:sz="4" w:space="0" w:color="auto"/>
            </w:tcBorders>
          </w:tcPr>
          <w:p w14:paraId="51CA52FB" w14:textId="77777777" w:rsidR="000F0341" w:rsidRPr="00BF62A1" w:rsidRDefault="000F0341" w:rsidP="00E40B0D">
            <w:pPr>
              <w:spacing w:line="240" w:lineRule="auto"/>
              <w:jc w:val="left"/>
              <w:rPr>
                <w:sz w:val="14"/>
                <w:szCs w:val="14"/>
              </w:rPr>
            </w:pPr>
            <w:r w:rsidRPr="00BF62A1">
              <w:rPr>
                <w:sz w:val="14"/>
                <w:szCs w:val="14"/>
              </w:rPr>
              <w:t>≤5</w:t>
            </w:r>
          </w:p>
        </w:tc>
        <w:tc>
          <w:tcPr>
            <w:tcW w:w="739" w:type="pct"/>
            <w:tcBorders>
              <w:top w:val="single" w:sz="8" w:space="0" w:color="auto"/>
              <w:left w:val="single" w:sz="4" w:space="0" w:color="auto"/>
              <w:right w:val="single" w:sz="4" w:space="0" w:color="auto"/>
            </w:tcBorders>
          </w:tcPr>
          <w:p w14:paraId="59DE49A3" w14:textId="77777777" w:rsidR="000F0341" w:rsidRPr="00BF62A1" w:rsidRDefault="000F0341" w:rsidP="00E40B0D">
            <w:pPr>
              <w:spacing w:line="240" w:lineRule="auto"/>
              <w:jc w:val="left"/>
              <w:rPr>
                <w:sz w:val="14"/>
                <w:szCs w:val="14"/>
              </w:rPr>
            </w:pPr>
            <w:r w:rsidRPr="00BF62A1">
              <w:rPr>
                <w:sz w:val="14"/>
                <w:szCs w:val="14"/>
              </w:rPr>
              <w:t>2176</w:t>
            </w:r>
          </w:p>
        </w:tc>
        <w:tc>
          <w:tcPr>
            <w:tcW w:w="980" w:type="pct"/>
            <w:vMerge w:val="restart"/>
            <w:tcBorders>
              <w:top w:val="single" w:sz="8" w:space="0" w:color="auto"/>
              <w:left w:val="single" w:sz="4" w:space="0" w:color="auto"/>
              <w:right w:val="single" w:sz="4" w:space="0" w:color="auto"/>
            </w:tcBorders>
          </w:tcPr>
          <w:p w14:paraId="3FBBE5FB" w14:textId="77777777" w:rsidR="000F0341" w:rsidRPr="00BF62A1" w:rsidRDefault="000F0341" w:rsidP="00E40B0D">
            <w:pPr>
              <w:spacing w:line="240" w:lineRule="auto"/>
              <w:jc w:val="left"/>
              <w:rPr>
                <w:sz w:val="14"/>
                <w:szCs w:val="14"/>
              </w:rPr>
            </w:pPr>
            <w:r w:rsidRPr="00BF62A1">
              <w:rPr>
                <w:sz w:val="14"/>
                <w:szCs w:val="14"/>
              </w:rPr>
              <w:t>13</w:t>
            </w:r>
          </w:p>
        </w:tc>
      </w:tr>
      <w:tr w:rsidR="000F0341" w:rsidRPr="00BF62A1" w14:paraId="3225B264" w14:textId="77777777" w:rsidTr="00E40B0D">
        <w:trPr>
          <w:trHeight w:val="20"/>
        </w:trPr>
        <w:tc>
          <w:tcPr>
            <w:tcW w:w="782" w:type="pct"/>
            <w:vMerge/>
            <w:tcBorders>
              <w:left w:val="single" w:sz="4" w:space="0" w:color="auto"/>
              <w:right w:val="single" w:sz="4" w:space="0" w:color="auto"/>
            </w:tcBorders>
          </w:tcPr>
          <w:p w14:paraId="158B380A" w14:textId="77777777" w:rsidR="000F0341" w:rsidRPr="00BF62A1"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18F18E09" w14:textId="77777777" w:rsidR="000F0341" w:rsidRPr="00BF62A1"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05E29DCE" w14:textId="77777777" w:rsidR="000F0341" w:rsidRPr="00BF62A1" w:rsidRDefault="000F0341" w:rsidP="00E40B0D">
            <w:pPr>
              <w:pStyle w:val="ListParagraph"/>
              <w:numPr>
                <w:ilvl w:val="0"/>
                <w:numId w:val="33"/>
              </w:numPr>
              <w:spacing w:line="240" w:lineRule="auto"/>
              <w:jc w:val="left"/>
              <w:rPr>
                <w:sz w:val="14"/>
                <w:szCs w:val="14"/>
              </w:rPr>
            </w:pPr>
          </w:p>
        </w:tc>
        <w:tc>
          <w:tcPr>
            <w:tcW w:w="624" w:type="pct"/>
            <w:tcBorders>
              <w:left w:val="single" w:sz="4" w:space="0" w:color="auto"/>
              <w:right w:val="single" w:sz="4" w:space="0" w:color="auto"/>
            </w:tcBorders>
          </w:tcPr>
          <w:p w14:paraId="61CC9398" w14:textId="77777777" w:rsidR="000F0341" w:rsidRPr="00BF62A1" w:rsidRDefault="000F0341" w:rsidP="00E40B0D">
            <w:pPr>
              <w:spacing w:line="240" w:lineRule="auto"/>
              <w:jc w:val="left"/>
              <w:rPr>
                <w:sz w:val="14"/>
                <w:szCs w:val="14"/>
              </w:rPr>
            </w:pPr>
            <w:r w:rsidRPr="00BF62A1">
              <w:rPr>
                <w:sz w:val="14"/>
                <w:szCs w:val="14"/>
              </w:rPr>
              <w:t>6-10</w:t>
            </w:r>
          </w:p>
        </w:tc>
        <w:tc>
          <w:tcPr>
            <w:tcW w:w="782" w:type="pct"/>
            <w:tcBorders>
              <w:top w:val="single" w:sz="4" w:space="0" w:color="auto"/>
              <w:left w:val="single" w:sz="4" w:space="0" w:color="auto"/>
              <w:bottom w:val="single" w:sz="4" w:space="0" w:color="auto"/>
              <w:right w:val="single" w:sz="4" w:space="0" w:color="auto"/>
            </w:tcBorders>
          </w:tcPr>
          <w:p w14:paraId="00470B0F" w14:textId="77777777" w:rsidR="000F0341" w:rsidRPr="00BF62A1" w:rsidRDefault="000F0341" w:rsidP="00E40B0D">
            <w:pPr>
              <w:spacing w:line="240" w:lineRule="auto"/>
              <w:jc w:val="left"/>
              <w:rPr>
                <w:sz w:val="14"/>
                <w:szCs w:val="14"/>
              </w:rPr>
            </w:pPr>
            <w:r w:rsidRPr="00BF62A1">
              <w:rPr>
                <w:sz w:val="14"/>
                <w:szCs w:val="14"/>
              </w:rPr>
              <w:t>6-10</w:t>
            </w:r>
          </w:p>
        </w:tc>
        <w:tc>
          <w:tcPr>
            <w:tcW w:w="739" w:type="pct"/>
            <w:tcBorders>
              <w:left w:val="single" w:sz="4" w:space="0" w:color="auto"/>
              <w:right w:val="single" w:sz="4" w:space="0" w:color="auto"/>
            </w:tcBorders>
          </w:tcPr>
          <w:p w14:paraId="407FF3F3" w14:textId="77777777" w:rsidR="000F0341" w:rsidRPr="00BF62A1" w:rsidRDefault="000F0341" w:rsidP="00E40B0D">
            <w:pPr>
              <w:spacing w:line="240" w:lineRule="auto"/>
              <w:jc w:val="left"/>
              <w:rPr>
                <w:sz w:val="14"/>
                <w:szCs w:val="14"/>
              </w:rPr>
            </w:pPr>
            <w:r w:rsidRPr="00BF62A1">
              <w:rPr>
                <w:sz w:val="14"/>
                <w:szCs w:val="14"/>
              </w:rPr>
              <w:t>2226</w:t>
            </w:r>
          </w:p>
        </w:tc>
        <w:tc>
          <w:tcPr>
            <w:tcW w:w="980" w:type="pct"/>
            <w:vMerge/>
            <w:tcBorders>
              <w:left w:val="single" w:sz="4" w:space="0" w:color="auto"/>
              <w:right w:val="single" w:sz="4" w:space="0" w:color="auto"/>
            </w:tcBorders>
          </w:tcPr>
          <w:p w14:paraId="07BE7F48" w14:textId="77777777" w:rsidR="000F0341" w:rsidRPr="00BF62A1" w:rsidRDefault="000F0341" w:rsidP="00E40B0D">
            <w:pPr>
              <w:spacing w:line="240" w:lineRule="auto"/>
              <w:jc w:val="left"/>
              <w:rPr>
                <w:sz w:val="14"/>
                <w:szCs w:val="14"/>
              </w:rPr>
            </w:pPr>
          </w:p>
        </w:tc>
      </w:tr>
      <w:tr w:rsidR="000F0341" w:rsidRPr="00BF62A1" w14:paraId="3AA32819" w14:textId="77777777" w:rsidTr="00E40B0D">
        <w:trPr>
          <w:trHeight w:val="20"/>
        </w:trPr>
        <w:tc>
          <w:tcPr>
            <w:tcW w:w="782" w:type="pct"/>
            <w:vMerge/>
            <w:tcBorders>
              <w:left w:val="single" w:sz="4" w:space="0" w:color="auto"/>
              <w:right w:val="single" w:sz="4" w:space="0" w:color="auto"/>
            </w:tcBorders>
          </w:tcPr>
          <w:p w14:paraId="6B3979DF" w14:textId="77777777" w:rsidR="000F0341" w:rsidRPr="00BF62A1"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17054E29" w14:textId="77777777" w:rsidR="000F0341" w:rsidRPr="00BF62A1"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41942EF8" w14:textId="77777777" w:rsidR="000F0341" w:rsidRPr="00BF62A1" w:rsidRDefault="000F0341" w:rsidP="00E40B0D">
            <w:pPr>
              <w:pStyle w:val="ListParagraph"/>
              <w:numPr>
                <w:ilvl w:val="0"/>
                <w:numId w:val="33"/>
              </w:numPr>
              <w:spacing w:line="240" w:lineRule="auto"/>
              <w:jc w:val="left"/>
              <w:rPr>
                <w:sz w:val="14"/>
                <w:szCs w:val="14"/>
              </w:rPr>
            </w:pPr>
          </w:p>
        </w:tc>
        <w:tc>
          <w:tcPr>
            <w:tcW w:w="624" w:type="pct"/>
            <w:tcBorders>
              <w:left w:val="single" w:sz="4" w:space="0" w:color="auto"/>
              <w:right w:val="single" w:sz="4" w:space="0" w:color="auto"/>
            </w:tcBorders>
          </w:tcPr>
          <w:p w14:paraId="6CDAC326" w14:textId="77777777" w:rsidR="000F0341" w:rsidRPr="00BF62A1" w:rsidRDefault="000F0341" w:rsidP="00E40B0D">
            <w:pPr>
              <w:spacing w:line="240" w:lineRule="auto"/>
              <w:jc w:val="left"/>
              <w:rPr>
                <w:sz w:val="14"/>
                <w:szCs w:val="14"/>
              </w:rPr>
            </w:pPr>
            <w:r w:rsidRPr="00BF62A1">
              <w:rPr>
                <w:sz w:val="14"/>
                <w:szCs w:val="14"/>
              </w:rPr>
              <w:t>11-25</w:t>
            </w:r>
          </w:p>
        </w:tc>
        <w:tc>
          <w:tcPr>
            <w:tcW w:w="782" w:type="pct"/>
            <w:tcBorders>
              <w:top w:val="single" w:sz="4" w:space="0" w:color="auto"/>
              <w:left w:val="single" w:sz="4" w:space="0" w:color="auto"/>
              <w:bottom w:val="single" w:sz="4" w:space="0" w:color="auto"/>
              <w:right w:val="single" w:sz="4" w:space="0" w:color="auto"/>
            </w:tcBorders>
          </w:tcPr>
          <w:p w14:paraId="1F7D6797" w14:textId="77777777" w:rsidR="000F0341" w:rsidRPr="00BF62A1" w:rsidRDefault="000F0341" w:rsidP="00E40B0D">
            <w:pPr>
              <w:spacing w:line="240" w:lineRule="auto"/>
              <w:jc w:val="left"/>
              <w:rPr>
                <w:sz w:val="14"/>
                <w:szCs w:val="14"/>
              </w:rPr>
            </w:pPr>
            <w:r w:rsidRPr="00BF62A1">
              <w:rPr>
                <w:sz w:val="14"/>
                <w:szCs w:val="14"/>
              </w:rPr>
              <w:t>11-25</w:t>
            </w:r>
          </w:p>
        </w:tc>
        <w:tc>
          <w:tcPr>
            <w:tcW w:w="739" w:type="pct"/>
            <w:tcBorders>
              <w:left w:val="single" w:sz="4" w:space="0" w:color="auto"/>
              <w:right w:val="single" w:sz="4" w:space="0" w:color="auto"/>
            </w:tcBorders>
          </w:tcPr>
          <w:p w14:paraId="28FBDD28" w14:textId="77777777" w:rsidR="000F0341" w:rsidRPr="00BF62A1" w:rsidRDefault="000F0341" w:rsidP="00E40B0D">
            <w:pPr>
              <w:spacing w:line="240" w:lineRule="auto"/>
              <w:jc w:val="left"/>
              <w:rPr>
                <w:sz w:val="14"/>
                <w:szCs w:val="14"/>
              </w:rPr>
            </w:pPr>
            <w:r w:rsidRPr="00BF62A1">
              <w:rPr>
                <w:sz w:val="14"/>
                <w:szCs w:val="14"/>
              </w:rPr>
              <w:t>3282</w:t>
            </w:r>
          </w:p>
        </w:tc>
        <w:tc>
          <w:tcPr>
            <w:tcW w:w="980" w:type="pct"/>
            <w:vMerge/>
            <w:tcBorders>
              <w:left w:val="single" w:sz="4" w:space="0" w:color="auto"/>
              <w:right w:val="single" w:sz="4" w:space="0" w:color="auto"/>
            </w:tcBorders>
          </w:tcPr>
          <w:p w14:paraId="615FFE14" w14:textId="77777777" w:rsidR="000F0341" w:rsidRPr="00BF62A1" w:rsidRDefault="000F0341" w:rsidP="00E40B0D">
            <w:pPr>
              <w:spacing w:line="240" w:lineRule="auto"/>
              <w:jc w:val="left"/>
              <w:rPr>
                <w:sz w:val="14"/>
                <w:szCs w:val="14"/>
              </w:rPr>
            </w:pPr>
          </w:p>
        </w:tc>
      </w:tr>
      <w:tr w:rsidR="000F0341" w:rsidRPr="00BF62A1" w14:paraId="71CED424" w14:textId="77777777" w:rsidTr="00E40B0D">
        <w:trPr>
          <w:trHeight w:val="20"/>
        </w:trPr>
        <w:tc>
          <w:tcPr>
            <w:tcW w:w="782" w:type="pct"/>
            <w:vMerge/>
            <w:tcBorders>
              <w:left w:val="single" w:sz="4" w:space="0" w:color="auto"/>
              <w:right w:val="single" w:sz="4" w:space="0" w:color="auto"/>
            </w:tcBorders>
          </w:tcPr>
          <w:p w14:paraId="204610F7" w14:textId="77777777" w:rsidR="000F0341" w:rsidRPr="00BF62A1"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3B058AF4" w14:textId="77777777" w:rsidR="000F0341" w:rsidRPr="00BF62A1"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5EB08775" w14:textId="77777777" w:rsidR="000F0341" w:rsidRPr="00BF62A1" w:rsidRDefault="000F0341" w:rsidP="00E40B0D">
            <w:pPr>
              <w:pStyle w:val="ListParagraph"/>
              <w:numPr>
                <w:ilvl w:val="0"/>
                <w:numId w:val="33"/>
              </w:numPr>
              <w:spacing w:line="240" w:lineRule="auto"/>
              <w:jc w:val="left"/>
              <w:rPr>
                <w:sz w:val="14"/>
                <w:szCs w:val="14"/>
              </w:rPr>
            </w:pPr>
          </w:p>
        </w:tc>
        <w:tc>
          <w:tcPr>
            <w:tcW w:w="624" w:type="pct"/>
            <w:tcBorders>
              <w:left w:val="single" w:sz="4" w:space="0" w:color="auto"/>
              <w:right w:val="single" w:sz="4" w:space="0" w:color="auto"/>
            </w:tcBorders>
          </w:tcPr>
          <w:p w14:paraId="35498505" w14:textId="77777777" w:rsidR="000F0341" w:rsidRPr="00BF62A1" w:rsidRDefault="000F0341" w:rsidP="00E40B0D">
            <w:pPr>
              <w:spacing w:line="240" w:lineRule="auto"/>
              <w:jc w:val="left"/>
              <w:rPr>
                <w:sz w:val="14"/>
                <w:szCs w:val="14"/>
              </w:rPr>
            </w:pPr>
            <w:r w:rsidRPr="00BF62A1">
              <w:rPr>
                <w:sz w:val="14"/>
                <w:szCs w:val="14"/>
              </w:rPr>
              <w:t>26-50</w:t>
            </w:r>
          </w:p>
        </w:tc>
        <w:tc>
          <w:tcPr>
            <w:tcW w:w="782" w:type="pct"/>
            <w:tcBorders>
              <w:top w:val="single" w:sz="4" w:space="0" w:color="auto"/>
              <w:left w:val="single" w:sz="4" w:space="0" w:color="auto"/>
              <w:bottom w:val="single" w:sz="4" w:space="0" w:color="auto"/>
              <w:right w:val="single" w:sz="4" w:space="0" w:color="auto"/>
            </w:tcBorders>
          </w:tcPr>
          <w:p w14:paraId="6080F1C6" w14:textId="77777777" w:rsidR="000F0341" w:rsidRPr="00BF62A1" w:rsidRDefault="000F0341" w:rsidP="00E40B0D">
            <w:pPr>
              <w:spacing w:line="240" w:lineRule="auto"/>
              <w:jc w:val="left"/>
              <w:rPr>
                <w:sz w:val="14"/>
                <w:szCs w:val="14"/>
              </w:rPr>
            </w:pPr>
            <w:r w:rsidRPr="00BF62A1">
              <w:rPr>
                <w:sz w:val="14"/>
                <w:szCs w:val="14"/>
              </w:rPr>
              <w:t>26-50</w:t>
            </w:r>
          </w:p>
        </w:tc>
        <w:tc>
          <w:tcPr>
            <w:tcW w:w="739" w:type="pct"/>
            <w:tcBorders>
              <w:left w:val="single" w:sz="4" w:space="0" w:color="auto"/>
              <w:right w:val="single" w:sz="4" w:space="0" w:color="auto"/>
            </w:tcBorders>
          </w:tcPr>
          <w:p w14:paraId="4DC8146B" w14:textId="77777777" w:rsidR="000F0341" w:rsidRPr="00BF62A1" w:rsidRDefault="000F0341" w:rsidP="00E40B0D">
            <w:pPr>
              <w:spacing w:line="240" w:lineRule="auto"/>
              <w:jc w:val="left"/>
              <w:rPr>
                <w:sz w:val="14"/>
                <w:szCs w:val="14"/>
              </w:rPr>
            </w:pPr>
            <w:r w:rsidRPr="00BF62A1">
              <w:rPr>
                <w:sz w:val="14"/>
                <w:szCs w:val="14"/>
              </w:rPr>
              <w:t>2772</w:t>
            </w:r>
          </w:p>
        </w:tc>
        <w:tc>
          <w:tcPr>
            <w:tcW w:w="980" w:type="pct"/>
            <w:vMerge/>
            <w:tcBorders>
              <w:left w:val="single" w:sz="4" w:space="0" w:color="auto"/>
              <w:right w:val="single" w:sz="4" w:space="0" w:color="auto"/>
            </w:tcBorders>
          </w:tcPr>
          <w:p w14:paraId="0FC41E65" w14:textId="77777777" w:rsidR="000F0341" w:rsidRPr="00BF62A1" w:rsidRDefault="000F0341" w:rsidP="00E40B0D">
            <w:pPr>
              <w:spacing w:line="240" w:lineRule="auto"/>
              <w:jc w:val="left"/>
              <w:rPr>
                <w:sz w:val="14"/>
                <w:szCs w:val="14"/>
              </w:rPr>
            </w:pPr>
          </w:p>
        </w:tc>
      </w:tr>
      <w:tr w:rsidR="000F0341" w:rsidRPr="00BF62A1" w14:paraId="7C370A3F" w14:textId="77777777" w:rsidTr="00E40B0D">
        <w:trPr>
          <w:trHeight w:val="20"/>
        </w:trPr>
        <w:tc>
          <w:tcPr>
            <w:tcW w:w="782" w:type="pct"/>
            <w:vMerge/>
            <w:tcBorders>
              <w:left w:val="single" w:sz="4" w:space="0" w:color="auto"/>
              <w:right w:val="single" w:sz="4" w:space="0" w:color="auto"/>
            </w:tcBorders>
          </w:tcPr>
          <w:p w14:paraId="26AD65E9" w14:textId="77777777" w:rsidR="000F0341" w:rsidRPr="00BF62A1"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652B66CC" w14:textId="77777777" w:rsidR="000F0341" w:rsidRPr="00BF62A1"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4D138111" w14:textId="77777777" w:rsidR="000F0341" w:rsidRPr="00BF62A1" w:rsidRDefault="000F0341" w:rsidP="00E40B0D">
            <w:pPr>
              <w:pStyle w:val="ListParagraph"/>
              <w:numPr>
                <w:ilvl w:val="0"/>
                <w:numId w:val="33"/>
              </w:numPr>
              <w:spacing w:line="240" w:lineRule="auto"/>
              <w:jc w:val="left"/>
              <w:rPr>
                <w:sz w:val="14"/>
                <w:szCs w:val="14"/>
              </w:rPr>
            </w:pPr>
          </w:p>
        </w:tc>
        <w:tc>
          <w:tcPr>
            <w:tcW w:w="624" w:type="pct"/>
            <w:tcBorders>
              <w:left w:val="single" w:sz="4" w:space="0" w:color="auto"/>
              <w:right w:val="single" w:sz="4" w:space="0" w:color="auto"/>
            </w:tcBorders>
          </w:tcPr>
          <w:p w14:paraId="004B44AB" w14:textId="77777777" w:rsidR="000F0341" w:rsidRPr="00BF62A1" w:rsidRDefault="000F0341" w:rsidP="00E40B0D">
            <w:pPr>
              <w:spacing w:line="240" w:lineRule="auto"/>
              <w:jc w:val="left"/>
              <w:rPr>
                <w:sz w:val="14"/>
                <w:szCs w:val="14"/>
              </w:rPr>
            </w:pPr>
            <w:r w:rsidRPr="00BF62A1">
              <w:rPr>
                <w:sz w:val="14"/>
                <w:szCs w:val="14"/>
              </w:rPr>
              <w:t>51-100</w:t>
            </w:r>
          </w:p>
        </w:tc>
        <w:tc>
          <w:tcPr>
            <w:tcW w:w="782" w:type="pct"/>
            <w:tcBorders>
              <w:top w:val="single" w:sz="4" w:space="0" w:color="auto"/>
              <w:left w:val="single" w:sz="4" w:space="0" w:color="auto"/>
              <w:bottom w:val="single" w:sz="4" w:space="0" w:color="auto"/>
              <w:right w:val="single" w:sz="4" w:space="0" w:color="auto"/>
            </w:tcBorders>
          </w:tcPr>
          <w:p w14:paraId="6295FF47" w14:textId="77777777" w:rsidR="000F0341" w:rsidRPr="00BF62A1" w:rsidRDefault="000F0341" w:rsidP="00E40B0D">
            <w:pPr>
              <w:spacing w:line="240" w:lineRule="auto"/>
              <w:jc w:val="left"/>
              <w:rPr>
                <w:sz w:val="14"/>
                <w:szCs w:val="14"/>
              </w:rPr>
            </w:pPr>
            <w:r w:rsidRPr="00BF62A1">
              <w:rPr>
                <w:sz w:val="14"/>
                <w:szCs w:val="14"/>
              </w:rPr>
              <w:t>51-100</w:t>
            </w:r>
          </w:p>
        </w:tc>
        <w:tc>
          <w:tcPr>
            <w:tcW w:w="739" w:type="pct"/>
            <w:tcBorders>
              <w:left w:val="single" w:sz="4" w:space="0" w:color="auto"/>
              <w:right w:val="single" w:sz="4" w:space="0" w:color="auto"/>
            </w:tcBorders>
          </w:tcPr>
          <w:p w14:paraId="2F6F389D" w14:textId="77777777" w:rsidR="000F0341" w:rsidRPr="00BF62A1" w:rsidRDefault="000F0341" w:rsidP="00E40B0D">
            <w:pPr>
              <w:spacing w:line="240" w:lineRule="auto"/>
              <w:jc w:val="left"/>
              <w:rPr>
                <w:sz w:val="14"/>
                <w:szCs w:val="14"/>
              </w:rPr>
            </w:pPr>
            <w:r w:rsidRPr="00BF62A1">
              <w:rPr>
                <w:sz w:val="14"/>
                <w:szCs w:val="14"/>
              </w:rPr>
              <w:t>4618</w:t>
            </w:r>
          </w:p>
        </w:tc>
        <w:tc>
          <w:tcPr>
            <w:tcW w:w="980" w:type="pct"/>
            <w:vMerge/>
            <w:tcBorders>
              <w:left w:val="single" w:sz="4" w:space="0" w:color="auto"/>
              <w:right w:val="single" w:sz="4" w:space="0" w:color="auto"/>
            </w:tcBorders>
          </w:tcPr>
          <w:p w14:paraId="58DB9D86" w14:textId="77777777" w:rsidR="000F0341" w:rsidRPr="00BF62A1" w:rsidRDefault="000F0341" w:rsidP="00E40B0D">
            <w:pPr>
              <w:spacing w:line="240" w:lineRule="auto"/>
              <w:jc w:val="left"/>
              <w:rPr>
                <w:sz w:val="14"/>
                <w:szCs w:val="14"/>
              </w:rPr>
            </w:pPr>
          </w:p>
        </w:tc>
      </w:tr>
      <w:tr w:rsidR="000F0341" w:rsidRPr="00BF62A1" w14:paraId="606CF065" w14:textId="77777777" w:rsidTr="00E40B0D">
        <w:trPr>
          <w:trHeight w:val="20"/>
        </w:trPr>
        <w:tc>
          <w:tcPr>
            <w:tcW w:w="782" w:type="pct"/>
            <w:vMerge/>
            <w:tcBorders>
              <w:left w:val="single" w:sz="4" w:space="0" w:color="auto"/>
              <w:bottom w:val="single" w:sz="8" w:space="0" w:color="auto"/>
              <w:right w:val="single" w:sz="4" w:space="0" w:color="auto"/>
            </w:tcBorders>
          </w:tcPr>
          <w:p w14:paraId="66911AA8" w14:textId="77777777" w:rsidR="000F0341" w:rsidRPr="00BF62A1" w:rsidRDefault="000F0341" w:rsidP="00E40B0D">
            <w:pPr>
              <w:spacing w:line="240" w:lineRule="auto"/>
              <w:jc w:val="left"/>
              <w:rPr>
                <w:sz w:val="14"/>
                <w:szCs w:val="14"/>
              </w:rPr>
            </w:pPr>
          </w:p>
        </w:tc>
        <w:tc>
          <w:tcPr>
            <w:tcW w:w="468" w:type="pct"/>
            <w:vMerge/>
            <w:tcBorders>
              <w:left w:val="single" w:sz="4" w:space="0" w:color="auto"/>
              <w:bottom w:val="single" w:sz="8" w:space="0" w:color="auto"/>
              <w:right w:val="single" w:sz="4" w:space="0" w:color="auto"/>
            </w:tcBorders>
          </w:tcPr>
          <w:p w14:paraId="67B87DF7" w14:textId="77777777" w:rsidR="000F0341" w:rsidRPr="00BF62A1" w:rsidRDefault="000F0341" w:rsidP="00E40B0D">
            <w:pPr>
              <w:spacing w:line="240" w:lineRule="auto"/>
              <w:jc w:val="left"/>
              <w:rPr>
                <w:sz w:val="14"/>
                <w:szCs w:val="14"/>
              </w:rPr>
            </w:pPr>
          </w:p>
        </w:tc>
        <w:tc>
          <w:tcPr>
            <w:tcW w:w="626" w:type="pct"/>
            <w:vMerge/>
            <w:tcBorders>
              <w:left w:val="single" w:sz="4" w:space="0" w:color="auto"/>
              <w:bottom w:val="single" w:sz="8" w:space="0" w:color="auto"/>
              <w:right w:val="single" w:sz="4" w:space="0" w:color="auto"/>
            </w:tcBorders>
          </w:tcPr>
          <w:p w14:paraId="2BC54BE4" w14:textId="77777777" w:rsidR="000F0341" w:rsidRPr="00BF62A1" w:rsidRDefault="000F0341" w:rsidP="00E40B0D">
            <w:pPr>
              <w:pStyle w:val="ListParagraph"/>
              <w:numPr>
                <w:ilvl w:val="0"/>
                <w:numId w:val="33"/>
              </w:numPr>
              <w:spacing w:line="240" w:lineRule="auto"/>
              <w:jc w:val="left"/>
              <w:rPr>
                <w:sz w:val="14"/>
                <w:szCs w:val="14"/>
              </w:rPr>
            </w:pPr>
          </w:p>
        </w:tc>
        <w:tc>
          <w:tcPr>
            <w:tcW w:w="624" w:type="pct"/>
            <w:tcBorders>
              <w:left w:val="single" w:sz="4" w:space="0" w:color="auto"/>
              <w:bottom w:val="single" w:sz="8" w:space="0" w:color="auto"/>
              <w:right w:val="single" w:sz="4" w:space="0" w:color="auto"/>
            </w:tcBorders>
          </w:tcPr>
          <w:p w14:paraId="4AFD3787" w14:textId="77777777" w:rsidR="000F0341" w:rsidRPr="00BF62A1" w:rsidRDefault="000F0341" w:rsidP="00E40B0D">
            <w:pPr>
              <w:spacing w:line="240" w:lineRule="auto"/>
              <w:jc w:val="left"/>
              <w:rPr>
                <w:sz w:val="14"/>
                <w:szCs w:val="14"/>
              </w:rPr>
            </w:pPr>
            <w:r w:rsidRPr="00BF62A1">
              <w:rPr>
                <w:sz w:val="14"/>
                <w:szCs w:val="14"/>
              </w:rPr>
              <w:t>&gt;100</w:t>
            </w:r>
          </w:p>
        </w:tc>
        <w:tc>
          <w:tcPr>
            <w:tcW w:w="782" w:type="pct"/>
            <w:tcBorders>
              <w:top w:val="single" w:sz="4" w:space="0" w:color="auto"/>
              <w:left w:val="single" w:sz="4" w:space="0" w:color="auto"/>
              <w:bottom w:val="single" w:sz="8" w:space="0" w:color="auto"/>
              <w:right w:val="single" w:sz="4" w:space="0" w:color="auto"/>
            </w:tcBorders>
          </w:tcPr>
          <w:p w14:paraId="6F481DBE" w14:textId="77777777" w:rsidR="000F0341" w:rsidRPr="00BF62A1" w:rsidRDefault="000F0341" w:rsidP="00E40B0D">
            <w:pPr>
              <w:spacing w:line="240" w:lineRule="auto"/>
              <w:jc w:val="left"/>
              <w:rPr>
                <w:sz w:val="14"/>
                <w:szCs w:val="14"/>
              </w:rPr>
            </w:pPr>
            <w:r w:rsidRPr="00BF62A1">
              <w:rPr>
                <w:sz w:val="14"/>
                <w:szCs w:val="14"/>
              </w:rPr>
              <w:t>&gt;100</w:t>
            </w:r>
          </w:p>
        </w:tc>
        <w:tc>
          <w:tcPr>
            <w:tcW w:w="739" w:type="pct"/>
            <w:tcBorders>
              <w:left w:val="single" w:sz="4" w:space="0" w:color="auto"/>
              <w:bottom w:val="single" w:sz="8" w:space="0" w:color="auto"/>
              <w:right w:val="single" w:sz="4" w:space="0" w:color="auto"/>
            </w:tcBorders>
          </w:tcPr>
          <w:p w14:paraId="3CA9EAD9" w14:textId="77777777" w:rsidR="000F0341" w:rsidRPr="00BF62A1" w:rsidRDefault="000F0341" w:rsidP="00E40B0D">
            <w:pPr>
              <w:spacing w:line="240" w:lineRule="auto"/>
              <w:jc w:val="left"/>
              <w:rPr>
                <w:sz w:val="14"/>
                <w:szCs w:val="14"/>
              </w:rPr>
            </w:pPr>
            <w:r w:rsidRPr="00BF62A1">
              <w:rPr>
                <w:sz w:val="14"/>
                <w:szCs w:val="14"/>
              </w:rPr>
              <w:t>7151</w:t>
            </w:r>
          </w:p>
        </w:tc>
        <w:tc>
          <w:tcPr>
            <w:tcW w:w="980" w:type="pct"/>
            <w:vMerge/>
            <w:tcBorders>
              <w:left w:val="single" w:sz="4" w:space="0" w:color="auto"/>
              <w:bottom w:val="single" w:sz="8" w:space="0" w:color="auto"/>
              <w:right w:val="single" w:sz="4" w:space="0" w:color="auto"/>
            </w:tcBorders>
          </w:tcPr>
          <w:p w14:paraId="5DA3652A" w14:textId="77777777" w:rsidR="000F0341" w:rsidRPr="00BF62A1" w:rsidRDefault="000F0341" w:rsidP="00E40B0D">
            <w:pPr>
              <w:spacing w:line="240" w:lineRule="auto"/>
              <w:jc w:val="left"/>
              <w:rPr>
                <w:sz w:val="14"/>
                <w:szCs w:val="14"/>
              </w:rPr>
            </w:pPr>
          </w:p>
        </w:tc>
      </w:tr>
      <w:tr w:rsidR="000F0341" w:rsidRPr="00BF62A1" w14:paraId="44329543" w14:textId="77777777" w:rsidTr="00E40B0D">
        <w:trPr>
          <w:trHeight w:val="20"/>
        </w:trPr>
        <w:tc>
          <w:tcPr>
            <w:tcW w:w="782" w:type="pct"/>
            <w:vMerge w:val="restart"/>
            <w:tcBorders>
              <w:top w:val="single" w:sz="8" w:space="0" w:color="auto"/>
              <w:left w:val="single" w:sz="4" w:space="0" w:color="auto"/>
              <w:right w:val="single" w:sz="4" w:space="0" w:color="auto"/>
            </w:tcBorders>
          </w:tcPr>
          <w:p w14:paraId="4E4F415C" w14:textId="77777777" w:rsidR="000F0341" w:rsidRPr="00BF62A1" w:rsidRDefault="000F0341" w:rsidP="00E40B0D">
            <w:pPr>
              <w:spacing w:line="240" w:lineRule="auto"/>
              <w:jc w:val="left"/>
              <w:rPr>
                <w:color w:val="000000" w:themeColor="text1"/>
                <w:sz w:val="14"/>
                <w:szCs w:val="14"/>
              </w:rPr>
            </w:pPr>
            <w:r w:rsidRPr="00BF62A1">
              <w:rPr>
                <w:sz w:val="14"/>
                <w:szCs w:val="14"/>
              </w:rPr>
              <w:t xml:space="preserve">Filmann 2019 </w:t>
            </w:r>
            <w:r w:rsidRPr="00BF62A1">
              <w:rPr>
                <w:sz w:val="14"/>
                <w:szCs w:val="14"/>
              </w:rPr>
              <w:fldChar w:fldCharType="begin"/>
            </w:r>
            <w:r w:rsidRPr="00BF62A1">
              <w:rPr>
                <w:sz w:val="14"/>
                <w:szCs w:val="14"/>
              </w:rPr>
              <w:instrText xml:space="preserve"> ADDIN ZOTERO_ITEM CSL_CITATION {"citationID":"VQZ2pl3t","properties":{"formattedCitation":"[9]","plainCitation":"[9]","noteIndex":0},"citationItems":[{"id":14192,"uris":["http://zotero.org/groups/4983919/items/DQAWCJ47"],"itemData":{"id":14192,"type":"article-journal","abstract":"BACKGROUND: Mortality rates after liver surgery are not well documented in Germany. More than 1000 hospitals offer liver resection, but there is no central regulation of infrastructure requirements or outcome quality. METHODS: Hospital mortality rates after liver resection were analysed using the standardized hospital discharge data (Diagnosis-Related Groups, ICD-10 and German operations and procedure key codes) provided by the Research Data Centre of the Federal Statistical Office and Statistical Offices of the Länder in Wiesbaden, Germany. RESULTS: A total of 110 332 liver procedures carried out between 2010 and 2015 were identified. The overall hospital mortality rate for all resections was 5·8 per cent. The mortality rate among 17 574 major hepatic procedures was 10·4 per cent. Patients who had surgery for colorectal liver metastases (CRLMs) had the lowest mortality rate among those with malignancy (5·5 per cent), followed by patients with gallbladder cancer (7·1 per cent), hepatocellular carcinoma (9·3 per cent) and intrahepatic cholangiocarcinoma (11·0 per cent). Patients with extrahepatic cholangiocarcinoma had the highest mortality rate (14·6 per cent). The mortality rate for extended hepatectomy was 16·2 per cent and the need for a biliodigestive anastomosis increased this to 25·5 per cent. Failure to rescue after complications led to mortality rates of more than 30 per cent in some subgroups. There was a significant volume-outcome relationship for CRLM surgery in very high-volume centres (mean 26-60 major resections for CRLMs per year). The mortality rate was 4·6 per cent in very high-volume centres compared with 7·5 per cent in very low-volume hospitals (odds ratio 0·60, 95 per cent c.i. 0·42 to 0·77; P &lt; 0·001). CONCLUSION: This analysis of outcome data after liver resection in Germany suggests that hospital mortality remains high. There should be more focused research to understand, improve or justify factors leading to this result, and consideration of centralization of liver surgery.","container-title":"Br J Surg","DOI":"10.1002/bjs.11236","ISSN":"0007-1323","issue":"11","language":"eng","note":"publisher-place: Institute of Biostatistics and Mathematical Modelling, Frankfurt University Hospital, Goethe-University Frankfurt/Main, Frankfurt/Main, Germany. Department of Medicine I, Frankfurt University Hospital, Goethe-University Frankfurt/Main, Frankfurt/Main, Germany. Department of Surgery, Rush University Medical Center, Chicago, Illinois, USA. Department of Surgery, Cantonal Hospital Winterthur, Zurich, Switzerland. Institute of Physiology, Centre for Integrative Human Physiology, University of Zurich, Zurich, Switzerland. Department of General, Visceral and Cancer Surgery, University of Cologne, Cologne, Germany. Department of Surgery, University Medical Centre Schleswig-Holstein, Campus Luebeck, Luebeck, Germany. Department of General, Visceral and Transplant Surgery, Universitaetsmedizin Mainz, Mainz, Germany. Semmelweis University, Budapest, Campus Hamburg, Hamburg, Germany. Department of General and Abdominal Surgery, Asklepios Hospital Barmbek, Hamburg, Germany. Department of Surgery, University Hospital Regensburg, Regensburg, Germany. Clinic of Visceral Surgery, Städtisches Klinikum Karlsruhe, Karlsruhe, Germany. Department of General and Visceral Surgery, Frankfurt University Hospital, Goethe-University Frankfurt/Main, Frankfurt/Main, Germany.","page":"1523-1529","title":"Mortality after liver surgery in Germany","volume":"106","author":[{"family":"Filmann","given":"N."},{"family":"Walter","given":"D."},{"family":"Schadde","given":"E."},{"family":"Bruns","given":"C."},{"family":"Keck","given":"T."},{"family":"Lang","given":"H."},{"family":"Oldhafer","given":"K."},{"family":"Schlitt","given":"H. J."},{"family":"Schön","given":"M. R."},{"family":"Herrmann","given":"E."},{"family":"Bechstein","given":"W. O."},{"family":"Schnitzbauer","given":"A. A."}],"issued":{"date-parts":[["2019",10]]}}}],"schema":"https://github.com/citation-style-language/schema/raw/master/csl-citation.json"} </w:instrText>
            </w:r>
            <w:r w:rsidRPr="00BF62A1">
              <w:rPr>
                <w:sz w:val="14"/>
                <w:szCs w:val="14"/>
              </w:rPr>
              <w:fldChar w:fldCharType="separate"/>
            </w:r>
            <w:r w:rsidRPr="00BF62A1">
              <w:rPr>
                <w:sz w:val="14"/>
              </w:rPr>
              <w:t>[9]</w:t>
            </w:r>
            <w:r w:rsidRPr="00BF62A1">
              <w:rPr>
                <w:sz w:val="14"/>
                <w:szCs w:val="14"/>
              </w:rPr>
              <w:fldChar w:fldCharType="end"/>
            </w:r>
          </w:p>
        </w:tc>
        <w:tc>
          <w:tcPr>
            <w:tcW w:w="468" w:type="pct"/>
            <w:vMerge w:val="restart"/>
            <w:tcBorders>
              <w:top w:val="single" w:sz="8" w:space="0" w:color="auto"/>
              <w:left w:val="single" w:sz="4" w:space="0" w:color="auto"/>
              <w:right w:val="single" w:sz="4" w:space="0" w:color="auto"/>
            </w:tcBorders>
          </w:tcPr>
          <w:p w14:paraId="518B4B20" w14:textId="77777777" w:rsidR="000F0341" w:rsidRPr="00BF62A1" w:rsidRDefault="000F0341" w:rsidP="00E40B0D">
            <w:pPr>
              <w:spacing w:line="240" w:lineRule="auto"/>
              <w:jc w:val="left"/>
              <w:rPr>
                <w:sz w:val="14"/>
                <w:szCs w:val="14"/>
              </w:rPr>
            </w:pPr>
            <w:r w:rsidRPr="00BF62A1">
              <w:rPr>
                <w:sz w:val="14"/>
                <w:szCs w:val="14"/>
              </w:rPr>
              <w:t>40034</w:t>
            </w:r>
          </w:p>
        </w:tc>
        <w:tc>
          <w:tcPr>
            <w:tcW w:w="626" w:type="pct"/>
            <w:vMerge w:val="restart"/>
            <w:tcBorders>
              <w:top w:val="single" w:sz="8" w:space="0" w:color="auto"/>
              <w:left w:val="single" w:sz="4" w:space="0" w:color="auto"/>
              <w:right w:val="single" w:sz="4" w:space="0" w:color="auto"/>
            </w:tcBorders>
          </w:tcPr>
          <w:p w14:paraId="67CDE942" w14:textId="77777777" w:rsidR="000F0341" w:rsidRPr="00BF62A1" w:rsidRDefault="000F0341" w:rsidP="00E40B0D">
            <w:pPr>
              <w:spacing w:line="240" w:lineRule="auto"/>
              <w:jc w:val="left"/>
              <w:rPr>
                <w:sz w:val="14"/>
                <w:szCs w:val="14"/>
              </w:rPr>
            </w:pPr>
            <w:r w:rsidRPr="00BF62A1">
              <w:rPr>
                <w:sz w:val="14"/>
                <w:szCs w:val="14"/>
              </w:rPr>
              <w:t>-</w:t>
            </w:r>
          </w:p>
        </w:tc>
        <w:tc>
          <w:tcPr>
            <w:tcW w:w="624" w:type="pct"/>
            <w:tcBorders>
              <w:top w:val="single" w:sz="8" w:space="0" w:color="auto"/>
              <w:left w:val="single" w:sz="4" w:space="0" w:color="auto"/>
              <w:bottom w:val="single" w:sz="4" w:space="0" w:color="auto"/>
              <w:right w:val="single" w:sz="4" w:space="0" w:color="auto"/>
            </w:tcBorders>
          </w:tcPr>
          <w:p w14:paraId="617A72A0" w14:textId="77777777" w:rsidR="000F0341" w:rsidRPr="00BF62A1" w:rsidRDefault="000F0341" w:rsidP="00E40B0D">
            <w:pPr>
              <w:spacing w:line="240" w:lineRule="auto"/>
              <w:jc w:val="left"/>
              <w:rPr>
                <w:sz w:val="14"/>
                <w:szCs w:val="14"/>
              </w:rPr>
            </w:pPr>
            <w:r w:rsidRPr="00BF62A1">
              <w:rPr>
                <w:sz w:val="14"/>
                <w:szCs w:val="14"/>
              </w:rPr>
              <w:t>Very Low</w:t>
            </w:r>
          </w:p>
        </w:tc>
        <w:tc>
          <w:tcPr>
            <w:tcW w:w="782" w:type="pct"/>
            <w:tcBorders>
              <w:top w:val="single" w:sz="8" w:space="0" w:color="auto"/>
              <w:left w:val="single" w:sz="4" w:space="0" w:color="auto"/>
              <w:right w:val="single" w:sz="4" w:space="0" w:color="auto"/>
            </w:tcBorders>
          </w:tcPr>
          <w:p w14:paraId="318C4250" w14:textId="77777777" w:rsidR="000F0341" w:rsidRPr="00BF62A1" w:rsidRDefault="000F0341" w:rsidP="00E40B0D">
            <w:pPr>
              <w:spacing w:line="240" w:lineRule="auto"/>
              <w:jc w:val="left"/>
              <w:rPr>
                <w:sz w:val="14"/>
                <w:szCs w:val="14"/>
              </w:rPr>
            </w:pPr>
            <w:r w:rsidRPr="00BF62A1">
              <w:rPr>
                <w:sz w:val="14"/>
                <w:szCs w:val="14"/>
              </w:rPr>
              <w:t>1-4</w:t>
            </w:r>
          </w:p>
        </w:tc>
        <w:tc>
          <w:tcPr>
            <w:tcW w:w="739" w:type="pct"/>
            <w:tcBorders>
              <w:top w:val="single" w:sz="8" w:space="0" w:color="auto"/>
              <w:left w:val="single" w:sz="4" w:space="0" w:color="auto"/>
              <w:right w:val="single" w:sz="4" w:space="0" w:color="auto"/>
            </w:tcBorders>
          </w:tcPr>
          <w:p w14:paraId="6CD8B6E6" w14:textId="77777777" w:rsidR="000F0341" w:rsidRPr="00BF62A1" w:rsidRDefault="000F0341" w:rsidP="00E40B0D">
            <w:pPr>
              <w:spacing w:line="240" w:lineRule="auto"/>
              <w:jc w:val="left"/>
              <w:rPr>
                <w:sz w:val="14"/>
                <w:szCs w:val="14"/>
              </w:rPr>
            </w:pPr>
            <w:r w:rsidRPr="00BF62A1">
              <w:rPr>
                <w:sz w:val="14"/>
                <w:szCs w:val="14"/>
              </w:rPr>
              <w:t>0.17 – 4</w:t>
            </w:r>
          </w:p>
        </w:tc>
        <w:tc>
          <w:tcPr>
            <w:tcW w:w="980" w:type="pct"/>
            <w:tcBorders>
              <w:top w:val="single" w:sz="8" w:space="0" w:color="auto"/>
              <w:left w:val="single" w:sz="4" w:space="0" w:color="auto"/>
              <w:right w:val="single" w:sz="4" w:space="0" w:color="auto"/>
            </w:tcBorders>
          </w:tcPr>
          <w:p w14:paraId="50ED8C77" w14:textId="77777777" w:rsidR="000F0341" w:rsidRPr="00BF62A1" w:rsidRDefault="000F0341" w:rsidP="00E40B0D">
            <w:pPr>
              <w:spacing w:line="240" w:lineRule="auto"/>
              <w:jc w:val="left"/>
              <w:rPr>
                <w:sz w:val="14"/>
                <w:szCs w:val="14"/>
              </w:rPr>
            </w:pPr>
            <w:r w:rsidRPr="00BF62A1">
              <w:rPr>
                <w:sz w:val="14"/>
                <w:szCs w:val="14"/>
              </w:rPr>
              <w:t>460</w:t>
            </w:r>
          </w:p>
        </w:tc>
      </w:tr>
      <w:tr w:rsidR="000F0341" w:rsidRPr="00BF62A1" w14:paraId="6FC77F3F" w14:textId="77777777" w:rsidTr="00E40B0D">
        <w:trPr>
          <w:trHeight w:val="20"/>
        </w:trPr>
        <w:tc>
          <w:tcPr>
            <w:tcW w:w="782" w:type="pct"/>
            <w:vMerge/>
            <w:tcBorders>
              <w:left w:val="single" w:sz="4" w:space="0" w:color="auto"/>
              <w:right w:val="single" w:sz="4" w:space="0" w:color="auto"/>
            </w:tcBorders>
          </w:tcPr>
          <w:p w14:paraId="6394F19F" w14:textId="77777777" w:rsidR="000F0341" w:rsidRPr="00BF62A1"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64064923" w14:textId="77777777" w:rsidR="000F0341" w:rsidRPr="00BF62A1"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60309E87" w14:textId="77777777" w:rsidR="000F0341" w:rsidRPr="00BF62A1"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443E8094" w14:textId="77777777" w:rsidR="000F0341" w:rsidRPr="00BF62A1" w:rsidRDefault="000F0341" w:rsidP="00E40B0D">
            <w:pPr>
              <w:spacing w:line="240" w:lineRule="auto"/>
              <w:jc w:val="left"/>
              <w:rPr>
                <w:sz w:val="14"/>
                <w:szCs w:val="14"/>
              </w:rPr>
            </w:pPr>
            <w:r w:rsidRPr="00BF62A1">
              <w:rPr>
                <w:sz w:val="14"/>
                <w:szCs w:val="14"/>
              </w:rPr>
              <w:t>Low</w:t>
            </w:r>
          </w:p>
        </w:tc>
        <w:tc>
          <w:tcPr>
            <w:tcW w:w="782" w:type="pct"/>
            <w:tcBorders>
              <w:left w:val="single" w:sz="4" w:space="0" w:color="auto"/>
              <w:right w:val="single" w:sz="4" w:space="0" w:color="auto"/>
            </w:tcBorders>
          </w:tcPr>
          <w:p w14:paraId="2CD777F2" w14:textId="77777777" w:rsidR="000F0341" w:rsidRPr="00BF62A1" w:rsidRDefault="000F0341" w:rsidP="00E40B0D">
            <w:pPr>
              <w:spacing w:line="240" w:lineRule="auto"/>
              <w:jc w:val="left"/>
              <w:rPr>
                <w:sz w:val="14"/>
                <w:szCs w:val="14"/>
              </w:rPr>
            </w:pPr>
            <w:r w:rsidRPr="00BF62A1">
              <w:rPr>
                <w:sz w:val="14"/>
                <w:szCs w:val="14"/>
              </w:rPr>
              <w:t>5-13</w:t>
            </w:r>
          </w:p>
        </w:tc>
        <w:tc>
          <w:tcPr>
            <w:tcW w:w="739" w:type="pct"/>
            <w:tcBorders>
              <w:left w:val="single" w:sz="4" w:space="0" w:color="auto"/>
              <w:right w:val="single" w:sz="4" w:space="0" w:color="auto"/>
            </w:tcBorders>
          </w:tcPr>
          <w:p w14:paraId="61215202" w14:textId="77777777" w:rsidR="000F0341" w:rsidRPr="00BF62A1" w:rsidRDefault="000F0341" w:rsidP="00E40B0D">
            <w:pPr>
              <w:spacing w:line="240" w:lineRule="auto"/>
              <w:jc w:val="left"/>
              <w:rPr>
                <w:sz w:val="14"/>
                <w:szCs w:val="14"/>
              </w:rPr>
            </w:pPr>
            <w:r w:rsidRPr="00BF62A1">
              <w:rPr>
                <w:sz w:val="14"/>
                <w:szCs w:val="14"/>
              </w:rPr>
              <w:t>4- 13.2</w:t>
            </w:r>
          </w:p>
        </w:tc>
        <w:tc>
          <w:tcPr>
            <w:tcW w:w="980" w:type="pct"/>
            <w:tcBorders>
              <w:left w:val="single" w:sz="4" w:space="0" w:color="auto"/>
              <w:right w:val="single" w:sz="4" w:space="0" w:color="auto"/>
            </w:tcBorders>
          </w:tcPr>
          <w:p w14:paraId="5654016C" w14:textId="77777777" w:rsidR="000F0341" w:rsidRPr="00BF62A1" w:rsidRDefault="000F0341" w:rsidP="00E40B0D">
            <w:pPr>
              <w:spacing w:line="240" w:lineRule="auto"/>
              <w:jc w:val="left"/>
              <w:rPr>
                <w:sz w:val="14"/>
                <w:szCs w:val="14"/>
              </w:rPr>
            </w:pPr>
            <w:r w:rsidRPr="00BF62A1">
              <w:rPr>
                <w:sz w:val="14"/>
                <w:szCs w:val="14"/>
              </w:rPr>
              <w:t>80</w:t>
            </w:r>
          </w:p>
        </w:tc>
      </w:tr>
      <w:tr w:rsidR="000F0341" w:rsidRPr="00BF62A1" w14:paraId="32441AC1" w14:textId="77777777" w:rsidTr="00E40B0D">
        <w:trPr>
          <w:trHeight w:val="20"/>
        </w:trPr>
        <w:tc>
          <w:tcPr>
            <w:tcW w:w="782" w:type="pct"/>
            <w:vMerge/>
            <w:tcBorders>
              <w:left w:val="single" w:sz="4" w:space="0" w:color="auto"/>
              <w:right w:val="single" w:sz="4" w:space="0" w:color="auto"/>
            </w:tcBorders>
          </w:tcPr>
          <w:p w14:paraId="53698D1F" w14:textId="77777777" w:rsidR="000F0341" w:rsidRPr="00BF62A1"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1357B435" w14:textId="77777777" w:rsidR="000F0341" w:rsidRPr="00BF62A1"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26A915D8" w14:textId="77777777" w:rsidR="000F0341" w:rsidRPr="00BF62A1"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3FB7C8F9" w14:textId="77777777" w:rsidR="000F0341" w:rsidRPr="00BF62A1" w:rsidRDefault="000F0341" w:rsidP="00E40B0D">
            <w:pPr>
              <w:spacing w:line="240" w:lineRule="auto"/>
              <w:jc w:val="left"/>
              <w:rPr>
                <w:sz w:val="14"/>
                <w:szCs w:val="14"/>
              </w:rPr>
            </w:pPr>
            <w:r w:rsidRPr="00BF62A1">
              <w:rPr>
                <w:sz w:val="14"/>
                <w:szCs w:val="14"/>
              </w:rPr>
              <w:t>Medium</w:t>
            </w:r>
          </w:p>
        </w:tc>
        <w:tc>
          <w:tcPr>
            <w:tcW w:w="782" w:type="pct"/>
            <w:tcBorders>
              <w:left w:val="single" w:sz="4" w:space="0" w:color="auto"/>
              <w:right w:val="single" w:sz="4" w:space="0" w:color="auto"/>
            </w:tcBorders>
          </w:tcPr>
          <w:p w14:paraId="08A5D991" w14:textId="77777777" w:rsidR="000F0341" w:rsidRPr="00BF62A1" w:rsidRDefault="000F0341" w:rsidP="00E40B0D">
            <w:pPr>
              <w:spacing w:line="240" w:lineRule="auto"/>
              <w:jc w:val="left"/>
              <w:rPr>
                <w:sz w:val="14"/>
                <w:szCs w:val="14"/>
              </w:rPr>
            </w:pPr>
            <w:r w:rsidRPr="00BF62A1">
              <w:rPr>
                <w:sz w:val="14"/>
                <w:szCs w:val="14"/>
              </w:rPr>
              <w:t>14-44</w:t>
            </w:r>
          </w:p>
        </w:tc>
        <w:tc>
          <w:tcPr>
            <w:tcW w:w="739" w:type="pct"/>
            <w:tcBorders>
              <w:left w:val="single" w:sz="4" w:space="0" w:color="auto"/>
              <w:right w:val="single" w:sz="4" w:space="0" w:color="auto"/>
            </w:tcBorders>
          </w:tcPr>
          <w:p w14:paraId="5D9852BC" w14:textId="77777777" w:rsidR="000F0341" w:rsidRPr="00BF62A1" w:rsidRDefault="000F0341" w:rsidP="00E40B0D">
            <w:pPr>
              <w:spacing w:line="240" w:lineRule="auto"/>
              <w:jc w:val="left"/>
              <w:rPr>
                <w:sz w:val="14"/>
                <w:szCs w:val="14"/>
              </w:rPr>
            </w:pPr>
            <w:r w:rsidRPr="00BF62A1">
              <w:rPr>
                <w:sz w:val="14"/>
                <w:szCs w:val="14"/>
              </w:rPr>
              <w:t>13.2 - 43.5</w:t>
            </w:r>
          </w:p>
        </w:tc>
        <w:tc>
          <w:tcPr>
            <w:tcW w:w="980" w:type="pct"/>
            <w:tcBorders>
              <w:left w:val="single" w:sz="4" w:space="0" w:color="auto"/>
              <w:right w:val="single" w:sz="4" w:space="0" w:color="auto"/>
            </w:tcBorders>
          </w:tcPr>
          <w:p w14:paraId="37AAE5F1" w14:textId="77777777" w:rsidR="000F0341" w:rsidRPr="00BF62A1" w:rsidRDefault="000F0341" w:rsidP="00E40B0D">
            <w:pPr>
              <w:spacing w:line="240" w:lineRule="auto"/>
              <w:jc w:val="left"/>
              <w:rPr>
                <w:sz w:val="14"/>
                <w:szCs w:val="14"/>
              </w:rPr>
            </w:pPr>
            <w:r w:rsidRPr="00BF62A1">
              <w:rPr>
                <w:sz w:val="14"/>
                <w:szCs w:val="14"/>
              </w:rPr>
              <w:t>26</w:t>
            </w:r>
          </w:p>
        </w:tc>
      </w:tr>
      <w:tr w:rsidR="000F0341" w:rsidRPr="00BF62A1" w14:paraId="1861D8E9" w14:textId="77777777" w:rsidTr="00E40B0D">
        <w:trPr>
          <w:trHeight w:val="20"/>
        </w:trPr>
        <w:tc>
          <w:tcPr>
            <w:tcW w:w="782" w:type="pct"/>
            <w:vMerge/>
            <w:tcBorders>
              <w:left w:val="single" w:sz="4" w:space="0" w:color="auto"/>
              <w:right w:val="single" w:sz="4" w:space="0" w:color="auto"/>
            </w:tcBorders>
          </w:tcPr>
          <w:p w14:paraId="79C32D89" w14:textId="77777777" w:rsidR="000F0341" w:rsidRPr="00BF62A1"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4FB6CF4A" w14:textId="77777777" w:rsidR="000F0341" w:rsidRPr="00BF62A1"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333B20BA" w14:textId="77777777" w:rsidR="000F0341" w:rsidRPr="00BF62A1"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7E63470C" w14:textId="77777777" w:rsidR="000F0341" w:rsidRPr="00BF62A1" w:rsidRDefault="000F0341" w:rsidP="00E40B0D">
            <w:pPr>
              <w:spacing w:line="240" w:lineRule="auto"/>
              <w:jc w:val="left"/>
              <w:rPr>
                <w:sz w:val="14"/>
                <w:szCs w:val="14"/>
              </w:rPr>
            </w:pPr>
            <w:r w:rsidRPr="00BF62A1">
              <w:rPr>
                <w:sz w:val="14"/>
                <w:szCs w:val="14"/>
              </w:rPr>
              <w:t>High</w:t>
            </w:r>
          </w:p>
        </w:tc>
        <w:tc>
          <w:tcPr>
            <w:tcW w:w="782" w:type="pct"/>
            <w:tcBorders>
              <w:left w:val="single" w:sz="4" w:space="0" w:color="auto"/>
              <w:right w:val="single" w:sz="4" w:space="0" w:color="auto"/>
            </w:tcBorders>
          </w:tcPr>
          <w:p w14:paraId="41A9A280" w14:textId="77777777" w:rsidR="000F0341" w:rsidRPr="00BF62A1" w:rsidRDefault="000F0341" w:rsidP="00E40B0D">
            <w:pPr>
              <w:spacing w:line="240" w:lineRule="auto"/>
              <w:jc w:val="left"/>
              <w:rPr>
                <w:sz w:val="14"/>
                <w:szCs w:val="14"/>
              </w:rPr>
            </w:pPr>
            <w:r w:rsidRPr="00BF62A1">
              <w:rPr>
                <w:sz w:val="14"/>
                <w:szCs w:val="14"/>
              </w:rPr>
              <w:t>45-71</w:t>
            </w:r>
          </w:p>
        </w:tc>
        <w:tc>
          <w:tcPr>
            <w:tcW w:w="739" w:type="pct"/>
            <w:tcBorders>
              <w:left w:val="single" w:sz="4" w:space="0" w:color="auto"/>
              <w:right w:val="single" w:sz="4" w:space="0" w:color="auto"/>
            </w:tcBorders>
          </w:tcPr>
          <w:p w14:paraId="23CBEE2E" w14:textId="77777777" w:rsidR="000F0341" w:rsidRPr="00BF62A1" w:rsidRDefault="000F0341" w:rsidP="00E40B0D">
            <w:pPr>
              <w:spacing w:line="240" w:lineRule="auto"/>
              <w:jc w:val="left"/>
              <w:rPr>
                <w:sz w:val="14"/>
                <w:szCs w:val="14"/>
              </w:rPr>
            </w:pPr>
            <w:r w:rsidRPr="00BF62A1">
              <w:rPr>
                <w:sz w:val="14"/>
                <w:szCs w:val="14"/>
              </w:rPr>
              <w:t>43.5 - 71.5</w:t>
            </w:r>
          </w:p>
        </w:tc>
        <w:tc>
          <w:tcPr>
            <w:tcW w:w="980" w:type="pct"/>
            <w:tcBorders>
              <w:left w:val="single" w:sz="4" w:space="0" w:color="auto"/>
              <w:right w:val="single" w:sz="4" w:space="0" w:color="auto"/>
            </w:tcBorders>
          </w:tcPr>
          <w:p w14:paraId="617D20D8" w14:textId="77777777" w:rsidR="000F0341" w:rsidRPr="00BF62A1" w:rsidRDefault="000F0341" w:rsidP="00E40B0D">
            <w:pPr>
              <w:spacing w:line="240" w:lineRule="auto"/>
              <w:jc w:val="left"/>
              <w:rPr>
                <w:sz w:val="14"/>
                <w:szCs w:val="14"/>
              </w:rPr>
            </w:pPr>
            <w:r w:rsidRPr="00BF62A1">
              <w:rPr>
                <w:sz w:val="14"/>
                <w:szCs w:val="14"/>
              </w:rPr>
              <w:t>9</w:t>
            </w:r>
          </w:p>
        </w:tc>
      </w:tr>
      <w:tr w:rsidR="000F0341" w:rsidRPr="00BF62A1" w14:paraId="21DAE766" w14:textId="77777777" w:rsidTr="00E40B0D">
        <w:trPr>
          <w:trHeight w:val="20"/>
        </w:trPr>
        <w:tc>
          <w:tcPr>
            <w:tcW w:w="782" w:type="pct"/>
            <w:vMerge/>
            <w:tcBorders>
              <w:left w:val="single" w:sz="4" w:space="0" w:color="auto"/>
              <w:bottom w:val="single" w:sz="8" w:space="0" w:color="auto"/>
              <w:right w:val="single" w:sz="4" w:space="0" w:color="auto"/>
            </w:tcBorders>
          </w:tcPr>
          <w:p w14:paraId="7CCB1F55" w14:textId="77777777" w:rsidR="000F0341" w:rsidRPr="00BF62A1" w:rsidRDefault="000F0341" w:rsidP="00E40B0D">
            <w:pPr>
              <w:spacing w:line="240" w:lineRule="auto"/>
              <w:jc w:val="left"/>
              <w:rPr>
                <w:sz w:val="14"/>
                <w:szCs w:val="14"/>
              </w:rPr>
            </w:pPr>
          </w:p>
        </w:tc>
        <w:tc>
          <w:tcPr>
            <w:tcW w:w="468" w:type="pct"/>
            <w:vMerge/>
            <w:tcBorders>
              <w:left w:val="single" w:sz="4" w:space="0" w:color="auto"/>
              <w:bottom w:val="single" w:sz="8" w:space="0" w:color="auto"/>
              <w:right w:val="single" w:sz="4" w:space="0" w:color="auto"/>
            </w:tcBorders>
          </w:tcPr>
          <w:p w14:paraId="177E0507" w14:textId="77777777" w:rsidR="000F0341" w:rsidRPr="00BF62A1" w:rsidRDefault="000F0341" w:rsidP="00E40B0D">
            <w:pPr>
              <w:spacing w:line="240" w:lineRule="auto"/>
              <w:jc w:val="left"/>
              <w:rPr>
                <w:sz w:val="14"/>
                <w:szCs w:val="14"/>
              </w:rPr>
            </w:pPr>
          </w:p>
        </w:tc>
        <w:tc>
          <w:tcPr>
            <w:tcW w:w="626" w:type="pct"/>
            <w:vMerge/>
            <w:tcBorders>
              <w:left w:val="single" w:sz="4" w:space="0" w:color="auto"/>
              <w:bottom w:val="single" w:sz="8" w:space="0" w:color="auto"/>
              <w:right w:val="single" w:sz="4" w:space="0" w:color="auto"/>
            </w:tcBorders>
          </w:tcPr>
          <w:p w14:paraId="5893AED7" w14:textId="77777777" w:rsidR="000F0341" w:rsidRPr="00BF62A1" w:rsidRDefault="000F0341" w:rsidP="00E40B0D">
            <w:pPr>
              <w:spacing w:line="240" w:lineRule="auto"/>
              <w:jc w:val="left"/>
              <w:rPr>
                <w:sz w:val="14"/>
                <w:szCs w:val="14"/>
              </w:rPr>
            </w:pPr>
          </w:p>
        </w:tc>
        <w:tc>
          <w:tcPr>
            <w:tcW w:w="624" w:type="pct"/>
            <w:tcBorders>
              <w:top w:val="single" w:sz="4" w:space="0" w:color="auto"/>
              <w:left w:val="single" w:sz="4" w:space="0" w:color="auto"/>
              <w:bottom w:val="single" w:sz="8" w:space="0" w:color="auto"/>
              <w:right w:val="single" w:sz="4" w:space="0" w:color="auto"/>
            </w:tcBorders>
          </w:tcPr>
          <w:p w14:paraId="34A74B04" w14:textId="77777777" w:rsidR="000F0341" w:rsidRPr="00BF62A1" w:rsidRDefault="000F0341" w:rsidP="00E40B0D">
            <w:pPr>
              <w:spacing w:line="240" w:lineRule="auto"/>
              <w:jc w:val="left"/>
              <w:rPr>
                <w:sz w:val="14"/>
                <w:szCs w:val="14"/>
              </w:rPr>
            </w:pPr>
            <w:r w:rsidRPr="00BF62A1">
              <w:rPr>
                <w:sz w:val="14"/>
                <w:szCs w:val="14"/>
              </w:rPr>
              <w:t>Very High</w:t>
            </w:r>
          </w:p>
        </w:tc>
        <w:tc>
          <w:tcPr>
            <w:tcW w:w="782" w:type="pct"/>
            <w:tcBorders>
              <w:left w:val="single" w:sz="4" w:space="0" w:color="auto"/>
              <w:bottom w:val="single" w:sz="8" w:space="0" w:color="auto"/>
              <w:right w:val="single" w:sz="4" w:space="0" w:color="auto"/>
            </w:tcBorders>
          </w:tcPr>
          <w:p w14:paraId="10F5BB49" w14:textId="77777777" w:rsidR="000F0341" w:rsidRPr="00BF62A1" w:rsidRDefault="000F0341" w:rsidP="00E40B0D">
            <w:pPr>
              <w:spacing w:line="240" w:lineRule="auto"/>
              <w:jc w:val="left"/>
              <w:rPr>
                <w:sz w:val="14"/>
                <w:szCs w:val="14"/>
              </w:rPr>
            </w:pPr>
            <w:r w:rsidRPr="00BF62A1">
              <w:rPr>
                <w:sz w:val="14"/>
                <w:szCs w:val="14"/>
              </w:rPr>
              <w:t>72-171</w:t>
            </w:r>
          </w:p>
        </w:tc>
        <w:tc>
          <w:tcPr>
            <w:tcW w:w="739" w:type="pct"/>
            <w:tcBorders>
              <w:left w:val="single" w:sz="4" w:space="0" w:color="auto"/>
              <w:bottom w:val="single" w:sz="8" w:space="0" w:color="auto"/>
              <w:right w:val="single" w:sz="4" w:space="0" w:color="auto"/>
            </w:tcBorders>
          </w:tcPr>
          <w:p w14:paraId="3E1EA966" w14:textId="77777777" w:rsidR="000F0341" w:rsidRPr="00BF62A1" w:rsidRDefault="000F0341" w:rsidP="00E40B0D">
            <w:pPr>
              <w:spacing w:line="240" w:lineRule="auto"/>
              <w:jc w:val="left"/>
              <w:rPr>
                <w:sz w:val="14"/>
                <w:szCs w:val="14"/>
              </w:rPr>
            </w:pPr>
            <w:r w:rsidRPr="00BF62A1">
              <w:rPr>
                <w:sz w:val="14"/>
                <w:szCs w:val="14"/>
              </w:rPr>
              <w:t>71.5 – 171</w:t>
            </w:r>
          </w:p>
        </w:tc>
        <w:tc>
          <w:tcPr>
            <w:tcW w:w="980" w:type="pct"/>
            <w:tcBorders>
              <w:left w:val="single" w:sz="4" w:space="0" w:color="auto"/>
              <w:bottom w:val="single" w:sz="8" w:space="0" w:color="auto"/>
              <w:right w:val="single" w:sz="4" w:space="0" w:color="auto"/>
            </w:tcBorders>
          </w:tcPr>
          <w:p w14:paraId="39558BA4" w14:textId="77777777" w:rsidR="000F0341" w:rsidRPr="00BF62A1" w:rsidRDefault="000F0341" w:rsidP="00E40B0D">
            <w:pPr>
              <w:spacing w:line="240" w:lineRule="auto"/>
              <w:jc w:val="left"/>
              <w:rPr>
                <w:sz w:val="14"/>
                <w:szCs w:val="14"/>
              </w:rPr>
            </w:pPr>
            <w:r w:rsidRPr="00BF62A1">
              <w:rPr>
                <w:sz w:val="14"/>
                <w:szCs w:val="14"/>
              </w:rPr>
              <w:t>5</w:t>
            </w:r>
          </w:p>
        </w:tc>
      </w:tr>
      <w:tr w:rsidR="000F0341" w:rsidRPr="00BF62A1" w14:paraId="36169743" w14:textId="77777777" w:rsidTr="00E40B0D">
        <w:trPr>
          <w:trHeight w:val="20"/>
        </w:trPr>
        <w:tc>
          <w:tcPr>
            <w:tcW w:w="782" w:type="pct"/>
            <w:vMerge w:val="restart"/>
            <w:tcBorders>
              <w:top w:val="single" w:sz="8" w:space="0" w:color="auto"/>
              <w:left w:val="single" w:sz="4" w:space="0" w:color="auto"/>
              <w:right w:val="single" w:sz="4" w:space="0" w:color="auto"/>
            </w:tcBorders>
          </w:tcPr>
          <w:p w14:paraId="65EBFF35" w14:textId="77777777" w:rsidR="000F0341" w:rsidRPr="00BF62A1" w:rsidRDefault="000F0341" w:rsidP="00E40B0D">
            <w:pPr>
              <w:spacing w:line="240" w:lineRule="auto"/>
              <w:jc w:val="left"/>
              <w:rPr>
                <w:color w:val="000000" w:themeColor="text1"/>
                <w:sz w:val="14"/>
                <w:szCs w:val="14"/>
              </w:rPr>
            </w:pPr>
            <w:r w:rsidRPr="00BF62A1">
              <w:rPr>
                <w:sz w:val="14"/>
                <w:szCs w:val="14"/>
              </w:rPr>
              <w:t xml:space="preserve">Gani 2017 </w:t>
            </w:r>
            <w:r w:rsidRPr="00BF62A1">
              <w:rPr>
                <w:sz w:val="14"/>
                <w:szCs w:val="14"/>
              </w:rPr>
              <w:fldChar w:fldCharType="begin"/>
            </w:r>
            <w:r>
              <w:rPr>
                <w:sz w:val="14"/>
                <w:szCs w:val="14"/>
              </w:rPr>
              <w:instrText xml:space="preserve"> ADDIN ZOTERO_ITEM CSL_CITATION {"citationID":"XQoiM64I","properties":{"formattedCitation":"[54]","plainCitation":"[54]","noteIndex":0},"citationItems":[{"id":14190,"uris":["http://zotero.org/groups/4983919/items/6BABBFND"],"itemData":{"id":14190,"type":"article-journal","abstract":"INTRODUCTION: Data evaluating trends in hospital volume are lacking. The current study sought to examine trends in outcomes relative to hospital volume following liver surgery. METHODS: A total of 14,296 patients &gt;18 years undergoing an elective liver resection (LR) for cancer were identified using the National Inpatient Sample from 2001 to 2011. Multivariable logistic regression analysis was performed to compare postoperative morbidity and mortality relative to hospital volume over time. RESULTS: Over time, the proportion of patients undergoing a LR at a high-volume hospital (HVH) increased from 24.4 to 45.0 %, while the proportion of patients undergoing a LR at a low-volume hospital (LVH) decreased from 40.4 to 22.7 %. On multivariable analysis, patients undergoing a LR at high-volume hospitals demonstrated a 29 % lower odds of mortality (OR = 0.71, 95 % CI = 0.59-0.86, p &lt; 0.001) compared with patients undergoing a LR at a LVH. The rate of regionalization, however, was not equal among all patients as older patients, patients belonging to a racial minority, and those presenting with substantial comorbidity were less likely to undergo a LR at a HVH. CONCLUSION: An increase in the regionalization of liver surgery was observed over time. Trends in regionalization were, however, associated with discrepancies in access to HVH among specific patient populations.","container-title":"J Gastrointest Surg","DOI":"10.1007/s11605-016-3316-7","ISSN":"1091-255x","issue":"3","language":"eng","note":"publisher-place: Department of Surgery, Johns Hopkins University School of Medicine, Baltimore, MD, USA. Department of Hepatobiliary, Pancreatic Surgery and Liver Transplantation, Henri Mondor Hospital, Unite ISERM 955, Creteil, France. Department of Surgery, Johns Hopkins University School of Medicine, Baltimore, MD, USA. tim.pawlik@osumc.edu. Department of Surgery, The Urban Meyer III and Shelley Meyer Chair for Cancer Research, Wexner Medical Center at The Ohio State University, 395 W. 12th Avenue, Suite 670, Columbus, OH, 43210, USA. tim.pawlik@osumc.edu.","page":"463-471","title":"Evaluating Trends in the Volume-Outcomes Relationship Following Liver Surgery: Does Regionalization Benefit All Patients the Same?","volume":"21","author":[{"family":"Gani","given":"F."},{"family":"Azoulay","given":"D."},{"family":"Pawlik","given":"T. M."}],"issued":{"date-parts":[["2017",3]]}}}],"schema":"https://github.com/citation-style-language/schema/raw/master/csl-citation.json"} </w:instrText>
            </w:r>
            <w:r w:rsidRPr="00BF62A1">
              <w:rPr>
                <w:sz w:val="14"/>
                <w:szCs w:val="14"/>
              </w:rPr>
              <w:fldChar w:fldCharType="separate"/>
            </w:r>
            <w:r w:rsidRPr="004125CE">
              <w:rPr>
                <w:sz w:val="14"/>
              </w:rPr>
              <w:t>[54]</w:t>
            </w:r>
            <w:r w:rsidRPr="00BF62A1">
              <w:rPr>
                <w:sz w:val="14"/>
                <w:szCs w:val="14"/>
              </w:rPr>
              <w:fldChar w:fldCharType="end"/>
            </w:r>
          </w:p>
        </w:tc>
        <w:tc>
          <w:tcPr>
            <w:tcW w:w="468" w:type="pct"/>
            <w:vMerge w:val="restart"/>
            <w:tcBorders>
              <w:top w:val="single" w:sz="8" w:space="0" w:color="auto"/>
              <w:left w:val="single" w:sz="4" w:space="0" w:color="auto"/>
              <w:right w:val="single" w:sz="4" w:space="0" w:color="auto"/>
            </w:tcBorders>
          </w:tcPr>
          <w:p w14:paraId="29AA7536" w14:textId="77777777" w:rsidR="000F0341" w:rsidRPr="00BF62A1" w:rsidRDefault="000F0341" w:rsidP="00E40B0D">
            <w:pPr>
              <w:spacing w:line="240" w:lineRule="auto"/>
              <w:jc w:val="left"/>
              <w:rPr>
                <w:sz w:val="14"/>
                <w:szCs w:val="14"/>
              </w:rPr>
            </w:pPr>
            <w:r w:rsidRPr="00BF62A1">
              <w:rPr>
                <w:sz w:val="14"/>
                <w:szCs w:val="14"/>
              </w:rPr>
              <w:t>27813</w:t>
            </w:r>
          </w:p>
        </w:tc>
        <w:tc>
          <w:tcPr>
            <w:tcW w:w="626" w:type="pct"/>
            <w:vMerge w:val="restart"/>
            <w:tcBorders>
              <w:top w:val="single" w:sz="8" w:space="0" w:color="auto"/>
              <w:left w:val="single" w:sz="4" w:space="0" w:color="auto"/>
              <w:right w:val="single" w:sz="4" w:space="0" w:color="auto"/>
            </w:tcBorders>
          </w:tcPr>
          <w:p w14:paraId="0B5F741C" w14:textId="77777777" w:rsidR="000F0341" w:rsidRPr="00BF62A1" w:rsidRDefault="000F0341" w:rsidP="00E40B0D">
            <w:pPr>
              <w:spacing w:line="240" w:lineRule="auto"/>
              <w:jc w:val="left"/>
              <w:rPr>
                <w:sz w:val="14"/>
                <w:szCs w:val="14"/>
              </w:rPr>
            </w:pPr>
            <w:r w:rsidRPr="00BF62A1">
              <w:rPr>
                <w:sz w:val="14"/>
                <w:szCs w:val="14"/>
              </w:rPr>
              <w:t>-</w:t>
            </w:r>
          </w:p>
        </w:tc>
        <w:tc>
          <w:tcPr>
            <w:tcW w:w="624" w:type="pct"/>
            <w:tcBorders>
              <w:top w:val="single" w:sz="8" w:space="0" w:color="auto"/>
              <w:left w:val="single" w:sz="4" w:space="0" w:color="auto"/>
              <w:bottom w:val="single" w:sz="4" w:space="0" w:color="auto"/>
              <w:right w:val="single" w:sz="4" w:space="0" w:color="auto"/>
            </w:tcBorders>
          </w:tcPr>
          <w:p w14:paraId="67F60154" w14:textId="77777777" w:rsidR="000F0341" w:rsidRPr="00BF62A1" w:rsidRDefault="000F0341" w:rsidP="00E40B0D">
            <w:pPr>
              <w:spacing w:line="240" w:lineRule="auto"/>
              <w:jc w:val="left"/>
              <w:rPr>
                <w:sz w:val="14"/>
                <w:szCs w:val="14"/>
              </w:rPr>
            </w:pPr>
            <w:r w:rsidRPr="00BF62A1">
              <w:rPr>
                <w:sz w:val="14"/>
                <w:szCs w:val="14"/>
              </w:rPr>
              <w:t>Low</w:t>
            </w:r>
          </w:p>
        </w:tc>
        <w:tc>
          <w:tcPr>
            <w:tcW w:w="782" w:type="pct"/>
            <w:tcBorders>
              <w:top w:val="single" w:sz="8" w:space="0" w:color="auto"/>
              <w:left w:val="single" w:sz="4" w:space="0" w:color="auto"/>
              <w:right w:val="single" w:sz="4" w:space="0" w:color="auto"/>
            </w:tcBorders>
          </w:tcPr>
          <w:p w14:paraId="639DE554" w14:textId="77777777" w:rsidR="000F0341" w:rsidRPr="00BF62A1" w:rsidRDefault="000F0341" w:rsidP="00E40B0D">
            <w:pPr>
              <w:spacing w:line="240" w:lineRule="auto"/>
              <w:jc w:val="left"/>
              <w:rPr>
                <w:sz w:val="14"/>
                <w:szCs w:val="14"/>
              </w:rPr>
            </w:pPr>
            <w:r w:rsidRPr="00BF62A1">
              <w:rPr>
                <w:sz w:val="14"/>
                <w:szCs w:val="14"/>
              </w:rPr>
              <w:t>1-4</w:t>
            </w:r>
          </w:p>
        </w:tc>
        <w:tc>
          <w:tcPr>
            <w:tcW w:w="739" w:type="pct"/>
            <w:tcBorders>
              <w:top w:val="single" w:sz="8" w:space="0" w:color="auto"/>
              <w:left w:val="single" w:sz="4" w:space="0" w:color="auto"/>
              <w:right w:val="single" w:sz="4" w:space="0" w:color="auto"/>
            </w:tcBorders>
          </w:tcPr>
          <w:p w14:paraId="3B73C459" w14:textId="77777777" w:rsidR="000F0341" w:rsidRPr="00BF62A1" w:rsidRDefault="000F0341" w:rsidP="00E40B0D">
            <w:pPr>
              <w:spacing w:line="240" w:lineRule="auto"/>
              <w:jc w:val="left"/>
              <w:rPr>
                <w:sz w:val="14"/>
                <w:szCs w:val="14"/>
              </w:rPr>
            </w:pPr>
            <w:r w:rsidRPr="00BF62A1">
              <w:rPr>
                <w:sz w:val="14"/>
                <w:szCs w:val="14"/>
              </w:rPr>
              <w:t>1472 (5.4)</w:t>
            </w:r>
          </w:p>
        </w:tc>
        <w:tc>
          <w:tcPr>
            <w:tcW w:w="980" w:type="pct"/>
            <w:tcBorders>
              <w:top w:val="single" w:sz="8" w:space="0" w:color="auto"/>
              <w:left w:val="single" w:sz="4" w:space="0" w:color="auto"/>
              <w:right w:val="single" w:sz="4" w:space="0" w:color="auto"/>
            </w:tcBorders>
          </w:tcPr>
          <w:p w14:paraId="63405555" w14:textId="77777777" w:rsidR="000F0341" w:rsidRPr="00BF62A1" w:rsidRDefault="000F0341" w:rsidP="00E40B0D">
            <w:pPr>
              <w:spacing w:line="240" w:lineRule="auto"/>
              <w:jc w:val="left"/>
              <w:rPr>
                <w:sz w:val="14"/>
                <w:szCs w:val="14"/>
              </w:rPr>
            </w:pPr>
            <w:r w:rsidRPr="00BF62A1">
              <w:rPr>
                <w:sz w:val="14"/>
                <w:szCs w:val="14"/>
              </w:rPr>
              <w:t>952 (43.1)</w:t>
            </w:r>
          </w:p>
        </w:tc>
      </w:tr>
      <w:tr w:rsidR="000F0341" w:rsidRPr="00BF62A1" w14:paraId="5EED381A" w14:textId="77777777" w:rsidTr="00E40B0D">
        <w:trPr>
          <w:trHeight w:val="20"/>
        </w:trPr>
        <w:tc>
          <w:tcPr>
            <w:tcW w:w="782" w:type="pct"/>
            <w:vMerge/>
            <w:tcBorders>
              <w:left w:val="single" w:sz="4" w:space="0" w:color="auto"/>
              <w:right w:val="single" w:sz="4" w:space="0" w:color="auto"/>
            </w:tcBorders>
          </w:tcPr>
          <w:p w14:paraId="1BB5C912" w14:textId="77777777" w:rsidR="000F0341" w:rsidRPr="00BF62A1"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27EF8850" w14:textId="77777777" w:rsidR="000F0341" w:rsidRPr="00BF62A1"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2B4D378F" w14:textId="77777777" w:rsidR="000F0341" w:rsidRPr="00BF62A1"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4C594243" w14:textId="77777777" w:rsidR="000F0341" w:rsidRPr="00BF62A1" w:rsidRDefault="000F0341" w:rsidP="00E40B0D">
            <w:pPr>
              <w:spacing w:line="240" w:lineRule="auto"/>
              <w:jc w:val="left"/>
              <w:rPr>
                <w:sz w:val="14"/>
                <w:szCs w:val="14"/>
              </w:rPr>
            </w:pPr>
            <w:r w:rsidRPr="00BF62A1">
              <w:rPr>
                <w:sz w:val="14"/>
                <w:szCs w:val="14"/>
              </w:rPr>
              <w:t>Intermediate</w:t>
            </w:r>
          </w:p>
        </w:tc>
        <w:tc>
          <w:tcPr>
            <w:tcW w:w="782" w:type="pct"/>
            <w:tcBorders>
              <w:left w:val="single" w:sz="4" w:space="0" w:color="auto"/>
              <w:right w:val="single" w:sz="4" w:space="0" w:color="auto"/>
            </w:tcBorders>
          </w:tcPr>
          <w:p w14:paraId="174FF1F6" w14:textId="77777777" w:rsidR="000F0341" w:rsidRPr="00BF62A1" w:rsidRDefault="000F0341" w:rsidP="00E40B0D">
            <w:pPr>
              <w:spacing w:line="240" w:lineRule="auto"/>
              <w:jc w:val="left"/>
              <w:rPr>
                <w:sz w:val="14"/>
                <w:szCs w:val="14"/>
              </w:rPr>
            </w:pPr>
            <w:r w:rsidRPr="00BF62A1">
              <w:rPr>
                <w:sz w:val="14"/>
                <w:szCs w:val="14"/>
              </w:rPr>
              <w:t>5-14</w:t>
            </w:r>
          </w:p>
        </w:tc>
        <w:tc>
          <w:tcPr>
            <w:tcW w:w="739" w:type="pct"/>
            <w:tcBorders>
              <w:left w:val="single" w:sz="4" w:space="0" w:color="auto"/>
              <w:right w:val="single" w:sz="4" w:space="0" w:color="auto"/>
            </w:tcBorders>
          </w:tcPr>
          <w:p w14:paraId="71023A3D" w14:textId="77777777" w:rsidR="000F0341" w:rsidRPr="00BF62A1" w:rsidRDefault="000F0341" w:rsidP="00E40B0D">
            <w:pPr>
              <w:spacing w:line="240" w:lineRule="auto"/>
              <w:jc w:val="left"/>
              <w:rPr>
                <w:sz w:val="14"/>
                <w:szCs w:val="14"/>
              </w:rPr>
            </w:pPr>
            <w:r w:rsidRPr="00BF62A1">
              <w:rPr>
                <w:sz w:val="14"/>
                <w:szCs w:val="14"/>
              </w:rPr>
              <w:t>2030 (7.5)</w:t>
            </w:r>
          </w:p>
        </w:tc>
        <w:tc>
          <w:tcPr>
            <w:tcW w:w="980" w:type="pct"/>
            <w:tcBorders>
              <w:left w:val="single" w:sz="4" w:space="0" w:color="auto"/>
              <w:right w:val="single" w:sz="4" w:space="0" w:color="auto"/>
            </w:tcBorders>
          </w:tcPr>
          <w:p w14:paraId="7D81281F" w14:textId="77777777" w:rsidR="000F0341" w:rsidRPr="00BF62A1" w:rsidRDefault="000F0341" w:rsidP="00E40B0D">
            <w:pPr>
              <w:spacing w:line="240" w:lineRule="auto"/>
              <w:jc w:val="left"/>
              <w:rPr>
                <w:sz w:val="14"/>
                <w:szCs w:val="14"/>
              </w:rPr>
            </w:pPr>
            <w:r w:rsidRPr="00BF62A1">
              <w:rPr>
                <w:sz w:val="14"/>
                <w:szCs w:val="14"/>
              </w:rPr>
              <w:t>590 (26.7)</w:t>
            </w:r>
          </w:p>
        </w:tc>
      </w:tr>
      <w:tr w:rsidR="000F0341" w:rsidRPr="00BF62A1" w14:paraId="4586E87B" w14:textId="77777777" w:rsidTr="00E40B0D">
        <w:trPr>
          <w:trHeight w:val="20"/>
        </w:trPr>
        <w:tc>
          <w:tcPr>
            <w:tcW w:w="782" w:type="pct"/>
            <w:vMerge/>
            <w:tcBorders>
              <w:left w:val="single" w:sz="4" w:space="0" w:color="auto"/>
              <w:bottom w:val="single" w:sz="8" w:space="0" w:color="auto"/>
              <w:right w:val="single" w:sz="4" w:space="0" w:color="auto"/>
            </w:tcBorders>
          </w:tcPr>
          <w:p w14:paraId="4D8E2D9D" w14:textId="77777777" w:rsidR="000F0341" w:rsidRPr="00BF62A1" w:rsidRDefault="000F0341" w:rsidP="00E40B0D">
            <w:pPr>
              <w:spacing w:line="240" w:lineRule="auto"/>
              <w:jc w:val="left"/>
              <w:rPr>
                <w:sz w:val="14"/>
                <w:szCs w:val="14"/>
              </w:rPr>
            </w:pPr>
          </w:p>
        </w:tc>
        <w:tc>
          <w:tcPr>
            <w:tcW w:w="468" w:type="pct"/>
            <w:vMerge/>
            <w:tcBorders>
              <w:left w:val="single" w:sz="4" w:space="0" w:color="auto"/>
              <w:bottom w:val="single" w:sz="8" w:space="0" w:color="auto"/>
              <w:right w:val="single" w:sz="4" w:space="0" w:color="auto"/>
            </w:tcBorders>
          </w:tcPr>
          <w:p w14:paraId="6278B6A7" w14:textId="77777777" w:rsidR="000F0341" w:rsidRPr="00BF62A1" w:rsidRDefault="000F0341" w:rsidP="00E40B0D">
            <w:pPr>
              <w:spacing w:line="240" w:lineRule="auto"/>
              <w:jc w:val="left"/>
              <w:rPr>
                <w:sz w:val="14"/>
                <w:szCs w:val="14"/>
              </w:rPr>
            </w:pPr>
          </w:p>
        </w:tc>
        <w:tc>
          <w:tcPr>
            <w:tcW w:w="626" w:type="pct"/>
            <w:vMerge/>
            <w:tcBorders>
              <w:left w:val="single" w:sz="4" w:space="0" w:color="auto"/>
              <w:bottom w:val="single" w:sz="8" w:space="0" w:color="auto"/>
              <w:right w:val="single" w:sz="4" w:space="0" w:color="auto"/>
            </w:tcBorders>
          </w:tcPr>
          <w:p w14:paraId="4C03FD9C" w14:textId="77777777" w:rsidR="000F0341" w:rsidRPr="00BF62A1" w:rsidRDefault="000F0341" w:rsidP="00E40B0D">
            <w:pPr>
              <w:spacing w:line="240" w:lineRule="auto"/>
              <w:jc w:val="left"/>
              <w:rPr>
                <w:sz w:val="14"/>
                <w:szCs w:val="14"/>
              </w:rPr>
            </w:pPr>
          </w:p>
        </w:tc>
        <w:tc>
          <w:tcPr>
            <w:tcW w:w="624" w:type="pct"/>
            <w:tcBorders>
              <w:top w:val="single" w:sz="4" w:space="0" w:color="auto"/>
              <w:left w:val="single" w:sz="4" w:space="0" w:color="auto"/>
              <w:bottom w:val="single" w:sz="8" w:space="0" w:color="auto"/>
              <w:right w:val="single" w:sz="4" w:space="0" w:color="auto"/>
            </w:tcBorders>
          </w:tcPr>
          <w:p w14:paraId="50251473" w14:textId="77777777" w:rsidR="000F0341" w:rsidRPr="00BF62A1" w:rsidRDefault="000F0341" w:rsidP="00E40B0D">
            <w:pPr>
              <w:spacing w:line="240" w:lineRule="auto"/>
              <w:jc w:val="left"/>
              <w:rPr>
                <w:sz w:val="14"/>
                <w:szCs w:val="14"/>
              </w:rPr>
            </w:pPr>
            <w:r w:rsidRPr="00BF62A1">
              <w:rPr>
                <w:sz w:val="14"/>
                <w:szCs w:val="14"/>
              </w:rPr>
              <w:t>High</w:t>
            </w:r>
          </w:p>
        </w:tc>
        <w:tc>
          <w:tcPr>
            <w:tcW w:w="782" w:type="pct"/>
            <w:tcBorders>
              <w:left w:val="single" w:sz="4" w:space="0" w:color="auto"/>
              <w:bottom w:val="single" w:sz="8" w:space="0" w:color="auto"/>
              <w:right w:val="single" w:sz="4" w:space="0" w:color="auto"/>
            </w:tcBorders>
          </w:tcPr>
          <w:p w14:paraId="398E6442" w14:textId="77777777" w:rsidR="000F0341" w:rsidRPr="00BF62A1" w:rsidRDefault="000F0341" w:rsidP="00E40B0D">
            <w:pPr>
              <w:spacing w:line="240" w:lineRule="auto"/>
              <w:jc w:val="left"/>
              <w:rPr>
                <w:sz w:val="14"/>
                <w:szCs w:val="14"/>
              </w:rPr>
            </w:pPr>
            <w:r w:rsidRPr="00BF62A1">
              <w:rPr>
                <w:sz w:val="14"/>
                <w:szCs w:val="14"/>
              </w:rPr>
              <w:t>≥15</w:t>
            </w:r>
          </w:p>
        </w:tc>
        <w:tc>
          <w:tcPr>
            <w:tcW w:w="739" w:type="pct"/>
            <w:tcBorders>
              <w:left w:val="single" w:sz="4" w:space="0" w:color="auto"/>
              <w:bottom w:val="single" w:sz="8" w:space="0" w:color="auto"/>
              <w:right w:val="single" w:sz="4" w:space="0" w:color="auto"/>
            </w:tcBorders>
          </w:tcPr>
          <w:p w14:paraId="26A901B5" w14:textId="77777777" w:rsidR="000F0341" w:rsidRPr="00BF62A1" w:rsidRDefault="000F0341" w:rsidP="00E40B0D">
            <w:pPr>
              <w:spacing w:line="240" w:lineRule="auto"/>
              <w:jc w:val="left"/>
              <w:rPr>
                <w:sz w:val="14"/>
                <w:szCs w:val="14"/>
              </w:rPr>
            </w:pPr>
            <w:r w:rsidRPr="00BF62A1">
              <w:rPr>
                <w:sz w:val="14"/>
                <w:szCs w:val="14"/>
              </w:rPr>
              <w:t>24309 (87.1)</w:t>
            </w:r>
          </w:p>
        </w:tc>
        <w:tc>
          <w:tcPr>
            <w:tcW w:w="980" w:type="pct"/>
            <w:tcBorders>
              <w:left w:val="single" w:sz="4" w:space="0" w:color="auto"/>
              <w:bottom w:val="single" w:sz="8" w:space="0" w:color="auto"/>
              <w:right w:val="single" w:sz="4" w:space="0" w:color="auto"/>
            </w:tcBorders>
          </w:tcPr>
          <w:p w14:paraId="3CB34C67" w14:textId="77777777" w:rsidR="000F0341" w:rsidRPr="00BF62A1" w:rsidRDefault="000F0341" w:rsidP="00E40B0D">
            <w:pPr>
              <w:spacing w:line="240" w:lineRule="auto"/>
              <w:jc w:val="left"/>
              <w:rPr>
                <w:sz w:val="14"/>
                <w:szCs w:val="14"/>
              </w:rPr>
            </w:pPr>
            <w:r w:rsidRPr="00BF62A1">
              <w:rPr>
                <w:sz w:val="14"/>
                <w:szCs w:val="14"/>
              </w:rPr>
              <w:t>665 (30.1)</w:t>
            </w:r>
          </w:p>
        </w:tc>
      </w:tr>
      <w:tr w:rsidR="000F0341" w:rsidRPr="00BF62A1" w14:paraId="42DD3C50" w14:textId="77777777" w:rsidTr="00E40B0D">
        <w:trPr>
          <w:trHeight w:val="20"/>
        </w:trPr>
        <w:tc>
          <w:tcPr>
            <w:tcW w:w="782" w:type="pct"/>
            <w:vMerge w:val="restart"/>
            <w:tcBorders>
              <w:top w:val="single" w:sz="8" w:space="0" w:color="auto"/>
              <w:left w:val="single" w:sz="4" w:space="0" w:color="auto"/>
              <w:right w:val="single" w:sz="4" w:space="0" w:color="auto"/>
            </w:tcBorders>
          </w:tcPr>
          <w:p w14:paraId="63918116" w14:textId="77777777" w:rsidR="000F0341" w:rsidRPr="00BF62A1" w:rsidRDefault="000F0341" w:rsidP="00E40B0D">
            <w:pPr>
              <w:spacing w:line="240" w:lineRule="auto"/>
              <w:jc w:val="left"/>
              <w:rPr>
                <w:color w:val="000000"/>
                <w:sz w:val="14"/>
                <w:szCs w:val="14"/>
              </w:rPr>
            </w:pPr>
            <w:r w:rsidRPr="00BF62A1">
              <w:rPr>
                <w:sz w:val="14"/>
                <w:szCs w:val="14"/>
              </w:rPr>
              <w:t xml:space="preserve">Gani 2016 </w:t>
            </w:r>
            <w:r w:rsidRPr="00BF62A1">
              <w:rPr>
                <w:sz w:val="14"/>
                <w:szCs w:val="14"/>
              </w:rPr>
              <w:fldChar w:fldCharType="begin"/>
            </w:r>
            <w:r>
              <w:rPr>
                <w:sz w:val="14"/>
                <w:szCs w:val="14"/>
              </w:rPr>
              <w:instrText xml:space="preserve"> ADDIN ZOTERO_ITEM CSL_CITATION {"citationID":"Nigpb7Tl","properties":{"formattedCitation":"[55]","plainCitation":"[55]","noteIndex":0},"citationItems":[{"id":14189,"uris":["http://zotero.org/groups/4983919/items/YC9I5MBJ"],"itemData":{"id":14189,"type":"article-journal","abstract":"BACKGROUND: Although proposed as a means for quality improvement, little is known regarding the economic consequences of volume-based referral. The objective of the current study was to investigate the relationship between inpatient costs and hospital volume. METHODS: Patients undergoing elective liver surgery were identified using the Nationwide Inpatient Sample from 2001 to 2012. Multivariable hierarchical regression analyses were performed to calculate and compare risk-adjusted costs and postoperative outcomes across hospital volume terciles. RESULTS: A total of 27,813 patients underwent surgery at 2207 hospitals. Although costs were comparable across the three volume groups (all p &gt; 0.05), patients who developed a postoperative complication incurred a higher overall cost (complication vs. no complication; median costs $17,974 [IQR 13,865-25,623] vs. $41,731 [IQR 27,008-64,266], p &lt; 0.001). In contrast, while the incidence of postoperative complications (low vs. intermediate vs. high; 22.0 vs. 19.2 vs. 13.0 %, p &lt; 0.001) and subsequent failure-to-rescue (low vs. intermediate vs. high; 16.6 vs. 24.7 vs. 15.1 %, p &lt; 0.001) was lower at high-volume hospitals, costs associated with \"rescue\" were substantially higher at high-volume hospitals (low vs. intermediate vs. high; $39,289 vs. $36,157 vs. $48,559, both p &lt; 0.001). CONCLUSIONS: Compared with lower volume hospitals, improved outcomes among patients who developed a complication at high-volume hospitals were associated with an increased cost.","container-title":"J Gastrointest Surg","DOI":"10.1007/s11605-015-3071-1","ISSN":"1091-255x","issue":"5","language":"eng","note":"publisher-place: Department of Surgery, Johns Hopkins University School of Medicine, 600 North Wolfe Street Blalock 688, Baltimore, MD, 21287, USA. Department of Surgery, Johns Hopkins University School of Medicine, 600 North Wolfe Street Blalock 688, Baltimore, MD, 21287, USA. tpawlik1@jhmi.edu.","page":"945-52","title":"Assessing the Costs Associated with Volume-Based Referral for Hepatic Surgery","volume":"20","author":[{"family":"Gani","given":"F."},{"family":"Pawlik","given":"T. M."}],"issued":{"date-parts":[["2016",5]]}}}],"schema":"https://github.com/citation-style-language/schema/raw/master/csl-citation.json"} </w:instrText>
            </w:r>
            <w:r w:rsidRPr="00BF62A1">
              <w:rPr>
                <w:sz w:val="14"/>
                <w:szCs w:val="14"/>
              </w:rPr>
              <w:fldChar w:fldCharType="separate"/>
            </w:r>
            <w:r w:rsidRPr="004125CE">
              <w:rPr>
                <w:sz w:val="14"/>
              </w:rPr>
              <w:t>[55]</w:t>
            </w:r>
            <w:r w:rsidRPr="00BF62A1">
              <w:rPr>
                <w:sz w:val="14"/>
                <w:szCs w:val="14"/>
              </w:rPr>
              <w:fldChar w:fldCharType="end"/>
            </w:r>
          </w:p>
        </w:tc>
        <w:tc>
          <w:tcPr>
            <w:tcW w:w="468" w:type="pct"/>
            <w:vMerge w:val="restart"/>
            <w:tcBorders>
              <w:top w:val="single" w:sz="8" w:space="0" w:color="auto"/>
              <w:left w:val="single" w:sz="4" w:space="0" w:color="auto"/>
              <w:right w:val="single" w:sz="4" w:space="0" w:color="auto"/>
            </w:tcBorders>
          </w:tcPr>
          <w:p w14:paraId="601210FE" w14:textId="77777777" w:rsidR="000F0341" w:rsidRPr="00BF62A1" w:rsidRDefault="000F0341" w:rsidP="00E40B0D">
            <w:pPr>
              <w:spacing w:line="240" w:lineRule="auto"/>
              <w:jc w:val="left"/>
              <w:rPr>
                <w:sz w:val="14"/>
                <w:szCs w:val="14"/>
              </w:rPr>
            </w:pPr>
            <w:r w:rsidRPr="00BF62A1">
              <w:rPr>
                <w:sz w:val="14"/>
                <w:szCs w:val="14"/>
              </w:rPr>
              <w:t>14296</w:t>
            </w:r>
          </w:p>
        </w:tc>
        <w:tc>
          <w:tcPr>
            <w:tcW w:w="626" w:type="pct"/>
            <w:vMerge w:val="restart"/>
            <w:tcBorders>
              <w:top w:val="single" w:sz="8" w:space="0" w:color="auto"/>
              <w:left w:val="single" w:sz="4" w:space="0" w:color="auto"/>
              <w:right w:val="single" w:sz="4" w:space="0" w:color="auto"/>
            </w:tcBorders>
          </w:tcPr>
          <w:p w14:paraId="3022BE9C" w14:textId="77777777" w:rsidR="000F0341" w:rsidRPr="00BF62A1" w:rsidRDefault="000F0341" w:rsidP="00E40B0D">
            <w:pPr>
              <w:spacing w:line="240" w:lineRule="auto"/>
              <w:jc w:val="left"/>
              <w:rPr>
                <w:sz w:val="14"/>
                <w:szCs w:val="14"/>
              </w:rPr>
            </w:pPr>
            <w:r w:rsidRPr="00BF62A1">
              <w:rPr>
                <w:sz w:val="14"/>
                <w:szCs w:val="14"/>
              </w:rPr>
              <w:t>-</w:t>
            </w:r>
          </w:p>
        </w:tc>
        <w:tc>
          <w:tcPr>
            <w:tcW w:w="624" w:type="pct"/>
            <w:tcBorders>
              <w:top w:val="single" w:sz="8" w:space="0" w:color="auto"/>
              <w:left w:val="single" w:sz="4" w:space="0" w:color="auto"/>
              <w:bottom w:val="single" w:sz="4" w:space="0" w:color="auto"/>
              <w:right w:val="single" w:sz="4" w:space="0" w:color="auto"/>
            </w:tcBorders>
          </w:tcPr>
          <w:p w14:paraId="3FF73473" w14:textId="77777777" w:rsidR="000F0341" w:rsidRPr="00BF62A1" w:rsidRDefault="000F0341" w:rsidP="00E40B0D">
            <w:pPr>
              <w:spacing w:line="240" w:lineRule="auto"/>
              <w:jc w:val="left"/>
              <w:rPr>
                <w:sz w:val="14"/>
                <w:szCs w:val="14"/>
              </w:rPr>
            </w:pPr>
            <w:r w:rsidRPr="00BF62A1">
              <w:rPr>
                <w:sz w:val="14"/>
                <w:szCs w:val="14"/>
              </w:rPr>
              <w:t>Low</w:t>
            </w:r>
          </w:p>
        </w:tc>
        <w:tc>
          <w:tcPr>
            <w:tcW w:w="782" w:type="pct"/>
            <w:tcBorders>
              <w:top w:val="single" w:sz="8" w:space="0" w:color="auto"/>
              <w:left w:val="single" w:sz="4" w:space="0" w:color="auto"/>
              <w:right w:val="single" w:sz="4" w:space="0" w:color="auto"/>
            </w:tcBorders>
          </w:tcPr>
          <w:p w14:paraId="09A3E816" w14:textId="77777777" w:rsidR="000F0341" w:rsidRPr="00BF62A1" w:rsidRDefault="000F0341" w:rsidP="00E40B0D">
            <w:pPr>
              <w:spacing w:line="240" w:lineRule="auto"/>
              <w:jc w:val="left"/>
              <w:rPr>
                <w:sz w:val="14"/>
                <w:szCs w:val="14"/>
              </w:rPr>
            </w:pPr>
            <w:r w:rsidRPr="00BF62A1">
              <w:rPr>
                <w:sz w:val="14"/>
                <w:szCs w:val="14"/>
              </w:rPr>
              <w:t>≤12</w:t>
            </w:r>
          </w:p>
        </w:tc>
        <w:tc>
          <w:tcPr>
            <w:tcW w:w="739" w:type="pct"/>
            <w:tcBorders>
              <w:top w:val="single" w:sz="8" w:space="0" w:color="auto"/>
              <w:left w:val="single" w:sz="4" w:space="0" w:color="auto"/>
              <w:right w:val="single" w:sz="4" w:space="0" w:color="auto"/>
            </w:tcBorders>
          </w:tcPr>
          <w:p w14:paraId="700B5254" w14:textId="77777777" w:rsidR="000F0341" w:rsidRPr="00BF62A1" w:rsidRDefault="000F0341" w:rsidP="00E40B0D">
            <w:pPr>
              <w:spacing w:line="240" w:lineRule="auto"/>
              <w:jc w:val="left"/>
              <w:rPr>
                <w:sz w:val="14"/>
                <w:szCs w:val="14"/>
              </w:rPr>
            </w:pPr>
            <w:r w:rsidRPr="00BF62A1">
              <w:rPr>
                <w:sz w:val="14"/>
                <w:szCs w:val="14"/>
              </w:rPr>
              <w:t>4341</w:t>
            </w:r>
          </w:p>
        </w:tc>
        <w:tc>
          <w:tcPr>
            <w:tcW w:w="980" w:type="pct"/>
            <w:tcBorders>
              <w:top w:val="single" w:sz="8" w:space="0" w:color="auto"/>
              <w:left w:val="single" w:sz="4" w:space="0" w:color="auto"/>
              <w:right w:val="single" w:sz="4" w:space="0" w:color="auto"/>
            </w:tcBorders>
          </w:tcPr>
          <w:p w14:paraId="7D626583" w14:textId="77777777" w:rsidR="000F0341" w:rsidRPr="00BF62A1" w:rsidRDefault="000F0341" w:rsidP="00E40B0D">
            <w:pPr>
              <w:tabs>
                <w:tab w:val="left" w:pos="838"/>
              </w:tabs>
              <w:spacing w:line="240" w:lineRule="auto"/>
              <w:jc w:val="left"/>
              <w:rPr>
                <w:sz w:val="14"/>
                <w:szCs w:val="14"/>
              </w:rPr>
            </w:pPr>
            <w:r w:rsidRPr="00BF62A1">
              <w:rPr>
                <w:sz w:val="14"/>
                <w:szCs w:val="14"/>
              </w:rPr>
              <w:t>1573</w:t>
            </w:r>
          </w:p>
        </w:tc>
      </w:tr>
      <w:tr w:rsidR="000F0341" w:rsidRPr="00BF62A1" w14:paraId="54DC7FAA" w14:textId="77777777" w:rsidTr="00E40B0D">
        <w:trPr>
          <w:trHeight w:val="20"/>
        </w:trPr>
        <w:tc>
          <w:tcPr>
            <w:tcW w:w="782" w:type="pct"/>
            <w:vMerge/>
            <w:tcBorders>
              <w:left w:val="single" w:sz="4" w:space="0" w:color="auto"/>
              <w:right w:val="single" w:sz="4" w:space="0" w:color="auto"/>
            </w:tcBorders>
          </w:tcPr>
          <w:p w14:paraId="3C5FAE4B" w14:textId="77777777" w:rsidR="000F0341" w:rsidRPr="00BF62A1"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3DAE35EF" w14:textId="77777777" w:rsidR="000F0341" w:rsidRPr="00BF62A1"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5F57DEA0" w14:textId="77777777" w:rsidR="000F0341" w:rsidRPr="00BF62A1"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490480EF" w14:textId="77777777" w:rsidR="000F0341" w:rsidRPr="00BF62A1" w:rsidRDefault="000F0341" w:rsidP="00E40B0D">
            <w:pPr>
              <w:spacing w:line="240" w:lineRule="auto"/>
              <w:jc w:val="left"/>
              <w:rPr>
                <w:sz w:val="14"/>
                <w:szCs w:val="14"/>
              </w:rPr>
            </w:pPr>
            <w:r w:rsidRPr="00BF62A1">
              <w:rPr>
                <w:sz w:val="14"/>
                <w:szCs w:val="14"/>
              </w:rPr>
              <w:t>Intermediate</w:t>
            </w:r>
          </w:p>
        </w:tc>
        <w:tc>
          <w:tcPr>
            <w:tcW w:w="782" w:type="pct"/>
            <w:tcBorders>
              <w:left w:val="single" w:sz="4" w:space="0" w:color="auto"/>
              <w:right w:val="single" w:sz="4" w:space="0" w:color="auto"/>
            </w:tcBorders>
          </w:tcPr>
          <w:p w14:paraId="4CD31E60" w14:textId="77777777" w:rsidR="000F0341" w:rsidRPr="00BF62A1" w:rsidRDefault="000F0341" w:rsidP="00E40B0D">
            <w:pPr>
              <w:spacing w:line="240" w:lineRule="auto"/>
              <w:jc w:val="left"/>
              <w:rPr>
                <w:sz w:val="14"/>
                <w:szCs w:val="14"/>
              </w:rPr>
            </w:pPr>
            <w:r w:rsidRPr="00BF62A1">
              <w:rPr>
                <w:sz w:val="14"/>
                <w:szCs w:val="14"/>
              </w:rPr>
              <w:t>12-45</w:t>
            </w:r>
          </w:p>
        </w:tc>
        <w:tc>
          <w:tcPr>
            <w:tcW w:w="739" w:type="pct"/>
            <w:tcBorders>
              <w:left w:val="single" w:sz="4" w:space="0" w:color="auto"/>
              <w:right w:val="single" w:sz="4" w:space="0" w:color="auto"/>
            </w:tcBorders>
          </w:tcPr>
          <w:p w14:paraId="5A4122A3" w14:textId="77777777" w:rsidR="000F0341" w:rsidRPr="00BF62A1" w:rsidRDefault="000F0341" w:rsidP="00E40B0D">
            <w:pPr>
              <w:spacing w:line="240" w:lineRule="auto"/>
              <w:jc w:val="left"/>
              <w:rPr>
                <w:sz w:val="14"/>
                <w:szCs w:val="14"/>
              </w:rPr>
            </w:pPr>
            <w:r w:rsidRPr="00BF62A1">
              <w:rPr>
                <w:sz w:val="14"/>
                <w:szCs w:val="14"/>
              </w:rPr>
              <w:t>4608</w:t>
            </w:r>
          </w:p>
        </w:tc>
        <w:tc>
          <w:tcPr>
            <w:tcW w:w="980" w:type="pct"/>
            <w:tcBorders>
              <w:left w:val="single" w:sz="4" w:space="0" w:color="auto"/>
              <w:right w:val="single" w:sz="4" w:space="0" w:color="auto"/>
            </w:tcBorders>
          </w:tcPr>
          <w:p w14:paraId="0FDAB849" w14:textId="77777777" w:rsidR="000F0341" w:rsidRPr="00BF62A1" w:rsidRDefault="000F0341" w:rsidP="00E40B0D">
            <w:pPr>
              <w:tabs>
                <w:tab w:val="left" w:pos="838"/>
              </w:tabs>
              <w:spacing w:line="240" w:lineRule="auto"/>
              <w:jc w:val="left"/>
              <w:rPr>
                <w:sz w:val="14"/>
                <w:szCs w:val="14"/>
              </w:rPr>
            </w:pPr>
            <w:r w:rsidRPr="00BF62A1">
              <w:rPr>
                <w:sz w:val="14"/>
                <w:szCs w:val="14"/>
              </w:rPr>
              <w:t>218</w:t>
            </w:r>
          </w:p>
        </w:tc>
      </w:tr>
      <w:tr w:rsidR="000F0341" w:rsidRPr="00BF62A1" w14:paraId="7BC2E3E3" w14:textId="77777777" w:rsidTr="00E40B0D">
        <w:trPr>
          <w:trHeight w:val="20"/>
        </w:trPr>
        <w:tc>
          <w:tcPr>
            <w:tcW w:w="782" w:type="pct"/>
            <w:vMerge/>
            <w:tcBorders>
              <w:left w:val="single" w:sz="4" w:space="0" w:color="auto"/>
              <w:bottom w:val="single" w:sz="8" w:space="0" w:color="auto"/>
              <w:right w:val="single" w:sz="4" w:space="0" w:color="auto"/>
            </w:tcBorders>
          </w:tcPr>
          <w:p w14:paraId="2A1A90F9" w14:textId="77777777" w:rsidR="000F0341" w:rsidRPr="00BF62A1" w:rsidRDefault="000F0341" w:rsidP="00E40B0D">
            <w:pPr>
              <w:spacing w:line="240" w:lineRule="auto"/>
              <w:jc w:val="left"/>
              <w:rPr>
                <w:sz w:val="14"/>
                <w:szCs w:val="14"/>
              </w:rPr>
            </w:pPr>
          </w:p>
        </w:tc>
        <w:tc>
          <w:tcPr>
            <w:tcW w:w="468" w:type="pct"/>
            <w:vMerge/>
            <w:tcBorders>
              <w:left w:val="single" w:sz="4" w:space="0" w:color="auto"/>
              <w:bottom w:val="single" w:sz="8" w:space="0" w:color="auto"/>
              <w:right w:val="single" w:sz="4" w:space="0" w:color="auto"/>
            </w:tcBorders>
          </w:tcPr>
          <w:p w14:paraId="58386FBB" w14:textId="77777777" w:rsidR="000F0341" w:rsidRPr="00BF62A1" w:rsidRDefault="000F0341" w:rsidP="00E40B0D">
            <w:pPr>
              <w:spacing w:line="240" w:lineRule="auto"/>
              <w:jc w:val="left"/>
              <w:rPr>
                <w:sz w:val="14"/>
                <w:szCs w:val="14"/>
              </w:rPr>
            </w:pPr>
          </w:p>
        </w:tc>
        <w:tc>
          <w:tcPr>
            <w:tcW w:w="626" w:type="pct"/>
            <w:vMerge/>
            <w:tcBorders>
              <w:left w:val="single" w:sz="4" w:space="0" w:color="auto"/>
              <w:bottom w:val="single" w:sz="8" w:space="0" w:color="auto"/>
              <w:right w:val="single" w:sz="4" w:space="0" w:color="auto"/>
            </w:tcBorders>
          </w:tcPr>
          <w:p w14:paraId="08233985" w14:textId="77777777" w:rsidR="000F0341" w:rsidRPr="00BF62A1" w:rsidRDefault="000F0341" w:rsidP="00E40B0D">
            <w:pPr>
              <w:spacing w:line="240" w:lineRule="auto"/>
              <w:jc w:val="left"/>
              <w:rPr>
                <w:sz w:val="14"/>
                <w:szCs w:val="14"/>
              </w:rPr>
            </w:pPr>
          </w:p>
        </w:tc>
        <w:tc>
          <w:tcPr>
            <w:tcW w:w="624" w:type="pct"/>
            <w:tcBorders>
              <w:top w:val="single" w:sz="4" w:space="0" w:color="auto"/>
              <w:left w:val="single" w:sz="4" w:space="0" w:color="auto"/>
              <w:bottom w:val="single" w:sz="8" w:space="0" w:color="auto"/>
              <w:right w:val="single" w:sz="4" w:space="0" w:color="auto"/>
            </w:tcBorders>
          </w:tcPr>
          <w:p w14:paraId="4A625BF6" w14:textId="77777777" w:rsidR="000F0341" w:rsidRPr="00BF62A1" w:rsidRDefault="000F0341" w:rsidP="00E40B0D">
            <w:pPr>
              <w:spacing w:line="240" w:lineRule="auto"/>
              <w:jc w:val="left"/>
              <w:rPr>
                <w:sz w:val="14"/>
                <w:szCs w:val="14"/>
              </w:rPr>
            </w:pPr>
            <w:r w:rsidRPr="00BF62A1">
              <w:rPr>
                <w:sz w:val="14"/>
                <w:szCs w:val="14"/>
              </w:rPr>
              <w:t>High</w:t>
            </w:r>
          </w:p>
        </w:tc>
        <w:tc>
          <w:tcPr>
            <w:tcW w:w="782" w:type="pct"/>
            <w:tcBorders>
              <w:left w:val="single" w:sz="4" w:space="0" w:color="auto"/>
              <w:bottom w:val="single" w:sz="8" w:space="0" w:color="auto"/>
              <w:right w:val="single" w:sz="4" w:space="0" w:color="auto"/>
            </w:tcBorders>
          </w:tcPr>
          <w:p w14:paraId="3A6ED27F" w14:textId="77777777" w:rsidR="000F0341" w:rsidRPr="00BF62A1" w:rsidRDefault="000F0341" w:rsidP="00E40B0D">
            <w:pPr>
              <w:spacing w:line="240" w:lineRule="auto"/>
              <w:jc w:val="left"/>
              <w:rPr>
                <w:sz w:val="14"/>
                <w:szCs w:val="14"/>
              </w:rPr>
            </w:pPr>
            <w:r w:rsidRPr="00BF62A1">
              <w:rPr>
                <w:sz w:val="14"/>
                <w:szCs w:val="14"/>
              </w:rPr>
              <w:t>≥45</w:t>
            </w:r>
          </w:p>
        </w:tc>
        <w:tc>
          <w:tcPr>
            <w:tcW w:w="739" w:type="pct"/>
            <w:tcBorders>
              <w:left w:val="single" w:sz="4" w:space="0" w:color="auto"/>
              <w:bottom w:val="single" w:sz="8" w:space="0" w:color="auto"/>
              <w:right w:val="single" w:sz="4" w:space="0" w:color="auto"/>
            </w:tcBorders>
          </w:tcPr>
          <w:p w14:paraId="488E1BB7" w14:textId="77777777" w:rsidR="000F0341" w:rsidRPr="00BF62A1" w:rsidRDefault="000F0341" w:rsidP="00E40B0D">
            <w:pPr>
              <w:spacing w:line="240" w:lineRule="auto"/>
              <w:jc w:val="left"/>
              <w:rPr>
                <w:sz w:val="14"/>
                <w:szCs w:val="14"/>
              </w:rPr>
            </w:pPr>
            <w:r w:rsidRPr="00BF62A1">
              <w:rPr>
                <w:sz w:val="14"/>
                <w:szCs w:val="14"/>
              </w:rPr>
              <w:t>5347</w:t>
            </w:r>
          </w:p>
        </w:tc>
        <w:tc>
          <w:tcPr>
            <w:tcW w:w="980" w:type="pct"/>
            <w:tcBorders>
              <w:left w:val="single" w:sz="4" w:space="0" w:color="auto"/>
              <w:bottom w:val="single" w:sz="8" w:space="0" w:color="auto"/>
              <w:right w:val="single" w:sz="4" w:space="0" w:color="auto"/>
            </w:tcBorders>
          </w:tcPr>
          <w:p w14:paraId="0ECA238F" w14:textId="77777777" w:rsidR="000F0341" w:rsidRPr="00BF62A1" w:rsidRDefault="000F0341" w:rsidP="00E40B0D">
            <w:pPr>
              <w:tabs>
                <w:tab w:val="left" w:pos="838"/>
              </w:tabs>
              <w:spacing w:line="240" w:lineRule="auto"/>
              <w:jc w:val="left"/>
              <w:rPr>
                <w:sz w:val="14"/>
                <w:szCs w:val="14"/>
              </w:rPr>
            </w:pPr>
            <w:r w:rsidRPr="00BF62A1">
              <w:rPr>
                <w:sz w:val="14"/>
                <w:szCs w:val="14"/>
              </w:rPr>
              <w:t>66</w:t>
            </w:r>
          </w:p>
        </w:tc>
      </w:tr>
      <w:tr w:rsidR="000F0341" w:rsidRPr="00BF62A1" w14:paraId="62F53D8C" w14:textId="77777777" w:rsidTr="00E40B0D">
        <w:trPr>
          <w:trHeight w:val="20"/>
        </w:trPr>
        <w:tc>
          <w:tcPr>
            <w:tcW w:w="782" w:type="pct"/>
            <w:vMerge w:val="restart"/>
            <w:tcBorders>
              <w:top w:val="single" w:sz="8" w:space="0" w:color="auto"/>
              <w:left w:val="single" w:sz="4" w:space="0" w:color="auto"/>
              <w:right w:val="single" w:sz="4" w:space="0" w:color="auto"/>
            </w:tcBorders>
          </w:tcPr>
          <w:p w14:paraId="7EAD6B7B" w14:textId="77777777" w:rsidR="000F0341" w:rsidRPr="00BF62A1" w:rsidRDefault="000F0341" w:rsidP="00E40B0D">
            <w:pPr>
              <w:spacing w:line="240" w:lineRule="auto"/>
              <w:jc w:val="left"/>
              <w:rPr>
                <w:color w:val="000000"/>
                <w:sz w:val="14"/>
                <w:szCs w:val="14"/>
              </w:rPr>
            </w:pPr>
            <w:r w:rsidRPr="00BF62A1">
              <w:rPr>
                <w:sz w:val="14"/>
                <w:szCs w:val="14"/>
              </w:rPr>
              <w:t xml:space="preserve">Görgec 2021 </w:t>
            </w:r>
            <w:r w:rsidRPr="00BF62A1">
              <w:rPr>
                <w:sz w:val="14"/>
                <w:szCs w:val="14"/>
              </w:rPr>
              <w:fldChar w:fldCharType="begin"/>
            </w:r>
            <w:r>
              <w:rPr>
                <w:sz w:val="14"/>
                <w:szCs w:val="14"/>
              </w:rPr>
              <w:instrText xml:space="preserve"> ADDIN ZOTERO_ITEM CSL_CITATION {"citationID":"phK6aVn6","properties":{"formattedCitation":"[59]","plainCitation":"[59]","noteIndex":0},"citationItems":[{"id":14187,"uris":["http://zotero.org/groups/4983919/items/IP6LJJ3A"],"itemData":{"id":14187,"type":"article-journal","abstract":"BACKGROUND: Based on excellent outcomes from high-volume centres, laparoscopic liver resection is increasingly being adopted into nationwide practice which typically includes low-medium volume centres. It is unknown how the use and outcome of laparoscopic liver resection compare between high-volume centres and low-medium volume centres. This study aimed to compare use and outcome of laparoscopic liver resection in three leading European high-volume centres and nationwide practice in the Netherlands. METHOD: An international, retrospective multicentre cohort study including data from three European high-volume centres (Oslo, Southampton and Milan) and all 20 centres in the Netherlands performing laparoscopic liver resection (low-medium volume practice) from January 2011 to December 2016. A high-volume centre is defined as a centre performing &gt;50 laparoscopic liver resections per year. Patients were retrospectively stratified into low, moderate- and high-risk Southampton difficulty score groups. RESULTS: A total of 2425 patients were included (1540 high-volume; 885 low-medium volume). The median annual proportion of laparoscopic liver resection was 42.9 per cent in high-volume centres and 7.2 per cent in low-medium volume centres. Patients in the high-volume centres had a lower conversion rate (7.4 versus 13.1 per cent; P &lt; 0.001) with less intraoperative incidents (9.3 versus 14.6 per cent; P = 0.002) as compared to low-medium volume centres. Whereas postoperative morbidity and mortality rates were similar in the two groups, a lower reintervention rate (5.1 versus 7.2 per cent; P = 0.034) and a shorter postoperative hospital stay (3 versus 5 days; P &lt; 0.001) were observed in the high-volume centres as compared to the low-medium volume centres. In each Southampton difficulty score group, the conversion rate was lower and hospital stay shorter in high-volume centres. The rate of intraoperative incidents did not differ in the low-risk group, whilst in the moderate-risk and high-risk groups this rate was lower in high-volume centres (absolute difference 6.7 and 14.2 per cent; all P &lt; 0.004). CONCLUSION: High-volume expert centres had a sixfold higher use of laparoscopic liver resection, less conversions, and shorter hospital stay, as compared to a nationwide low-medium volume practice. Stratification into Southampton difficulty score risk groups identified some differences but largely outcomes appeared better for high-volume centres in each risk group.","container-title":"Br J Surg","DOI":"10.1093/bjs/znab096","ISSN":"0007-1323","issue":"8","language":"eng","note":"publisher-place: Department of Surgery, Cancer Centre Amsterdam, Amsterdam UMC, University of Amsterdam, the Netherlands. Department of Surgery, University Hospital Southampton NHS Foundation Trust, Southampton, UK. Department of Surgery, Fondazione Poliambulanza - Istituto Ospedaliero, Brescia, Italy. Department of Surgery, Maastricht University Medical Centre+, Maastricht, the Netherlands and RWTH Aachen, Germany. Hepatobiliary Surgery Division, IRCCS San Raffaele Hospital, Milan, Italy. Department of Hepato-Pancreato-Biliary Surgery, Oslo University Hospital, Oslo, Norway. The Intervention Centre, Oslo University Hospital - Rikshospitalet, Oslo, Norway. Institute of Clinical Medicine, Medical Faculty, University of Oslo, Norway. Department of Surgery, Jeroen Bosch Hospital, 's-Hertogenbosch, the Netherlands. Department of Surgery, Leiden University Medical Centre, Leiden, the Netherlands. Department of Surgery, University Medical Centre Groningen, Groningen, the Netherlands. Department of Surgery, IJsselland Hospital, Capelle aan den IJssel, the Netherlands. Department of Surgery, Meander Medical Centre, Amersfoort, the Netherlands. Department of Surgery, OLVG, Amsterdam, the Netherlands. Department of Surgery, Amphia Hospital, Breda, the Netherlands. Department of Surgery, University Medical Centre Utrecht, Utrecht, the Netherlands. Department of Surgery, Cancer Centre Amsterdam, Amsterdam UMC, Vrije Universiteit Amsterdam, the Netherlands. Department of Surgery, Medical Spectrum Twente, Enschede, the Netherlands. Department of Surgery, Máxima Medical Centre, Veldhoven, the Netherlands. Department of Surgery, Isala, Zwolle, the Netherlands. Department of Surgery, Radboud University Medical Centre, Nijmegen, the Netherlands. Department of Surgery, St. Antonius Hospital, Nieuwegein, the Netherlands. Department of Surgery, Erasmus Medical Centre, Rotterdam, the Netherlands. Department of Surgery, Albert Schweitzer Hospital, Dordrecht, the Netherlands. GROW - School for Oncology &amp; Developmental Biology, Maastricht University, Maastricht, The Netherlands. Department of General and Visceral Surgery, University Hospital Aachen, Aachen, Germany.","page":"983-990","title":"Comparing practice and outcome of laparoscopic liver resection between high-volume expert centres and nationwide low-to-medium volume centres","volume":"108","author":[{"family":"Görgec","given":"B."},{"family":"Fichtinger","given":"R. S."},{"family":"Ratti","given":"F."},{"family":"Aghayan","given":"D."},{"family":"Van der Poel","given":"M. J."},{"family":"Al-Jarrah","given":"R."},{"family":"Armstrong","given":"T."},{"family":"Cipriani","given":"F."},{"family":"Fretland Å","given":"A."},{"family":"Suhool","given":"A."},{"family":"Bemelmans","given":"M."},{"family":"Bosscha","given":"K."},{"family":"Braat","given":"A. E."},{"family":"De Boer","given":"M. T."},{"family":"Dejong","given":"C. H. C."},{"family":"Doornebosch","given":"P. G."},{"family":"Draaisma","given":"W. A."},{"family":"Gerhards","given":"M. F."},{"family":"Gobardhan","given":"P. D."},{"family":"Hagendoorn","given":"J."},{"family":"Kazemier","given":"G."},{"family":"Klaase","given":"J."},{"family":"Leclercq","given":"W. K. G."},{"family":"Liem","given":"M. S."},{"family":"Lips","given":"D. J."},{"family":"Marsman","given":"H. A."},{"family":"Mieog","given":"J. S. D."},{"family":"Molenaar","given":"Q. I."},{"family":"Nieuwenhuijs","given":"V. B."},{"family":"Nota","given":"C. L."},{"family":"Patijn","given":"G. A."},{"family":"Rijken","given":"A. M."},{"family":"Slooter","given":"G. D."},{"family":"Stommel","given":"M. W. J."},{"family":"Swijnenburg","given":"R. J."},{"family":"Tanis","given":"P. J."},{"family":"Te Riele","given":"W. W."},{"family":"Terkivatan","given":"T."},{"family":"Van den Tol","given":"P. M. P."},{"family":"Van den Boezem","given":"P. B."},{"family":"Van der Hoeven","given":"J. A."},{"family":"Vermaas","given":"M."},{"family":"Edwin","given":"B."},{"family":"Aldrighetti","given":"L. A."},{"family":"Van Dam","given":"R. M."},{"family":"Abu Hilal","given":"M."},{"family":"Besselink","given":"M. G."}],"issued":{"date-parts":[["2021",8]]}}}],"schema":"https://github.com/citation-style-language/schema/raw/master/csl-citation.json"} </w:instrText>
            </w:r>
            <w:r w:rsidRPr="00BF62A1">
              <w:rPr>
                <w:sz w:val="14"/>
                <w:szCs w:val="14"/>
              </w:rPr>
              <w:fldChar w:fldCharType="separate"/>
            </w:r>
            <w:r w:rsidRPr="004125CE">
              <w:rPr>
                <w:sz w:val="14"/>
              </w:rPr>
              <w:t>[59]</w:t>
            </w:r>
            <w:r w:rsidRPr="00BF62A1">
              <w:rPr>
                <w:sz w:val="14"/>
                <w:szCs w:val="14"/>
              </w:rPr>
              <w:fldChar w:fldCharType="end"/>
            </w:r>
          </w:p>
        </w:tc>
        <w:tc>
          <w:tcPr>
            <w:tcW w:w="468" w:type="pct"/>
            <w:vMerge w:val="restart"/>
            <w:tcBorders>
              <w:top w:val="single" w:sz="8" w:space="0" w:color="auto"/>
              <w:left w:val="single" w:sz="4" w:space="0" w:color="auto"/>
              <w:right w:val="single" w:sz="4" w:space="0" w:color="auto"/>
            </w:tcBorders>
          </w:tcPr>
          <w:p w14:paraId="5E013CCD" w14:textId="77777777" w:rsidR="000F0341" w:rsidRPr="00BF62A1" w:rsidRDefault="000F0341" w:rsidP="00E40B0D">
            <w:pPr>
              <w:spacing w:line="240" w:lineRule="auto"/>
              <w:jc w:val="left"/>
              <w:rPr>
                <w:color w:val="000000" w:themeColor="text1"/>
                <w:sz w:val="14"/>
                <w:szCs w:val="14"/>
              </w:rPr>
            </w:pPr>
            <w:r w:rsidRPr="00BF62A1">
              <w:rPr>
                <w:color w:val="000000" w:themeColor="text1"/>
                <w:sz w:val="14"/>
                <w:szCs w:val="14"/>
              </w:rPr>
              <w:t>2425</w:t>
            </w:r>
          </w:p>
        </w:tc>
        <w:tc>
          <w:tcPr>
            <w:tcW w:w="626" w:type="pct"/>
            <w:vMerge w:val="restart"/>
            <w:tcBorders>
              <w:top w:val="single" w:sz="8" w:space="0" w:color="auto"/>
              <w:left w:val="single" w:sz="4" w:space="0" w:color="auto"/>
              <w:right w:val="single" w:sz="4" w:space="0" w:color="auto"/>
            </w:tcBorders>
          </w:tcPr>
          <w:p w14:paraId="70866CB2" w14:textId="77777777" w:rsidR="000F0341" w:rsidRPr="00BF62A1" w:rsidRDefault="000F0341" w:rsidP="00E40B0D">
            <w:pPr>
              <w:spacing w:line="240" w:lineRule="auto"/>
              <w:jc w:val="left"/>
              <w:rPr>
                <w:sz w:val="14"/>
                <w:szCs w:val="14"/>
              </w:rPr>
            </w:pPr>
            <w:r w:rsidRPr="00BF62A1">
              <w:rPr>
                <w:sz w:val="14"/>
                <w:szCs w:val="14"/>
              </w:rPr>
              <w:t>-</w:t>
            </w:r>
          </w:p>
        </w:tc>
        <w:tc>
          <w:tcPr>
            <w:tcW w:w="624" w:type="pct"/>
            <w:tcBorders>
              <w:top w:val="single" w:sz="8" w:space="0" w:color="auto"/>
              <w:left w:val="single" w:sz="4" w:space="0" w:color="auto"/>
              <w:bottom w:val="single" w:sz="4" w:space="0" w:color="auto"/>
              <w:right w:val="single" w:sz="4" w:space="0" w:color="auto"/>
            </w:tcBorders>
          </w:tcPr>
          <w:p w14:paraId="7004DBE7" w14:textId="77777777" w:rsidR="000F0341" w:rsidRPr="00BF62A1" w:rsidRDefault="000F0341" w:rsidP="00E40B0D">
            <w:pPr>
              <w:spacing w:line="240" w:lineRule="auto"/>
              <w:jc w:val="left"/>
              <w:rPr>
                <w:sz w:val="14"/>
                <w:szCs w:val="14"/>
              </w:rPr>
            </w:pPr>
            <w:r w:rsidRPr="00BF62A1">
              <w:rPr>
                <w:sz w:val="14"/>
                <w:szCs w:val="14"/>
              </w:rPr>
              <w:t>Low</w:t>
            </w:r>
          </w:p>
        </w:tc>
        <w:tc>
          <w:tcPr>
            <w:tcW w:w="782" w:type="pct"/>
            <w:tcBorders>
              <w:top w:val="single" w:sz="8" w:space="0" w:color="auto"/>
              <w:left w:val="single" w:sz="4" w:space="0" w:color="auto"/>
              <w:right w:val="single" w:sz="4" w:space="0" w:color="auto"/>
            </w:tcBorders>
          </w:tcPr>
          <w:p w14:paraId="057514D9" w14:textId="77777777" w:rsidR="000F0341" w:rsidRPr="00BF62A1" w:rsidRDefault="000F0341" w:rsidP="00E40B0D">
            <w:pPr>
              <w:spacing w:line="240" w:lineRule="auto"/>
              <w:jc w:val="left"/>
              <w:rPr>
                <w:sz w:val="14"/>
                <w:szCs w:val="14"/>
              </w:rPr>
            </w:pPr>
            <w:r w:rsidRPr="00BF62A1">
              <w:rPr>
                <w:sz w:val="14"/>
                <w:szCs w:val="14"/>
              </w:rPr>
              <w:t>&lt;50</w:t>
            </w:r>
          </w:p>
        </w:tc>
        <w:tc>
          <w:tcPr>
            <w:tcW w:w="739" w:type="pct"/>
            <w:tcBorders>
              <w:top w:val="single" w:sz="8" w:space="0" w:color="auto"/>
              <w:left w:val="single" w:sz="4" w:space="0" w:color="auto"/>
              <w:right w:val="single" w:sz="4" w:space="0" w:color="auto"/>
            </w:tcBorders>
          </w:tcPr>
          <w:p w14:paraId="77AD79E8" w14:textId="77777777" w:rsidR="000F0341" w:rsidRPr="00BF62A1" w:rsidRDefault="000F0341" w:rsidP="00E40B0D">
            <w:pPr>
              <w:spacing w:line="240" w:lineRule="auto"/>
              <w:jc w:val="left"/>
              <w:rPr>
                <w:sz w:val="14"/>
                <w:szCs w:val="14"/>
              </w:rPr>
            </w:pPr>
            <w:r w:rsidRPr="00BF62A1">
              <w:rPr>
                <w:sz w:val="14"/>
                <w:szCs w:val="14"/>
              </w:rPr>
              <w:t>1540</w:t>
            </w:r>
          </w:p>
        </w:tc>
        <w:tc>
          <w:tcPr>
            <w:tcW w:w="980" w:type="pct"/>
            <w:tcBorders>
              <w:top w:val="single" w:sz="8" w:space="0" w:color="auto"/>
              <w:left w:val="single" w:sz="4" w:space="0" w:color="auto"/>
              <w:right w:val="single" w:sz="4" w:space="0" w:color="auto"/>
            </w:tcBorders>
          </w:tcPr>
          <w:p w14:paraId="552AB882" w14:textId="77777777" w:rsidR="000F0341" w:rsidRPr="00BF62A1" w:rsidRDefault="000F0341" w:rsidP="00E40B0D">
            <w:pPr>
              <w:tabs>
                <w:tab w:val="left" w:pos="838"/>
              </w:tabs>
              <w:spacing w:line="240" w:lineRule="auto"/>
              <w:jc w:val="left"/>
              <w:rPr>
                <w:sz w:val="14"/>
                <w:szCs w:val="14"/>
              </w:rPr>
            </w:pPr>
            <w:r w:rsidRPr="00BF62A1">
              <w:rPr>
                <w:sz w:val="14"/>
                <w:szCs w:val="14"/>
              </w:rPr>
              <w:t>20</w:t>
            </w:r>
          </w:p>
        </w:tc>
      </w:tr>
      <w:tr w:rsidR="000F0341" w:rsidRPr="00BF62A1" w14:paraId="7A67328B" w14:textId="77777777" w:rsidTr="00E40B0D">
        <w:trPr>
          <w:trHeight w:val="20"/>
        </w:trPr>
        <w:tc>
          <w:tcPr>
            <w:tcW w:w="782" w:type="pct"/>
            <w:vMerge/>
            <w:tcBorders>
              <w:left w:val="single" w:sz="4" w:space="0" w:color="auto"/>
              <w:bottom w:val="single" w:sz="8" w:space="0" w:color="auto"/>
              <w:right w:val="single" w:sz="4" w:space="0" w:color="auto"/>
            </w:tcBorders>
          </w:tcPr>
          <w:p w14:paraId="75471A65" w14:textId="77777777" w:rsidR="000F0341" w:rsidRPr="00BF62A1" w:rsidRDefault="000F0341" w:rsidP="00E40B0D">
            <w:pPr>
              <w:spacing w:line="240" w:lineRule="auto"/>
              <w:jc w:val="left"/>
              <w:rPr>
                <w:sz w:val="14"/>
                <w:szCs w:val="14"/>
              </w:rPr>
            </w:pPr>
          </w:p>
        </w:tc>
        <w:tc>
          <w:tcPr>
            <w:tcW w:w="468" w:type="pct"/>
            <w:vMerge/>
            <w:tcBorders>
              <w:left w:val="single" w:sz="4" w:space="0" w:color="auto"/>
              <w:bottom w:val="single" w:sz="8" w:space="0" w:color="auto"/>
              <w:right w:val="single" w:sz="4" w:space="0" w:color="auto"/>
            </w:tcBorders>
          </w:tcPr>
          <w:p w14:paraId="43CC7C2B" w14:textId="77777777" w:rsidR="000F0341" w:rsidRPr="00BF62A1" w:rsidRDefault="000F0341" w:rsidP="00E40B0D">
            <w:pPr>
              <w:spacing w:line="240" w:lineRule="auto"/>
              <w:jc w:val="left"/>
              <w:rPr>
                <w:color w:val="000000" w:themeColor="text1"/>
                <w:sz w:val="14"/>
                <w:szCs w:val="14"/>
              </w:rPr>
            </w:pPr>
          </w:p>
        </w:tc>
        <w:tc>
          <w:tcPr>
            <w:tcW w:w="626" w:type="pct"/>
            <w:vMerge/>
            <w:tcBorders>
              <w:left w:val="single" w:sz="4" w:space="0" w:color="auto"/>
              <w:bottom w:val="single" w:sz="8" w:space="0" w:color="auto"/>
              <w:right w:val="single" w:sz="4" w:space="0" w:color="auto"/>
            </w:tcBorders>
          </w:tcPr>
          <w:p w14:paraId="16C4519E" w14:textId="77777777" w:rsidR="000F0341" w:rsidRPr="00BF62A1" w:rsidRDefault="000F0341" w:rsidP="00E40B0D">
            <w:pPr>
              <w:spacing w:line="240" w:lineRule="auto"/>
              <w:jc w:val="left"/>
              <w:rPr>
                <w:sz w:val="14"/>
                <w:szCs w:val="14"/>
              </w:rPr>
            </w:pPr>
          </w:p>
        </w:tc>
        <w:tc>
          <w:tcPr>
            <w:tcW w:w="624" w:type="pct"/>
            <w:tcBorders>
              <w:top w:val="single" w:sz="4" w:space="0" w:color="auto"/>
              <w:left w:val="single" w:sz="4" w:space="0" w:color="auto"/>
              <w:bottom w:val="single" w:sz="8" w:space="0" w:color="auto"/>
              <w:right w:val="single" w:sz="4" w:space="0" w:color="auto"/>
            </w:tcBorders>
          </w:tcPr>
          <w:p w14:paraId="047BE5A1" w14:textId="77777777" w:rsidR="000F0341" w:rsidRPr="00BF62A1" w:rsidRDefault="000F0341" w:rsidP="00E40B0D">
            <w:pPr>
              <w:spacing w:line="240" w:lineRule="auto"/>
              <w:jc w:val="left"/>
              <w:rPr>
                <w:sz w:val="14"/>
                <w:szCs w:val="14"/>
              </w:rPr>
            </w:pPr>
            <w:r w:rsidRPr="00BF62A1">
              <w:rPr>
                <w:sz w:val="14"/>
                <w:szCs w:val="14"/>
              </w:rPr>
              <w:t>High</w:t>
            </w:r>
          </w:p>
        </w:tc>
        <w:tc>
          <w:tcPr>
            <w:tcW w:w="782" w:type="pct"/>
            <w:tcBorders>
              <w:left w:val="single" w:sz="4" w:space="0" w:color="auto"/>
              <w:bottom w:val="single" w:sz="8" w:space="0" w:color="auto"/>
              <w:right w:val="single" w:sz="4" w:space="0" w:color="auto"/>
            </w:tcBorders>
          </w:tcPr>
          <w:p w14:paraId="2025130E" w14:textId="77777777" w:rsidR="000F0341" w:rsidRPr="00BF62A1" w:rsidRDefault="000F0341" w:rsidP="00E40B0D">
            <w:pPr>
              <w:spacing w:line="240" w:lineRule="auto"/>
              <w:jc w:val="left"/>
              <w:rPr>
                <w:sz w:val="14"/>
                <w:szCs w:val="14"/>
              </w:rPr>
            </w:pPr>
            <w:r w:rsidRPr="00BF62A1">
              <w:rPr>
                <w:sz w:val="14"/>
                <w:szCs w:val="14"/>
              </w:rPr>
              <w:t>≥50</w:t>
            </w:r>
          </w:p>
        </w:tc>
        <w:tc>
          <w:tcPr>
            <w:tcW w:w="739" w:type="pct"/>
            <w:tcBorders>
              <w:left w:val="single" w:sz="4" w:space="0" w:color="auto"/>
              <w:bottom w:val="single" w:sz="8" w:space="0" w:color="auto"/>
              <w:right w:val="single" w:sz="4" w:space="0" w:color="auto"/>
            </w:tcBorders>
          </w:tcPr>
          <w:p w14:paraId="4958B117" w14:textId="77777777" w:rsidR="000F0341" w:rsidRPr="00BF62A1" w:rsidRDefault="000F0341" w:rsidP="00E40B0D">
            <w:pPr>
              <w:spacing w:line="240" w:lineRule="auto"/>
              <w:jc w:val="left"/>
              <w:rPr>
                <w:sz w:val="14"/>
                <w:szCs w:val="14"/>
              </w:rPr>
            </w:pPr>
            <w:r w:rsidRPr="00BF62A1">
              <w:rPr>
                <w:sz w:val="14"/>
                <w:szCs w:val="14"/>
              </w:rPr>
              <w:t>885</w:t>
            </w:r>
          </w:p>
        </w:tc>
        <w:tc>
          <w:tcPr>
            <w:tcW w:w="980" w:type="pct"/>
            <w:tcBorders>
              <w:left w:val="single" w:sz="4" w:space="0" w:color="auto"/>
              <w:bottom w:val="single" w:sz="8" w:space="0" w:color="auto"/>
              <w:right w:val="single" w:sz="4" w:space="0" w:color="auto"/>
            </w:tcBorders>
          </w:tcPr>
          <w:p w14:paraId="6A8E9140" w14:textId="77777777" w:rsidR="000F0341" w:rsidRPr="00BF62A1" w:rsidRDefault="000F0341" w:rsidP="00E40B0D">
            <w:pPr>
              <w:tabs>
                <w:tab w:val="left" w:pos="838"/>
              </w:tabs>
              <w:spacing w:line="240" w:lineRule="auto"/>
              <w:jc w:val="left"/>
              <w:rPr>
                <w:sz w:val="14"/>
                <w:szCs w:val="14"/>
              </w:rPr>
            </w:pPr>
            <w:r w:rsidRPr="00BF62A1">
              <w:rPr>
                <w:sz w:val="14"/>
                <w:szCs w:val="14"/>
              </w:rPr>
              <w:t>3</w:t>
            </w:r>
          </w:p>
        </w:tc>
      </w:tr>
      <w:tr w:rsidR="000F0341" w:rsidRPr="00BF62A1" w14:paraId="22DF6026" w14:textId="77777777" w:rsidTr="00E40B0D">
        <w:trPr>
          <w:trHeight w:val="20"/>
        </w:trPr>
        <w:tc>
          <w:tcPr>
            <w:tcW w:w="782" w:type="pct"/>
            <w:vMerge w:val="restart"/>
            <w:tcBorders>
              <w:top w:val="single" w:sz="8" w:space="0" w:color="auto"/>
              <w:left w:val="single" w:sz="4" w:space="0" w:color="auto"/>
              <w:right w:val="single" w:sz="4" w:space="0" w:color="auto"/>
            </w:tcBorders>
          </w:tcPr>
          <w:p w14:paraId="640AE6B8" w14:textId="77777777" w:rsidR="000F0341" w:rsidRPr="00BF62A1" w:rsidRDefault="000F0341" w:rsidP="00E40B0D">
            <w:pPr>
              <w:spacing w:line="240" w:lineRule="auto"/>
              <w:jc w:val="left"/>
              <w:rPr>
                <w:color w:val="000000"/>
                <w:sz w:val="14"/>
                <w:szCs w:val="14"/>
              </w:rPr>
            </w:pPr>
            <w:r w:rsidRPr="00BF62A1">
              <w:rPr>
                <w:sz w:val="14"/>
                <w:szCs w:val="14"/>
              </w:rPr>
              <w:t xml:space="preserve">van der Poel 2019 </w:t>
            </w:r>
            <w:r w:rsidRPr="00BF62A1">
              <w:rPr>
                <w:sz w:val="14"/>
                <w:szCs w:val="14"/>
              </w:rPr>
              <w:fldChar w:fldCharType="begin"/>
            </w:r>
            <w:r>
              <w:rPr>
                <w:sz w:val="14"/>
                <w:szCs w:val="14"/>
              </w:rPr>
              <w:instrText xml:space="preserve"> ADDIN ZOTERO_ITEM CSL_CITATION {"citationID":"FHkjhXmf","properties":{"formattedCitation":"[60]","plainCitation":"[60]","noteIndex":0},"citationItems":[{"id":14332,"uris":["http://zotero.org/groups/4983919/items/EKW2SXW3"],"itemData":{"id":14332,"type":"article-journal","abstract":"BACKGROUND: While most of the evidence on minimally invasive liver surgery (MILS) is derived from expert centers, nationwide outcomes remain underreported. This study aimed to evaluate the implementation and outcome of MILS on a nationwide scale. METHODS: Electronic patient files were reviewed in all Dutch liver surgery centers and all patients undergoing MILS between 2011 and 2016 were selected. Operative outcomes were stratified based on extent of the resection and annual MILS volume. RESULTS: Overall, 6951 liver resections were included, with a median annual volume of 50 resections per center. The overall use of MILS was 13% (n = 916), which varied from 3% to 36% (P &lt; 0.001) between centers. The nationwide use of MILS increased from 6% in 2011 to 23% in 2016 (P &lt; 0.001). Outcomes of minor MILS were comparable with international studies (conversion 0-13%, mortality &lt;1%). In centers which performed ≥20 MILS annually, major MILS was associated with less conversions (14 (11%) versus 41 (30%), P &lt; 0.001), shorter operating time (184 (117-239) versus 200 (139-308) minutes, P = 0.010), and less overall complications (37 (30%) versus 58 (42%), P = 0.040). CONCLUSION: The nationwide use of MILS is increasing, although large variation remains between centers. Outcomes of major MILS are better in centers with higher volumes.","container-title":"HPB (Oxford)","DOI":"10.1016/j.hpb.2019.05.002","ISSN":"1365-182x","issue":"12","language":"eng","page":"1734-1743","title":"Implementation and outcome of minor and major minimally invasive liver surgery in the Netherlands","volume":"21","author":[{"family":"Poel","given":"M. J.","non-dropping-particle":"van der"},{"family":"Fichtinger","given":"R. S."},{"family":"Bemelmans","given":"M."},{"family":"Bosscha","given":"K."},{"family":"Braat","given":"A. E."},{"family":"Boer","given":"M. T.","non-dropping-particle":"de"},{"family":"Dejong","given":"C. H. C."},{"family":"Doornebosch","given":"P. G."},{"family":"Draaisma","given":"W. A."},{"family":"Gerhards","given":"M. F."},{"family":"Gobardhan","given":"P. D."},{"family":"Gorgec","given":"B."},{"family":"Hagendoorn","given":"J."},{"family":"Kazemier","given":"G."},{"family":"Klaase","given":"J."},{"family":"Leclercq","given":"W. K. G."},{"family":"Liem","given":"M. S."},{"family":"Lips","given":"D. J."},{"family":"Marsman","given":"H. A."},{"family":"Mieog","given":"J. S. D."},{"family":"Molenaar","given":"Q. I."},{"family":"Nieuwenhuijs","given":"V. B."},{"family":"Nota","given":"C. L."},{"family":"Patijn","given":"G. A."},{"family":"Rijken","given":"A. M."},{"family":"Slooter","given":"G. D."},{"family":"Stommel","given":"M. W. J."},{"family":"Swijnenburg","given":"R. J."},{"family":"Tanis","given":"P. J."},{"family":"Te Riele","given":"W. W."},{"family":"Terkivatan","given":"T."},{"family":"Tol","given":"P. M.","non-dropping-particle":"van den"},{"family":"Boezem","given":"P. B.","non-dropping-particle":"van den"},{"family":"Hoeven","given":"J. A.","non-dropping-particle":"van der"},{"family":"Vermaas","given":"M."},{"family":"Abu Hilal","given":"M."},{"family":"Dam","given":"R. M.","non-dropping-particle":"van"},{"family":"Besselink","given":"M. G."}],"issued":{"date-parts":[["2019",12]]}}}],"schema":"https://github.com/citation-style-language/schema/raw/master/csl-citation.json"} </w:instrText>
            </w:r>
            <w:r w:rsidRPr="00BF62A1">
              <w:rPr>
                <w:sz w:val="14"/>
                <w:szCs w:val="14"/>
              </w:rPr>
              <w:fldChar w:fldCharType="separate"/>
            </w:r>
            <w:r w:rsidRPr="004125CE">
              <w:rPr>
                <w:sz w:val="14"/>
              </w:rPr>
              <w:t>[60]</w:t>
            </w:r>
            <w:r w:rsidRPr="00BF62A1">
              <w:rPr>
                <w:sz w:val="14"/>
                <w:szCs w:val="14"/>
              </w:rPr>
              <w:fldChar w:fldCharType="end"/>
            </w:r>
          </w:p>
        </w:tc>
        <w:tc>
          <w:tcPr>
            <w:tcW w:w="468" w:type="pct"/>
            <w:vMerge w:val="restart"/>
            <w:tcBorders>
              <w:top w:val="single" w:sz="8" w:space="0" w:color="auto"/>
              <w:left w:val="single" w:sz="4" w:space="0" w:color="auto"/>
              <w:right w:val="single" w:sz="4" w:space="0" w:color="auto"/>
            </w:tcBorders>
          </w:tcPr>
          <w:p w14:paraId="11421429" w14:textId="77777777" w:rsidR="000F0341" w:rsidRPr="00BF62A1" w:rsidRDefault="000F0341" w:rsidP="00E40B0D">
            <w:pPr>
              <w:spacing w:line="240" w:lineRule="auto"/>
              <w:jc w:val="left"/>
              <w:rPr>
                <w:sz w:val="14"/>
                <w:szCs w:val="14"/>
                <w:vertAlign w:val="superscript"/>
              </w:rPr>
            </w:pPr>
            <w:r w:rsidRPr="00BF62A1">
              <w:rPr>
                <w:sz w:val="14"/>
                <w:szCs w:val="14"/>
              </w:rPr>
              <w:t>916</w:t>
            </w:r>
          </w:p>
        </w:tc>
        <w:tc>
          <w:tcPr>
            <w:tcW w:w="626" w:type="pct"/>
            <w:vMerge w:val="restart"/>
            <w:tcBorders>
              <w:top w:val="single" w:sz="8" w:space="0" w:color="auto"/>
              <w:left w:val="single" w:sz="4" w:space="0" w:color="auto"/>
              <w:right w:val="single" w:sz="4" w:space="0" w:color="auto"/>
            </w:tcBorders>
          </w:tcPr>
          <w:p w14:paraId="2F0C3147" w14:textId="77777777" w:rsidR="000F0341" w:rsidRPr="00BF62A1" w:rsidRDefault="000F0341" w:rsidP="00E40B0D">
            <w:pPr>
              <w:spacing w:line="240" w:lineRule="auto"/>
              <w:jc w:val="left"/>
              <w:rPr>
                <w:sz w:val="14"/>
                <w:szCs w:val="14"/>
              </w:rPr>
            </w:pPr>
            <w:r w:rsidRPr="00BF62A1">
              <w:rPr>
                <w:sz w:val="14"/>
                <w:szCs w:val="14"/>
              </w:rPr>
              <w:t>-</w:t>
            </w:r>
          </w:p>
        </w:tc>
        <w:tc>
          <w:tcPr>
            <w:tcW w:w="624" w:type="pct"/>
            <w:tcBorders>
              <w:top w:val="single" w:sz="8" w:space="0" w:color="auto"/>
              <w:left w:val="single" w:sz="4" w:space="0" w:color="auto"/>
              <w:bottom w:val="single" w:sz="4" w:space="0" w:color="auto"/>
              <w:right w:val="single" w:sz="4" w:space="0" w:color="auto"/>
            </w:tcBorders>
          </w:tcPr>
          <w:p w14:paraId="01CB361B" w14:textId="77777777" w:rsidR="000F0341" w:rsidRPr="00BF62A1" w:rsidRDefault="000F0341" w:rsidP="00E40B0D">
            <w:pPr>
              <w:spacing w:line="240" w:lineRule="auto"/>
              <w:jc w:val="left"/>
              <w:rPr>
                <w:sz w:val="14"/>
                <w:szCs w:val="14"/>
              </w:rPr>
            </w:pPr>
            <w:r w:rsidRPr="00BF62A1">
              <w:rPr>
                <w:sz w:val="14"/>
                <w:szCs w:val="14"/>
              </w:rPr>
              <w:t>Low</w:t>
            </w:r>
          </w:p>
        </w:tc>
        <w:tc>
          <w:tcPr>
            <w:tcW w:w="782" w:type="pct"/>
            <w:tcBorders>
              <w:top w:val="single" w:sz="8" w:space="0" w:color="auto"/>
              <w:left w:val="single" w:sz="4" w:space="0" w:color="auto"/>
              <w:right w:val="single" w:sz="4" w:space="0" w:color="auto"/>
            </w:tcBorders>
          </w:tcPr>
          <w:p w14:paraId="6BE75DF5" w14:textId="77777777" w:rsidR="000F0341" w:rsidRPr="00BF62A1" w:rsidRDefault="000F0341" w:rsidP="00E40B0D">
            <w:pPr>
              <w:spacing w:line="240" w:lineRule="auto"/>
              <w:jc w:val="left"/>
              <w:rPr>
                <w:sz w:val="14"/>
                <w:szCs w:val="14"/>
              </w:rPr>
            </w:pPr>
            <w:r w:rsidRPr="00BF62A1">
              <w:rPr>
                <w:sz w:val="14"/>
                <w:szCs w:val="14"/>
              </w:rPr>
              <w:t>&lt;20</w:t>
            </w:r>
          </w:p>
        </w:tc>
        <w:tc>
          <w:tcPr>
            <w:tcW w:w="739" w:type="pct"/>
            <w:tcBorders>
              <w:top w:val="single" w:sz="8" w:space="0" w:color="auto"/>
              <w:left w:val="single" w:sz="4" w:space="0" w:color="auto"/>
              <w:right w:val="single" w:sz="4" w:space="0" w:color="auto"/>
            </w:tcBorders>
          </w:tcPr>
          <w:p w14:paraId="260C6A08" w14:textId="77777777" w:rsidR="000F0341" w:rsidRPr="00BF62A1" w:rsidRDefault="000F0341" w:rsidP="00E40B0D">
            <w:pPr>
              <w:spacing w:line="240" w:lineRule="auto"/>
              <w:jc w:val="left"/>
              <w:rPr>
                <w:sz w:val="14"/>
                <w:szCs w:val="14"/>
              </w:rPr>
            </w:pPr>
            <w:r w:rsidRPr="00BF62A1">
              <w:rPr>
                <w:sz w:val="14"/>
                <w:szCs w:val="14"/>
              </w:rPr>
              <w:t>137</w:t>
            </w:r>
          </w:p>
        </w:tc>
        <w:tc>
          <w:tcPr>
            <w:tcW w:w="980" w:type="pct"/>
            <w:vMerge w:val="restart"/>
            <w:tcBorders>
              <w:top w:val="single" w:sz="8" w:space="0" w:color="auto"/>
              <w:left w:val="single" w:sz="4" w:space="0" w:color="auto"/>
              <w:right w:val="single" w:sz="4" w:space="0" w:color="auto"/>
            </w:tcBorders>
          </w:tcPr>
          <w:p w14:paraId="454C8036" w14:textId="77777777" w:rsidR="000F0341" w:rsidRPr="00BF62A1" w:rsidRDefault="000F0341" w:rsidP="00E40B0D">
            <w:pPr>
              <w:spacing w:line="240" w:lineRule="auto"/>
              <w:jc w:val="left"/>
              <w:rPr>
                <w:sz w:val="14"/>
                <w:szCs w:val="14"/>
              </w:rPr>
            </w:pPr>
            <w:r w:rsidRPr="00BF62A1">
              <w:rPr>
                <w:sz w:val="14"/>
                <w:szCs w:val="14"/>
              </w:rPr>
              <w:t>2014-2016: 19, 15, 14; 2014-2016: 1, 5, 6</w:t>
            </w:r>
          </w:p>
        </w:tc>
      </w:tr>
      <w:tr w:rsidR="000F0341" w:rsidRPr="00BF62A1" w14:paraId="15F20186" w14:textId="77777777" w:rsidTr="00E40B0D">
        <w:trPr>
          <w:trHeight w:val="20"/>
        </w:trPr>
        <w:tc>
          <w:tcPr>
            <w:tcW w:w="782" w:type="pct"/>
            <w:vMerge/>
            <w:tcBorders>
              <w:left w:val="single" w:sz="4" w:space="0" w:color="auto"/>
              <w:bottom w:val="single" w:sz="4" w:space="0" w:color="auto"/>
              <w:right w:val="single" w:sz="4" w:space="0" w:color="auto"/>
            </w:tcBorders>
          </w:tcPr>
          <w:p w14:paraId="6E78650C" w14:textId="77777777" w:rsidR="000F0341" w:rsidRPr="00BF62A1" w:rsidRDefault="000F0341" w:rsidP="00E40B0D">
            <w:pPr>
              <w:spacing w:line="240" w:lineRule="auto"/>
              <w:jc w:val="left"/>
              <w:rPr>
                <w:sz w:val="14"/>
                <w:szCs w:val="14"/>
              </w:rPr>
            </w:pPr>
          </w:p>
        </w:tc>
        <w:tc>
          <w:tcPr>
            <w:tcW w:w="468" w:type="pct"/>
            <w:vMerge/>
            <w:tcBorders>
              <w:left w:val="single" w:sz="4" w:space="0" w:color="auto"/>
              <w:bottom w:val="single" w:sz="4" w:space="0" w:color="auto"/>
              <w:right w:val="single" w:sz="4" w:space="0" w:color="auto"/>
            </w:tcBorders>
          </w:tcPr>
          <w:p w14:paraId="1BC975FF" w14:textId="77777777" w:rsidR="000F0341" w:rsidRPr="00BF62A1" w:rsidRDefault="000F0341" w:rsidP="00E40B0D">
            <w:pPr>
              <w:spacing w:line="240" w:lineRule="auto"/>
              <w:jc w:val="left"/>
              <w:rPr>
                <w:sz w:val="14"/>
                <w:szCs w:val="14"/>
              </w:rPr>
            </w:pPr>
          </w:p>
        </w:tc>
        <w:tc>
          <w:tcPr>
            <w:tcW w:w="626" w:type="pct"/>
            <w:vMerge/>
            <w:tcBorders>
              <w:left w:val="single" w:sz="4" w:space="0" w:color="auto"/>
              <w:bottom w:val="single" w:sz="4" w:space="0" w:color="auto"/>
              <w:right w:val="single" w:sz="4" w:space="0" w:color="auto"/>
            </w:tcBorders>
          </w:tcPr>
          <w:p w14:paraId="1AC07C33" w14:textId="77777777" w:rsidR="000F0341" w:rsidRPr="00BF62A1"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65696BB8" w14:textId="77777777" w:rsidR="000F0341" w:rsidRPr="00BF62A1" w:rsidRDefault="000F0341" w:rsidP="00E40B0D">
            <w:pPr>
              <w:spacing w:line="240" w:lineRule="auto"/>
              <w:jc w:val="left"/>
              <w:rPr>
                <w:sz w:val="14"/>
                <w:szCs w:val="14"/>
              </w:rPr>
            </w:pPr>
            <w:r w:rsidRPr="00BF62A1">
              <w:rPr>
                <w:sz w:val="14"/>
                <w:szCs w:val="14"/>
              </w:rPr>
              <w:t>High</w:t>
            </w:r>
          </w:p>
        </w:tc>
        <w:tc>
          <w:tcPr>
            <w:tcW w:w="782" w:type="pct"/>
            <w:tcBorders>
              <w:left w:val="single" w:sz="4" w:space="0" w:color="auto"/>
              <w:bottom w:val="single" w:sz="4" w:space="0" w:color="auto"/>
              <w:right w:val="single" w:sz="4" w:space="0" w:color="auto"/>
            </w:tcBorders>
          </w:tcPr>
          <w:p w14:paraId="18565EB8" w14:textId="77777777" w:rsidR="000F0341" w:rsidRPr="00BF62A1" w:rsidRDefault="000F0341" w:rsidP="00E40B0D">
            <w:pPr>
              <w:spacing w:line="240" w:lineRule="auto"/>
              <w:jc w:val="left"/>
              <w:rPr>
                <w:sz w:val="14"/>
                <w:szCs w:val="14"/>
              </w:rPr>
            </w:pPr>
            <w:r w:rsidRPr="00BF62A1">
              <w:rPr>
                <w:sz w:val="14"/>
                <w:szCs w:val="14"/>
              </w:rPr>
              <w:t>≥20</w:t>
            </w:r>
          </w:p>
        </w:tc>
        <w:tc>
          <w:tcPr>
            <w:tcW w:w="739" w:type="pct"/>
            <w:tcBorders>
              <w:left w:val="single" w:sz="4" w:space="0" w:color="auto"/>
              <w:bottom w:val="single" w:sz="4" w:space="0" w:color="auto"/>
              <w:right w:val="single" w:sz="4" w:space="0" w:color="auto"/>
            </w:tcBorders>
          </w:tcPr>
          <w:p w14:paraId="447C6966" w14:textId="77777777" w:rsidR="000F0341" w:rsidRPr="00BF62A1" w:rsidRDefault="000F0341" w:rsidP="00E40B0D">
            <w:pPr>
              <w:spacing w:line="240" w:lineRule="auto"/>
              <w:jc w:val="left"/>
              <w:rPr>
                <w:sz w:val="14"/>
                <w:szCs w:val="14"/>
              </w:rPr>
            </w:pPr>
            <w:r w:rsidRPr="00BF62A1">
              <w:rPr>
                <w:sz w:val="14"/>
                <w:szCs w:val="14"/>
              </w:rPr>
              <w:t>123</w:t>
            </w:r>
          </w:p>
        </w:tc>
        <w:tc>
          <w:tcPr>
            <w:tcW w:w="980" w:type="pct"/>
            <w:vMerge/>
            <w:tcBorders>
              <w:left w:val="single" w:sz="4" w:space="0" w:color="auto"/>
              <w:bottom w:val="single" w:sz="4" w:space="0" w:color="auto"/>
              <w:right w:val="single" w:sz="4" w:space="0" w:color="auto"/>
            </w:tcBorders>
          </w:tcPr>
          <w:p w14:paraId="73E43C80" w14:textId="77777777" w:rsidR="000F0341" w:rsidRPr="00BF62A1" w:rsidRDefault="000F0341" w:rsidP="00E40B0D">
            <w:pPr>
              <w:spacing w:line="240" w:lineRule="auto"/>
              <w:jc w:val="left"/>
              <w:rPr>
                <w:sz w:val="14"/>
                <w:szCs w:val="14"/>
              </w:rPr>
            </w:pPr>
          </w:p>
        </w:tc>
      </w:tr>
      <w:tr w:rsidR="000F0341" w:rsidRPr="00BF62A1" w14:paraId="7E7161BC" w14:textId="77777777" w:rsidTr="00E40B0D">
        <w:trPr>
          <w:trHeight w:val="20"/>
        </w:trPr>
        <w:tc>
          <w:tcPr>
            <w:tcW w:w="782" w:type="pct"/>
            <w:vMerge w:val="restart"/>
            <w:tcBorders>
              <w:top w:val="single" w:sz="8" w:space="0" w:color="auto"/>
              <w:left w:val="single" w:sz="4" w:space="0" w:color="auto"/>
              <w:right w:val="single" w:sz="4" w:space="0" w:color="auto"/>
            </w:tcBorders>
          </w:tcPr>
          <w:p w14:paraId="00313173" w14:textId="120B88BD" w:rsidR="000F0341" w:rsidRPr="00BF62A1" w:rsidRDefault="000F0341" w:rsidP="00E40B0D">
            <w:pPr>
              <w:spacing w:line="240" w:lineRule="auto"/>
              <w:jc w:val="left"/>
              <w:rPr>
                <w:color w:val="000000"/>
                <w:sz w:val="14"/>
                <w:szCs w:val="14"/>
              </w:rPr>
            </w:pPr>
            <w:r w:rsidRPr="00BF62A1">
              <w:rPr>
                <w:sz w:val="14"/>
                <w:szCs w:val="14"/>
              </w:rPr>
              <w:t xml:space="preserve">Hoerger 2023 </w:t>
            </w:r>
            <w:r w:rsidRPr="00BF62A1">
              <w:rPr>
                <w:sz w:val="14"/>
                <w:szCs w:val="14"/>
              </w:rPr>
              <w:fldChar w:fldCharType="begin"/>
            </w:r>
            <w:r>
              <w:rPr>
                <w:sz w:val="14"/>
                <w:szCs w:val="14"/>
              </w:rPr>
              <w:instrText xml:space="preserve"> ADDIN ZOTERO_ITEM CSL_CITATION {"citationID":"DkKlc6vk","properties":{"formattedCitation":"[83]","plainCitation":"[83]","noteIndex":0},"citationItems":[{"id":14273,"uris":["http://zotero.org/groups/4983919/items/6PMFLYW9"],"itemData":{"id":14273,"type":"article-journal","abstract":"BACKGROUND: Volume-outcome relationships have been described for a variety of surgical procedures. We aimed to define the facility volume threshold at which postoperative mortality after hepatectomy was optimal. METHODS: We determined volume percentiles for institutions performing hepatectomy for any primary liver tumor within the National Cancer Database (2004-2017). Marginal structural logistic regression defined the volume percentile (Vmin) at which the odds of 90-day mortality were optimally reduced in patients with hepatocellular carcinoma (HCC) or intrahepatic cholangiocarcinoma (ICC). Short-term postoperative and survival outcomes were compared between patients treated at facilities above and below Vmin. RESULTS: Thresholds for the 10(th)/25(th)/50(th)/75(th)/90(th) percentiles were 2/7/26/46/59 hepatectomies/year. A total of 17,833 patients underwent resection of HCC or ICC. The 90-day postoperative mortality was optimized at the 75(th) percentile for all hepatectomies (IP-weighted OR = 0.67, 95% CI = 0.52-0.87) and major hepatectomy (IP-weighted OR = 0.62, 95% CI = 0.49-0.80). Seven of 446 facilities met the Vmin threshold. The odds of 30-day mortality were also reduced for all hepatectomies (IP-weighted OR = 0.55, 95% CI = 0.42-0.73) and major hepatectomy (IP-weighted OR = 0.58, 95% CI = 0.41-0.75). There were no differences in length of stay or 30-day readmission rate. Patients with HCC or ICC treated at facilities ≥ 10(th) percentile had an associated improvement in overall survival. CONCLUSIONS: Resection of HCC and ICC is performed at a large number of facilities. Postoperative mortality is optimally reduced at facilities performing at least 46 liver operations annually. Regionalization of surgical care among patients with primary liver malignancies to high-volume centers may result in improved outcomes.","container-title":"Journal of gastrointestinal surgery : official journal of the Society for Surgery of the Alimentary Tract","DOI":"10.1007/s11605-022-05541-4","ISSN":"1873-4626 (Electronic)","issue":"2","language":"eng","page":"273-282","title":"Facility Volume Thresholds for Optimization of Short- and Long-Term Outcomes in Patients Undergoing Hepatectomy for Primary Liver Tumors.","URL":"https://pubmed.ncbi.nlm.nih.gov/36443556/","volume":"27","author":[{"family":"Hoerger","given":"Kelly"},{"family":"Hue","given":"Jonathan J"},{"family":"Elshami","given":"Mohamaedraed"},{"family":"Ammori","given":"John B"},{"family":"Hardacre","given":"Jeffrey M"},{"family":"Winter","given":"Jordan M"},{"family":"Ocuin","given":"Lee M"}],"issued":{"date-parts":[["2023",2]]}}}],"schema":"https://github.com/citation-style-language/schema/raw/master/csl-citation.json"} </w:instrText>
            </w:r>
            <w:r w:rsidRPr="00BF62A1">
              <w:rPr>
                <w:sz w:val="14"/>
                <w:szCs w:val="14"/>
              </w:rPr>
              <w:fldChar w:fldCharType="separate"/>
            </w:r>
            <w:r w:rsidRPr="004125CE">
              <w:rPr>
                <w:sz w:val="14"/>
              </w:rPr>
              <w:t>[8</w:t>
            </w:r>
            <w:r w:rsidR="00D03F0D">
              <w:rPr>
                <w:sz w:val="14"/>
              </w:rPr>
              <w:t>9</w:t>
            </w:r>
            <w:r w:rsidRPr="004125CE">
              <w:rPr>
                <w:sz w:val="14"/>
              </w:rPr>
              <w:t>]</w:t>
            </w:r>
            <w:r w:rsidRPr="00BF62A1">
              <w:rPr>
                <w:sz w:val="14"/>
                <w:szCs w:val="14"/>
              </w:rPr>
              <w:fldChar w:fldCharType="end"/>
            </w:r>
          </w:p>
        </w:tc>
        <w:tc>
          <w:tcPr>
            <w:tcW w:w="468" w:type="pct"/>
            <w:vMerge w:val="restart"/>
            <w:tcBorders>
              <w:top w:val="single" w:sz="8" w:space="0" w:color="auto"/>
              <w:left w:val="single" w:sz="4" w:space="0" w:color="auto"/>
              <w:right w:val="single" w:sz="4" w:space="0" w:color="auto"/>
            </w:tcBorders>
          </w:tcPr>
          <w:p w14:paraId="7A42ABFE" w14:textId="77777777" w:rsidR="000F0341" w:rsidRPr="00BF62A1" w:rsidRDefault="000F0341" w:rsidP="00E40B0D">
            <w:pPr>
              <w:spacing w:line="240" w:lineRule="auto"/>
              <w:jc w:val="left"/>
              <w:rPr>
                <w:sz w:val="14"/>
                <w:szCs w:val="14"/>
              </w:rPr>
            </w:pPr>
            <w:r w:rsidRPr="00BF62A1">
              <w:rPr>
                <w:sz w:val="14"/>
                <w:szCs w:val="14"/>
              </w:rPr>
              <w:t>17833</w:t>
            </w:r>
          </w:p>
        </w:tc>
        <w:tc>
          <w:tcPr>
            <w:tcW w:w="626" w:type="pct"/>
            <w:vMerge w:val="restart"/>
            <w:tcBorders>
              <w:top w:val="single" w:sz="8" w:space="0" w:color="auto"/>
              <w:left w:val="single" w:sz="4" w:space="0" w:color="auto"/>
              <w:right w:val="single" w:sz="4" w:space="0" w:color="auto"/>
            </w:tcBorders>
          </w:tcPr>
          <w:p w14:paraId="6ACD1759" w14:textId="77777777" w:rsidR="000F0341" w:rsidRPr="00BF62A1" w:rsidRDefault="000F0341" w:rsidP="00E40B0D">
            <w:pPr>
              <w:spacing w:line="240" w:lineRule="auto"/>
              <w:jc w:val="left"/>
              <w:rPr>
                <w:sz w:val="14"/>
                <w:szCs w:val="14"/>
              </w:rPr>
            </w:pPr>
            <w:r w:rsidRPr="00BF62A1">
              <w:rPr>
                <w:sz w:val="14"/>
                <w:szCs w:val="14"/>
              </w:rPr>
              <w:t>Percentiles</w:t>
            </w:r>
          </w:p>
          <w:p w14:paraId="5905A518" w14:textId="77777777" w:rsidR="000F0341" w:rsidRPr="00BF62A1" w:rsidRDefault="000F0341" w:rsidP="00E40B0D">
            <w:pPr>
              <w:spacing w:line="240" w:lineRule="auto"/>
              <w:jc w:val="left"/>
              <w:rPr>
                <w:sz w:val="14"/>
                <w:szCs w:val="14"/>
              </w:rPr>
            </w:pPr>
          </w:p>
        </w:tc>
        <w:tc>
          <w:tcPr>
            <w:tcW w:w="624" w:type="pct"/>
            <w:tcBorders>
              <w:top w:val="single" w:sz="8" w:space="0" w:color="auto"/>
              <w:left w:val="single" w:sz="4" w:space="0" w:color="auto"/>
              <w:bottom w:val="single" w:sz="4" w:space="0" w:color="auto"/>
              <w:right w:val="single" w:sz="4" w:space="0" w:color="auto"/>
            </w:tcBorders>
          </w:tcPr>
          <w:p w14:paraId="489B7BFC" w14:textId="77777777" w:rsidR="000F0341" w:rsidRPr="00BF62A1" w:rsidRDefault="000F0341" w:rsidP="00E40B0D">
            <w:pPr>
              <w:spacing w:line="240" w:lineRule="auto"/>
              <w:jc w:val="left"/>
              <w:rPr>
                <w:sz w:val="14"/>
                <w:szCs w:val="14"/>
              </w:rPr>
            </w:pPr>
            <w:r w:rsidRPr="00BF62A1">
              <w:rPr>
                <w:sz w:val="14"/>
                <w:szCs w:val="14"/>
              </w:rPr>
              <w:t>10</w:t>
            </w:r>
            <w:r w:rsidRPr="00BF62A1">
              <w:rPr>
                <w:sz w:val="14"/>
                <w:szCs w:val="14"/>
                <w:vertAlign w:val="superscript"/>
              </w:rPr>
              <w:t>th</w:t>
            </w:r>
          </w:p>
        </w:tc>
        <w:tc>
          <w:tcPr>
            <w:tcW w:w="782" w:type="pct"/>
            <w:tcBorders>
              <w:top w:val="single" w:sz="8" w:space="0" w:color="auto"/>
              <w:left w:val="single" w:sz="4" w:space="0" w:color="auto"/>
              <w:right w:val="single" w:sz="4" w:space="0" w:color="auto"/>
            </w:tcBorders>
          </w:tcPr>
          <w:p w14:paraId="0FF04C77" w14:textId="77777777" w:rsidR="000F0341" w:rsidRPr="00BF62A1" w:rsidRDefault="000F0341" w:rsidP="00E40B0D">
            <w:pPr>
              <w:spacing w:line="240" w:lineRule="auto"/>
              <w:jc w:val="left"/>
              <w:rPr>
                <w:sz w:val="14"/>
                <w:szCs w:val="14"/>
              </w:rPr>
            </w:pPr>
            <w:r w:rsidRPr="00BF62A1">
              <w:rPr>
                <w:sz w:val="14"/>
                <w:szCs w:val="14"/>
              </w:rPr>
              <w:t>≥2</w:t>
            </w:r>
          </w:p>
        </w:tc>
        <w:tc>
          <w:tcPr>
            <w:tcW w:w="739" w:type="pct"/>
            <w:tcBorders>
              <w:top w:val="single" w:sz="8" w:space="0" w:color="auto"/>
              <w:left w:val="single" w:sz="4" w:space="0" w:color="auto"/>
              <w:right w:val="single" w:sz="4" w:space="0" w:color="auto"/>
            </w:tcBorders>
          </w:tcPr>
          <w:p w14:paraId="10B22383" w14:textId="77777777" w:rsidR="000F0341" w:rsidRPr="00BF62A1" w:rsidRDefault="000F0341" w:rsidP="00E40B0D">
            <w:pPr>
              <w:spacing w:line="240" w:lineRule="auto"/>
              <w:jc w:val="left"/>
              <w:rPr>
                <w:color w:val="000000" w:themeColor="text1"/>
                <w:sz w:val="14"/>
                <w:szCs w:val="14"/>
              </w:rPr>
            </w:pPr>
            <w:r w:rsidRPr="00BF62A1">
              <w:rPr>
                <w:color w:val="000000" w:themeColor="text1"/>
                <w:sz w:val="14"/>
                <w:szCs w:val="14"/>
              </w:rPr>
              <w:t>-</w:t>
            </w:r>
          </w:p>
        </w:tc>
        <w:tc>
          <w:tcPr>
            <w:tcW w:w="980" w:type="pct"/>
            <w:tcBorders>
              <w:top w:val="single" w:sz="8" w:space="0" w:color="auto"/>
              <w:left w:val="single" w:sz="4" w:space="0" w:color="auto"/>
              <w:right w:val="single" w:sz="4" w:space="0" w:color="auto"/>
            </w:tcBorders>
          </w:tcPr>
          <w:p w14:paraId="1D09077F" w14:textId="77777777" w:rsidR="000F0341" w:rsidRPr="00BF62A1" w:rsidRDefault="000F0341" w:rsidP="00E40B0D">
            <w:pPr>
              <w:spacing w:line="240" w:lineRule="auto"/>
              <w:jc w:val="left"/>
              <w:rPr>
                <w:sz w:val="14"/>
                <w:szCs w:val="14"/>
              </w:rPr>
            </w:pPr>
            <w:r w:rsidRPr="00BF62A1">
              <w:rPr>
                <w:sz w:val="14"/>
                <w:szCs w:val="14"/>
              </w:rPr>
              <w:t>310</w:t>
            </w:r>
          </w:p>
        </w:tc>
      </w:tr>
      <w:tr w:rsidR="000F0341" w:rsidRPr="00BF62A1" w14:paraId="171046B8" w14:textId="77777777" w:rsidTr="00E40B0D">
        <w:trPr>
          <w:trHeight w:val="20"/>
        </w:trPr>
        <w:tc>
          <w:tcPr>
            <w:tcW w:w="782" w:type="pct"/>
            <w:vMerge/>
            <w:tcBorders>
              <w:left w:val="single" w:sz="4" w:space="0" w:color="auto"/>
              <w:right w:val="single" w:sz="4" w:space="0" w:color="auto"/>
            </w:tcBorders>
          </w:tcPr>
          <w:p w14:paraId="5EBF57E4" w14:textId="77777777" w:rsidR="000F0341" w:rsidRPr="00BF62A1"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6D9BA390" w14:textId="77777777" w:rsidR="000F0341" w:rsidRPr="00BF62A1"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06DEAE12" w14:textId="77777777" w:rsidR="000F0341" w:rsidRPr="00BF62A1"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27C8AB9A" w14:textId="77777777" w:rsidR="000F0341" w:rsidRPr="00BF62A1" w:rsidRDefault="000F0341" w:rsidP="00E40B0D">
            <w:pPr>
              <w:spacing w:line="240" w:lineRule="auto"/>
              <w:jc w:val="left"/>
              <w:rPr>
                <w:sz w:val="14"/>
                <w:szCs w:val="14"/>
              </w:rPr>
            </w:pPr>
            <w:r w:rsidRPr="00BF62A1">
              <w:rPr>
                <w:sz w:val="14"/>
                <w:szCs w:val="14"/>
              </w:rPr>
              <w:t>25</w:t>
            </w:r>
            <w:r w:rsidRPr="00BF62A1">
              <w:rPr>
                <w:sz w:val="14"/>
                <w:szCs w:val="14"/>
                <w:vertAlign w:val="superscript"/>
              </w:rPr>
              <w:t>th</w:t>
            </w:r>
          </w:p>
        </w:tc>
        <w:tc>
          <w:tcPr>
            <w:tcW w:w="782" w:type="pct"/>
            <w:tcBorders>
              <w:left w:val="single" w:sz="4" w:space="0" w:color="auto"/>
              <w:right w:val="single" w:sz="4" w:space="0" w:color="auto"/>
            </w:tcBorders>
          </w:tcPr>
          <w:p w14:paraId="586BFC39" w14:textId="77777777" w:rsidR="000F0341" w:rsidRPr="00BF62A1" w:rsidRDefault="000F0341" w:rsidP="00E40B0D">
            <w:pPr>
              <w:spacing w:line="240" w:lineRule="auto"/>
              <w:jc w:val="left"/>
              <w:rPr>
                <w:sz w:val="14"/>
                <w:szCs w:val="14"/>
              </w:rPr>
            </w:pPr>
            <w:r w:rsidRPr="00BF62A1">
              <w:rPr>
                <w:sz w:val="14"/>
                <w:szCs w:val="14"/>
              </w:rPr>
              <w:t>≥7</w:t>
            </w:r>
          </w:p>
        </w:tc>
        <w:tc>
          <w:tcPr>
            <w:tcW w:w="739" w:type="pct"/>
            <w:tcBorders>
              <w:left w:val="single" w:sz="4" w:space="0" w:color="auto"/>
              <w:right w:val="single" w:sz="4" w:space="0" w:color="auto"/>
            </w:tcBorders>
          </w:tcPr>
          <w:p w14:paraId="41B80946" w14:textId="77777777" w:rsidR="000F0341" w:rsidRPr="00BF62A1" w:rsidRDefault="000F0341" w:rsidP="00E40B0D">
            <w:pPr>
              <w:spacing w:line="240" w:lineRule="auto"/>
              <w:jc w:val="left"/>
              <w:rPr>
                <w:color w:val="000000" w:themeColor="text1"/>
                <w:sz w:val="14"/>
                <w:szCs w:val="14"/>
              </w:rPr>
            </w:pPr>
            <w:r w:rsidRPr="00BF62A1">
              <w:rPr>
                <w:color w:val="000000" w:themeColor="text1"/>
                <w:sz w:val="14"/>
                <w:szCs w:val="14"/>
              </w:rPr>
              <w:t>-</w:t>
            </w:r>
          </w:p>
        </w:tc>
        <w:tc>
          <w:tcPr>
            <w:tcW w:w="980" w:type="pct"/>
            <w:tcBorders>
              <w:left w:val="single" w:sz="4" w:space="0" w:color="auto"/>
              <w:right w:val="single" w:sz="4" w:space="0" w:color="auto"/>
            </w:tcBorders>
          </w:tcPr>
          <w:p w14:paraId="4C4891DA" w14:textId="77777777" w:rsidR="000F0341" w:rsidRPr="00BF62A1" w:rsidRDefault="000F0341" w:rsidP="00E40B0D">
            <w:pPr>
              <w:spacing w:line="240" w:lineRule="auto"/>
              <w:jc w:val="left"/>
              <w:rPr>
                <w:sz w:val="14"/>
                <w:szCs w:val="14"/>
              </w:rPr>
            </w:pPr>
            <w:r w:rsidRPr="00BF62A1">
              <w:rPr>
                <w:sz w:val="14"/>
                <w:szCs w:val="14"/>
              </w:rPr>
              <w:t>130</w:t>
            </w:r>
          </w:p>
        </w:tc>
      </w:tr>
      <w:tr w:rsidR="000F0341" w:rsidRPr="00BF62A1" w14:paraId="59BD743B" w14:textId="77777777" w:rsidTr="00E40B0D">
        <w:trPr>
          <w:trHeight w:val="20"/>
        </w:trPr>
        <w:tc>
          <w:tcPr>
            <w:tcW w:w="782" w:type="pct"/>
            <w:vMerge/>
            <w:tcBorders>
              <w:left w:val="single" w:sz="4" w:space="0" w:color="auto"/>
              <w:right w:val="single" w:sz="4" w:space="0" w:color="auto"/>
            </w:tcBorders>
          </w:tcPr>
          <w:p w14:paraId="6675B13F" w14:textId="77777777" w:rsidR="000F0341" w:rsidRPr="00BF62A1"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4C1DA4C3" w14:textId="77777777" w:rsidR="000F0341" w:rsidRPr="00BF62A1"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2846B5BE" w14:textId="77777777" w:rsidR="000F0341" w:rsidRPr="00BF62A1"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3BB6F8E4" w14:textId="77777777" w:rsidR="000F0341" w:rsidRPr="00BF62A1" w:rsidRDefault="000F0341" w:rsidP="00E40B0D">
            <w:pPr>
              <w:spacing w:line="240" w:lineRule="auto"/>
              <w:jc w:val="left"/>
              <w:rPr>
                <w:sz w:val="14"/>
                <w:szCs w:val="14"/>
              </w:rPr>
            </w:pPr>
            <w:r w:rsidRPr="00BF62A1">
              <w:rPr>
                <w:sz w:val="14"/>
                <w:szCs w:val="14"/>
              </w:rPr>
              <w:t>50</w:t>
            </w:r>
            <w:r w:rsidRPr="00BF62A1">
              <w:rPr>
                <w:sz w:val="14"/>
                <w:szCs w:val="14"/>
                <w:vertAlign w:val="superscript"/>
              </w:rPr>
              <w:t>th</w:t>
            </w:r>
          </w:p>
        </w:tc>
        <w:tc>
          <w:tcPr>
            <w:tcW w:w="782" w:type="pct"/>
            <w:tcBorders>
              <w:left w:val="single" w:sz="4" w:space="0" w:color="auto"/>
              <w:right w:val="single" w:sz="4" w:space="0" w:color="auto"/>
            </w:tcBorders>
          </w:tcPr>
          <w:p w14:paraId="75770583" w14:textId="77777777" w:rsidR="000F0341" w:rsidRPr="00BF62A1" w:rsidRDefault="000F0341" w:rsidP="00E40B0D">
            <w:pPr>
              <w:spacing w:line="240" w:lineRule="auto"/>
              <w:jc w:val="left"/>
              <w:rPr>
                <w:sz w:val="14"/>
                <w:szCs w:val="14"/>
              </w:rPr>
            </w:pPr>
            <w:r w:rsidRPr="00BF62A1">
              <w:rPr>
                <w:sz w:val="14"/>
                <w:szCs w:val="14"/>
              </w:rPr>
              <w:t>≥26</w:t>
            </w:r>
          </w:p>
        </w:tc>
        <w:tc>
          <w:tcPr>
            <w:tcW w:w="739" w:type="pct"/>
            <w:tcBorders>
              <w:left w:val="single" w:sz="4" w:space="0" w:color="auto"/>
              <w:right w:val="single" w:sz="4" w:space="0" w:color="auto"/>
            </w:tcBorders>
          </w:tcPr>
          <w:p w14:paraId="721B65C0" w14:textId="77777777" w:rsidR="000F0341" w:rsidRPr="00BF62A1" w:rsidRDefault="000F0341" w:rsidP="00E40B0D">
            <w:pPr>
              <w:spacing w:line="240" w:lineRule="auto"/>
              <w:jc w:val="left"/>
              <w:rPr>
                <w:color w:val="000000" w:themeColor="text1"/>
                <w:sz w:val="14"/>
                <w:szCs w:val="14"/>
              </w:rPr>
            </w:pPr>
            <w:r w:rsidRPr="00BF62A1">
              <w:rPr>
                <w:color w:val="000000" w:themeColor="text1"/>
                <w:sz w:val="14"/>
                <w:szCs w:val="14"/>
              </w:rPr>
              <w:t>-</w:t>
            </w:r>
          </w:p>
        </w:tc>
        <w:tc>
          <w:tcPr>
            <w:tcW w:w="980" w:type="pct"/>
            <w:tcBorders>
              <w:left w:val="single" w:sz="4" w:space="0" w:color="auto"/>
              <w:right w:val="single" w:sz="4" w:space="0" w:color="auto"/>
            </w:tcBorders>
          </w:tcPr>
          <w:p w14:paraId="201B7DFF" w14:textId="77777777" w:rsidR="000F0341" w:rsidRPr="00BF62A1" w:rsidRDefault="000F0341" w:rsidP="00E40B0D">
            <w:pPr>
              <w:spacing w:line="240" w:lineRule="auto"/>
              <w:jc w:val="left"/>
              <w:rPr>
                <w:sz w:val="14"/>
                <w:szCs w:val="14"/>
              </w:rPr>
            </w:pPr>
            <w:r w:rsidRPr="00BF62A1">
              <w:rPr>
                <w:sz w:val="14"/>
                <w:szCs w:val="14"/>
              </w:rPr>
              <w:t>52</w:t>
            </w:r>
          </w:p>
        </w:tc>
      </w:tr>
      <w:tr w:rsidR="000F0341" w:rsidRPr="00BF62A1" w14:paraId="14B6444E" w14:textId="77777777" w:rsidTr="00E40B0D">
        <w:trPr>
          <w:trHeight w:val="20"/>
        </w:trPr>
        <w:tc>
          <w:tcPr>
            <w:tcW w:w="782" w:type="pct"/>
            <w:vMerge/>
            <w:tcBorders>
              <w:left w:val="single" w:sz="4" w:space="0" w:color="auto"/>
              <w:right w:val="single" w:sz="4" w:space="0" w:color="auto"/>
            </w:tcBorders>
          </w:tcPr>
          <w:p w14:paraId="5420D80B" w14:textId="77777777" w:rsidR="000F0341" w:rsidRPr="00BF62A1"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0B0D0B52" w14:textId="77777777" w:rsidR="000F0341" w:rsidRPr="00BF62A1"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0E77FCCB" w14:textId="77777777" w:rsidR="000F0341" w:rsidRPr="00BF62A1"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2C29AD79" w14:textId="77777777" w:rsidR="000F0341" w:rsidRPr="00BF62A1" w:rsidRDefault="000F0341" w:rsidP="00E40B0D">
            <w:pPr>
              <w:spacing w:line="240" w:lineRule="auto"/>
              <w:jc w:val="left"/>
              <w:rPr>
                <w:sz w:val="14"/>
                <w:szCs w:val="14"/>
              </w:rPr>
            </w:pPr>
            <w:r w:rsidRPr="00BF62A1">
              <w:rPr>
                <w:sz w:val="14"/>
                <w:szCs w:val="14"/>
              </w:rPr>
              <w:t>75</w:t>
            </w:r>
            <w:r w:rsidRPr="00BF62A1">
              <w:rPr>
                <w:sz w:val="14"/>
                <w:szCs w:val="14"/>
                <w:vertAlign w:val="superscript"/>
              </w:rPr>
              <w:t>th</w:t>
            </w:r>
          </w:p>
        </w:tc>
        <w:tc>
          <w:tcPr>
            <w:tcW w:w="782" w:type="pct"/>
            <w:tcBorders>
              <w:left w:val="single" w:sz="4" w:space="0" w:color="auto"/>
              <w:right w:val="single" w:sz="4" w:space="0" w:color="auto"/>
            </w:tcBorders>
          </w:tcPr>
          <w:p w14:paraId="55F0B780" w14:textId="77777777" w:rsidR="000F0341" w:rsidRPr="00BF62A1" w:rsidRDefault="000F0341" w:rsidP="00E40B0D">
            <w:pPr>
              <w:spacing w:line="240" w:lineRule="auto"/>
              <w:jc w:val="left"/>
              <w:rPr>
                <w:sz w:val="14"/>
                <w:szCs w:val="14"/>
              </w:rPr>
            </w:pPr>
            <w:r w:rsidRPr="00BF62A1">
              <w:rPr>
                <w:sz w:val="14"/>
                <w:szCs w:val="14"/>
              </w:rPr>
              <w:t>≥46</w:t>
            </w:r>
          </w:p>
        </w:tc>
        <w:tc>
          <w:tcPr>
            <w:tcW w:w="739" w:type="pct"/>
            <w:tcBorders>
              <w:left w:val="single" w:sz="4" w:space="0" w:color="auto"/>
              <w:right w:val="single" w:sz="4" w:space="0" w:color="auto"/>
            </w:tcBorders>
          </w:tcPr>
          <w:p w14:paraId="0EBC7A5A" w14:textId="77777777" w:rsidR="000F0341" w:rsidRPr="00BF62A1" w:rsidRDefault="000F0341" w:rsidP="00E40B0D">
            <w:pPr>
              <w:spacing w:line="240" w:lineRule="auto"/>
              <w:jc w:val="left"/>
              <w:rPr>
                <w:sz w:val="14"/>
                <w:szCs w:val="14"/>
              </w:rPr>
            </w:pPr>
            <w:r w:rsidRPr="00BF62A1">
              <w:rPr>
                <w:sz w:val="14"/>
                <w:szCs w:val="14"/>
              </w:rPr>
              <w:t>14206</w:t>
            </w:r>
          </w:p>
        </w:tc>
        <w:tc>
          <w:tcPr>
            <w:tcW w:w="980" w:type="pct"/>
            <w:tcBorders>
              <w:left w:val="single" w:sz="4" w:space="0" w:color="auto"/>
              <w:right w:val="single" w:sz="4" w:space="0" w:color="auto"/>
            </w:tcBorders>
          </w:tcPr>
          <w:p w14:paraId="6FAE81CB" w14:textId="77777777" w:rsidR="000F0341" w:rsidRPr="00BF62A1" w:rsidRDefault="000F0341" w:rsidP="00E40B0D">
            <w:pPr>
              <w:spacing w:line="240" w:lineRule="auto"/>
              <w:jc w:val="left"/>
              <w:rPr>
                <w:sz w:val="14"/>
                <w:szCs w:val="14"/>
              </w:rPr>
            </w:pPr>
            <w:r w:rsidRPr="00BF62A1">
              <w:rPr>
                <w:sz w:val="14"/>
                <w:szCs w:val="14"/>
              </w:rPr>
              <w:t>18</w:t>
            </w:r>
          </w:p>
        </w:tc>
      </w:tr>
      <w:tr w:rsidR="000F0341" w:rsidRPr="00BF62A1" w14:paraId="7046B2B4" w14:textId="77777777" w:rsidTr="00E40B0D">
        <w:trPr>
          <w:trHeight w:val="20"/>
        </w:trPr>
        <w:tc>
          <w:tcPr>
            <w:tcW w:w="782" w:type="pct"/>
            <w:vMerge/>
            <w:tcBorders>
              <w:left w:val="single" w:sz="4" w:space="0" w:color="auto"/>
              <w:bottom w:val="single" w:sz="8" w:space="0" w:color="auto"/>
              <w:right w:val="single" w:sz="4" w:space="0" w:color="auto"/>
            </w:tcBorders>
          </w:tcPr>
          <w:p w14:paraId="2F672C0B" w14:textId="77777777" w:rsidR="000F0341" w:rsidRPr="00BF62A1" w:rsidRDefault="000F0341" w:rsidP="00E40B0D">
            <w:pPr>
              <w:spacing w:line="240" w:lineRule="auto"/>
              <w:jc w:val="left"/>
              <w:rPr>
                <w:sz w:val="14"/>
                <w:szCs w:val="14"/>
              </w:rPr>
            </w:pPr>
          </w:p>
        </w:tc>
        <w:tc>
          <w:tcPr>
            <w:tcW w:w="468" w:type="pct"/>
            <w:vMerge/>
            <w:tcBorders>
              <w:left w:val="single" w:sz="4" w:space="0" w:color="auto"/>
              <w:bottom w:val="single" w:sz="8" w:space="0" w:color="auto"/>
              <w:right w:val="single" w:sz="4" w:space="0" w:color="auto"/>
            </w:tcBorders>
          </w:tcPr>
          <w:p w14:paraId="24117552" w14:textId="77777777" w:rsidR="000F0341" w:rsidRPr="00BF62A1" w:rsidRDefault="000F0341" w:rsidP="00E40B0D">
            <w:pPr>
              <w:spacing w:line="240" w:lineRule="auto"/>
              <w:jc w:val="left"/>
              <w:rPr>
                <w:sz w:val="14"/>
                <w:szCs w:val="14"/>
              </w:rPr>
            </w:pPr>
          </w:p>
        </w:tc>
        <w:tc>
          <w:tcPr>
            <w:tcW w:w="626" w:type="pct"/>
            <w:vMerge/>
            <w:tcBorders>
              <w:left w:val="single" w:sz="4" w:space="0" w:color="auto"/>
              <w:bottom w:val="single" w:sz="8" w:space="0" w:color="auto"/>
              <w:right w:val="single" w:sz="4" w:space="0" w:color="auto"/>
            </w:tcBorders>
          </w:tcPr>
          <w:p w14:paraId="4CCE7DAA" w14:textId="77777777" w:rsidR="000F0341" w:rsidRPr="00BF62A1" w:rsidRDefault="000F0341" w:rsidP="00E40B0D">
            <w:pPr>
              <w:spacing w:line="240" w:lineRule="auto"/>
              <w:jc w:val="left"/>
              <w:rPr>
                <w:sz w:val="14"/>
                <w:szCs w:val="14"/>
              </w:rPr>
            </w:pPr>
          </w:p>
        </w:tc>
        <w:tc>
          <w:tcPr>
            <w:tcW w:w="624" w:type="pct"/>
            <w:tcBorders>
              <w:top w:val="single" w:sz="4" w:space="0" w:color="auto"/>
              <w:left w:val="single" w:sz="4" w:space="0" w:color="auto"/>
              <w:bottom w:val="single" w:sz="8" w:space="0" w:color="auto"/>
              <w:right w:val="single" w:sz="4" w:space="0" w:color="auto"/>
            </w:tcBorders>
          </w:tcPr>
          <w:p w14:paraId="28B7C969" w14:textId="77777777" w:rsidR="000F0341" w:rsidRPr="00BF62A1" w:rsidRDefault="000F0341" w:rsidP="00E40B0D">
            <w:pPr>
              <w:spacing w:line="240" w:lineRule="auto"/>
              <w:jc w:val="left"/>
              <w:rPr>
                <w:sz w:val="14"/>
                <w:szCs w:val="14"/>
              </w:rPr>
            </w:pPr>
            <w:r w:rsidRPr="00BF62A1">
              <w:rPr>
                <w:sz w:val="14"/>
                <w:szCs w:val="14"/>
              </w:rPr>
              <w:t>90</w:t>
            </w:r>
            <w:r w:rsidRPr="00BF62A1">
              <w:rPr>
                <w:sz w:val="14"/>
                <w:szCs w:val="14"/>
                <w:vertAlign w:val="superscript"/>
              </w:rPr>
              <w:t>th</w:t>
            </w:r>
          </w:p>
        </w:tc>
        <w:tc>
          <w:tcPr>
            <w:tcW w:w="782" w:type="pct"/>
            <w:tcBorders>
              <w:left w:val="single" w:sz="4" w:space="0" w:color="auto"/>
              <w:bottom w:val="single" w:sz="8" w:space="0" w:color="auto"/>
              <w:right w:val="single" w:sz="4" w:space="0" w:color="auto"/>
            </w:tcBorders>
          </w:tcPr>
          <w:p w14:paraId="2DB69524" w14:textId="77777777" w:rsidR="000F0341" w:rsidRPr="00BF62A1" w:rsidRDefault="000F0341" w:rsidP="00E40B0D">
            <w:pPr>
              <w:spacing w:line="240" w:lineRule="auto"/>
              <w:jc w:val="left"/>
              <w:rPr>
                <w:sz w:val="14"/>
                <w:szCs w:val="14"/>
              </w:rPr>
            </w:pPr>
            <w:r w:rsidRPr="00BF62A1">
              <w:rPr>
                <w:sz w:val="14"/>
                <w:szCs w:val="14"/>
              </w:rPr>
              <w:t>≥59</w:t>
            </w:r>
          </w:p>
        </w:tc>
        <w:tc>
          <w:tcPr>
            <w:tcW w:w="739" w:type="pct"/>
            <w:tcBorders>
              <w:left w:val="single" w:sz="4" w:space="0" w:color="auto"/>
              <w:bottom w:val="single" w:sz="8" w:space="0" w:color="auto"/>
              <w:right w:val="single" w:sz="4" w:space="0" w:color="auto"/>
            </w:tcBorders>
          </w:tcPr>
          <w:p w14:paraId="5084514E" w14:textId="77777777" w:rsidR="000F0341" w:rsidRPr="00BF62A1" w:rsidRDefault="000F0341" w:rsidP="00E40B0D">
            <w:pPr>
              <w:spacing w:line="240" w:lineRule="auto"/>
              <w:jc w:val="left"/>
              <w:rPr>
                <w:color w:val="000000" w:themeColor="text1"/>
                <w:sz w:val="14"/>
                <w:szCs w:val="14"/>
              </w:rPr>
            </w:pPr>
            <w:r w:rsidRPr="00BF62A1">
              <w:rPr>
                <w:sz w:val="14"/>
                <w:szCs w:val="14"/>
              </w:rPr>
              <w:t>3627</w:t>
            </w:r>
          </w:p>
        </w:tc>
        <w:tc>
          <w:tcPr>
            <w:tcW w:w="980" w:type="pct"/>
            <w:tcBorders>
              <w:left w:val="single" w:sz="4" w:space="0" w:color="auto"/>
              <w:bottom w:val="single" w:sz="8" w:space="0" w:color="auto"/>
              <w:right w:val="single" w:sz="4" w:space="0" w:color="auto"/>
            </w:tcBorders>
          </w:tcPr>
          <w:p w14:paraId="7F300542" w14:textId="77777777" w:rsidR="000F0341" w:rsidRPr="00BF62A1" w:rsidRDefault="000F0341" w:rsidP="00E40B0D">
            <w:pPr>
              <w:spacing w:line="240" w:lineRule="auto"/>
              <w:jc w:val="left"/>
              <w:rPr>
                <w:sz w:val="14"/>
                <w:szCs w:val="14"/>
              </w:rPr>
            </w:pPr>
            <w:r w:rsidRPr="00BF62A1">
              <w:rPr>
                <w:sz w:val="14"/>
                <w:szCs w:val="14"/>
              </w:rPr>
              <w:t>5</w:t>
            </w:r>
          </w:p>
        </w:tc>
      </w:tr>
      <w:tr w:rsidR="000F0341" w:rsidRPr="00BF62A1" w14:paraId="2F9A0107" w14:textId="77777777" w:rsidTr="00E40B0D">
        <w:trPr>
          <w:trHeight w:val="20"/>
        </w:trPr>
        <w:tc>
          <w:tcPr>
            <w:tcW w:w="782" w:type="pct"/>
            <w:vMerge w:val="restart"/>
            <w:tcBorders>
              <w:top w:val="single" w:sz="8" w:space="0" w:color="auto"/>
              <w:left w:val="single" w:sz="4" w:space="0" w:color="auto"/>
              <w:right w:val="single" w:sz="4" w:space="0" w:color="auto"/>
            </w:tcBorders>
          </w:tcPr>
          <w:p w14:paraId="63429BCC" w14:textId="77777777" w:rsidR="000F0341" w:rsidRPr="00BF62A1" w:rsidRDefault="000F0341" w:rsidP="00E40B0D">
            <w:pPr>
              <w:spacing w:line="240" w:lineRule="auto"/>
              <w:jc w:val="left"/>
              <w:rPr>
                <w:color w:val="000000"/>
                <w:sz w:val="14"/>
                <w:szCs w:val="14"/>
              </w:rPr>
            </w:pPr>
            <w:r w:rsidRPr="00BF62A1">
              <w:rPr>
                <w:sz w:val="14"/>
                <w:szCs w:val="14"/>
              </w:rPr>
              <w:t xml:space="preserve">Hunger 2019 </w:t>
            </w:r>
            <w:r w:rsidRPr="00BF62A1">
              <w:rPr>
                <w:sz w:val="14"/>
                <w:szCs w:val="14"/>
              </w:rPr>
              <w:fldChar w:fldCharType="begin"/>
            </w:r>
            <w:r>
              <w:rPr>
                <w:sz w:val="14"/>
                <w:szCs w:val="14"/>
              </w:rPr>
              <w:instrText xml:space="preserve"> ADDIN ZOTERO_ITEM CSL_CITATION {"citationID":"1DlAYOqd","properties":{"formattedCitation":"[73]","plainCitation":"[73]","noteIndex":0},"citationItems":[{"id":14233,"uris":["http://zotero.org/groups/4983919/items/V82UQ8T4"],"itemData":{"id":14233,"type":"article-journal","abstract":"BACKGROUND: Approximately one-quarter of patients with colorectal carcinoma develop colorectal liver metastases (CRLM). Surgical treatment with curative intent by hepatic resection is the standard medical care. While some studies with small sample sizes have investigated the relationship between hospital procedure volume and in-hospital mortality for this diagnosis, no population-based study has been conducted. The present study was aimed at closing this gap. METHODS: Based on administrative population-based hospital discharge data (Diagnosis Related Group Statistic), patients diagnosed with CRLM and treated with hepatic resection from 2011 to 2015 were identified. The hospital operation-volume effect on risk-adjusted in-hospital mortality was examined by logistic regression models. RESULTS: During the study period, 5900 patients with CRLM were treated with hepatic resection, of whom 189 (3.2%) died before hospital discharge. Hospitals of different operation-volume quartiles did not differ in terms of mortality rates. Sensitivity analysis investigating the volume-mortality relationship separately for every resection procedure showed no clear result. Procedure frequencies vary among hospitals of different volume quartiles, with low-volume hospitals performing systematically more low-risk procedures (in terms of reduced mortality rate), than high-volume hospitals. CONCLUSION: Based on almost complete German hospital discharge data, the results did not confirm unconditional volume-outcome relationship for CRLM patients.","container-title":"J Hepatobiliary Pancreat Sci","DOI":"10.1002/jhbp.680","ISSN":"1868-6974","issue":"12","language":"eng","note":"publisher-place: Department of General and Visceral Surgery, Brandenburg Medical School Theodor Fontane, Municipal Hospital Brandenburg, Brandenburg a. d. Havel, Germany.","page":"548-556","title":"Hospital volume and mortality in liver resections for colorectal metastasis using population-based administrative data","volume":"26","author":[{"family":"Hunger","given":"R."},{"family":"Mantke","given":"A."},{"family":"Herrmann","given":"C."},{"family":"Grimm","given":"A. L."},{"family":"Ludwig","given":"J."},{"family":"Mantke","given":"R."}],"issued":{"date-parts":[["2019",12]]}}}],"schema":"https://github.com/citation-style-language/schema/raw/master/csl-citation.json"} </w:instrText>
            </w:r>
            <w:r w:rsidRPr="00BF62A1">
              <w:rPr>
                <w:sz w:val="14"/>
                <w:szCs w:val="14"/>
              </w:rPr>
              <w:fldChar w:fldCharType="separate"/>
            </w:r>
            <w:r w:rsidRPr="004125CE">
              <w:rPr>
                <w:sz w:val="14"/>
              </w:rPr>
              <w:t>[73]</w:t>
            </w:r>
            <w:r w:rsidRPr="00BF62A1">
              <w:rPr>
                <w:sz w:val="14"/>
                <w:szCs w:val="14"/>
              </w:rPr>
              <w:fldChar w:fldCharType="end"/>
            </w:r>
          </w:p>
        </w:tc>
        <w:tc>
          <w:tcPr>
            <w:tcW w:w="468" w:type="pct"/>
            <w:vMerge w:val="restart"/>
            <w:tcBorders>
              <w:top w:val="single" w:sz="8" w:space="0" w:color="auto"/>
              <w:left w:val="single" w:sz="4" w:space="0" w:color="auto"/>
              <w:right w:val="single" w:sz="4" w:space="0" w:color="auto"/>
            </w:tcBorders>
          </w:tcPr>
          <w:p w14:paraId="0D5FDD6B" w14:textId="77777777" w:rsidR="000F0341" w:rsidRPr="00BF62A1" w:rsidRDefault="000F0341" w:rsidP="00E40B0D">
            <w:pPr>
              <w:spacing w:line="240" w:lineRule="auto"/>
              <w:jc w:val="left"/>
              <w:rPr>
                <w:sz w:val="14"/>
                <w:szCs w:val="14"/>
              </w:rPr>
            </w:pPr>
            <w:r w:rsidRPr="00BF62A1">
              <w:rPr>
                <w:sz w:val="14"/>
                <w:szCs w:val="14"/>
              </w:rPr>
              <w:t>5900</w:t>
            </w:r>
          </w:p>
        </w:tc>
        <w:tc>
          <w:tcPr>
            <w:tcW w:w="626" w:type="pct"/>
            <w:vMerge w:val="restart"/>
            <w:tcBorders>
              <w:top w:val="single" w:sz="8" w:space="0" w:color="auto"/>
              <w:left w:val="single" w:sz="4" w:space="0" w:color="auto"/>
              <w:right w:val="single" w:sz="4" w:space="0" w:color="auto"/>
            </w:tcBorders>
          </w:tcPr>
          <w:p w14:paraId="31BE1276" w14:textId="77777777" w:rsidR="000F0341" w:rsidRPr="00BF62A1" w:rsidRDefault="000F0341" w:rsidP="00E40B0D">
            <w:pPr>
              <w:spacing w:line="240" w:lineRule="auto"/>
              <w:jc w:val="left"/>
              <w:rPr>
                <w:sz w:val="14"/>
                <w:szCs w:val="14"/>
              </w:rPr>
            </w:pPr>
            <w:r w:rsidRPr="00BF62A1">
              <w:rPr>
                <w:sz w:val="14"/>
                <w:szCs w:val="14"/>
              </w:rPr>
              <w:t>Quartiles</w:t>
            </w:r>
          </w:p>
        </w:tc>
        <w:tc>
          <w:tcPr>
            <w:tcW w:w="624" w:type="pct"/>
            <w:vMerge w:val="restart"/>
            <w:tcBorders>
              <w:top w:val="single" w:sz="8" w:space="0" w:color="auto"/>
              <w:left w:val="single" w:sz="4" w:space="0" w:color="auto"/>
              <w:right w:val="single" w:sz="4" w:space="0" w:color="auto"/>
            </w:tcBorders>
          </w:tcPr>
          <w:p w14:paraId="63D7025F" w14:textId="77777777" w:rsidR="000F0341" w:rsidRPr="00BF62A1" w:rsidRDefault="000F0341" w:rsidP="00E40B0D">
            <w:pPr>
              <w:spacing w:line="240" w:lineRule="auto"/>
              <w:jc w:val="left"/>
              <w:rPr>
                <w:sz w:val="14"/>
                <w:szCs w:val="14"/>
              </w:rPr>
            </w:pPr>
            <w:r w:rsidRPr="00BF62A1">
              <w:rPr>
                <w:sz w:val="14"/>
                <w:szCs w:val="14"/>
              </w:rPr>
              <w:t>-</w:t>
            </w:r>
          </w:p>
        </w:tc>
        <w:tc>
          <w:tcPr>
            <w:tcW w:w="782" w:type="pct"/>
            <w:tcBorders>
              <w:top w:val="single" w:sz="8" w:space="0" w:color="auto"/>
              <w:left w:val="single" w:sz="4" w:space="0" w:color="auto"/>
              <w:bottom w:val="single" w:sz="4" w:space="0" w:color="auto"/>
              <w:right w:val="single" w:sz="4" w:space="0" w:color="auto"/>
            </w:tcBorders>
          </w:tcPr>
          <w:p w14:paraId="4A82D79E" w14:textId="77777777" w:rsidR="000F0341" w:rsidRPr="00BF62A1" w:rsidRDefault="000F0341" w:rsidP="00E40B0D">
            <w:pPr>
              <w:spacing w:line="240" w:lineRule="auto"/>
              <w:jc w:val="left"/>
              <w:rPr>
                <w:sz w:val="14"/>
                <w:szCs w:val="14"/>
              </w:rPr>
            </w:pPr>
            <w:r w:rsidRPr="00BF62A1">
              <w:rPr>
                <w:sz w:val="14"/>
                <w:szCs w:val="14"/>
              </w:rPr>
              <w:t>1-2</w:t>
            </w:r>
          </w:p>
        </w:tc>
        <w:tc>
          <w:tcPr>
            <w:tcW w:w="739" w:type="pct"/>
            <w:tcBorders>
              <w:top w:val="single" w:sz="8" w:space="0" w:color="auto"/>
              <w:left w:val="single" w:sz="4" w:space="0" w:color="auto"/>
              <w:right w:val="single" w:sz="4" w:space="0" w:color="auto"/>
            </w:tcBorders>
          </w:tcPr>
          <w:p w14:paraId="1896B1D3" w14:textId="77777777" w:rsidR="000F0341" w:rsidRPr="00BF62A1" w:rsidRDefault="000F0341" w:rsidP="00E40B0D">
            <w:pPr>
              <w:spacing w:line="240" w:lineRule="auto"/>
              <w:jc w:val="left"/>
              <w:rPr>
                <w:sz w:val="14"/>
                <w:szCs w:val="14"/>
              </w:rPr>
            </w:pPr>
            <w:r w:rsidRPr="00BF62A1">
              <w:rPr>
                <w:sz w:val="14"/>
                <w:szCs w:val="14"/>
              </w:rPr>
              <w:t>1412</w:t>
            </w:r>
          </w:p>
        </w:tc>
        <w:tc>
          <w:tcPr>
            <w:tcW w:w="980" w:type="pct"/>
            <w:vMerge w:val="restart"/>
            <w:tcBorders>
              <w:top w:val="single" w:sz="8" w:space="0" w:color="auto"/>
              <w:left w:val="single" w:sz="4" w:space="0" w:color="auto"/>
              <w:right w:val="single" w:sz="4" w:space="0" w:color="auto"/>
            </w:tcBorders>
          </w:tcPr>
          <w:p w14:paraId="6830B4EE" w14:textId="77777777" w:rsidR="000F0341" w:rsidRPr="00BF62A1" w:rsidRDefault="000F0341" w:rsidP="00E40B0D">
            <w:pPr>
              <w:spacing w:line="240" w:lineRule="auto"/>
              <w:jc w:val="left"/>
              <w:rPr>
                <w:sz w:val="14"/>
                <w:szCs w:val="14"/>
              </w:rPr>
            </w:pPr>
            <w:r w:rsidRPr="00BF62A1">
              <w:rPr>
                <w:sz w:val="14"/>
                <w:szCs w:val="14"/>
              </w:rPr>
              <w:t>-</w:t>
            </w:r>
          </w:p>
        </w:tc>
      </w:tr>
      <w:tr w:rsidR="000F0341" w:rsidRPr="00BF62A1" w14:paraId="375C0E22" w14:textId="77777777" w:rsidTr="00E40B0D">
        <w:trPr>
          <w:trHeight w:val="90"/>
        </w:trPr>
        <w:tc>
          <w:tcPr>
            <w:tcW w:w="782" w:type="pct"/>
            <w:vMerge/>
            <w:tcBorders>
              <w:left w:val="single" w:sz="4" w:space="0" w:color="auto"/>
              <w:right w:val="single" w:sz="4" w:space="0" w:color="auto"/>
            </w:tcBorders>
          </w:tcPr>
          <w:p w14:paraId="422638F8" w14:textId="77777777" w:rsidR="000F0341" w:rsidRPr="00BF62A1"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4F644A40" w14:textId="77777777" w:rsidR="000F0341" w:rsidRPr="00BF62A1"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55815004" w14:textId="77777777" w:rsidR="000F0341" w:rsidRPr="00BF62A1" w:rsidRDefault="000F0341" w:rsidP="00E40B0D">
            <w:pPr>
              <w:spacing w:line="240" w:lineRule="auto"/>
              <w:jc w:val="left"/>
              <w:rPr>
                <w:sz w:val="14"/>
                <w:szCs w:val="14"/>
              </w:rPr>
            </w:pPr>
          </w:p>
        </w:tc>
        <w:tc>
          <w:tcPr>
            <w:tcW w:w="624" w:type="pct"/>
            <w:vMerge/>
            <w:tcBorders>
              <w:left w:val="single" w:sz="4" w:space="0" w:color="auto"/>
              <w:right w:val="single" w:sz="4" w:space="0" w:color="auto"/>
            </w:tcBorders>
          </w:tcPr>
          <w:p w14:paraId="5CE79054" w14:textId="77777777" w:rsidR="000F0341" w:rsidRPr="00BF62A1" w:rsidRDefault="000F0341" w:rsidP="00E40B0D">
            <w:pPr>
              <w:spacing w:line="240" w:lineRule="auto"/>
              <w:jc w:val="left"/>
              <w:rPr>
                <w:sz w:val="14"/>
                <w:szCs w:val="14"/>
              </w:rPr>
            </w:pPr>
          </w:p>
        </w:tc>
        <w:tc>
          <w:tcPr>
            <w:tcW w:w="782" w:type="pct"/>
            <w:tcBorders>
              <w:top w:val="single" w:sz="4" w:space="0" w:color="auto"/>
              <w:left w:val="single" w:sz="4" w:space="0" w:color="auto"/>
              <w:bottom w:val="single" w:sz="4" w:space="0" w:color="auto"/>
              <w:right w:val="single" w:sz="4" w:space="0" w:color="auto"/>
            </w:tcBorders>
          </w:tcPr>
          <w:p w14:paraId="3A98CF6A" w14:textId="77777777" w:rsidR="000F0341" w:rsidRPr="00BF62A1" w:rsidRDefault="000F0341" w:rsidP="00E40B0D">
            <w:pPr>
              <w:spacing w:line="240" w:lineRule="auto"/>
              <w:jc w:val="left"/>
              <w:rPr>
                <w:sz w:val="14"/>
                <w:szCs w:val="14"/>
              </w:rPr>
            </w:pPr>
            <w:r w:rsidRPr="00BF62A1">
              <w:rPr>
                <w:sz w:val="14"/>
                <w:szCs w:val="14"/>
              </w:rPr>
              <w:t>3-5</w:t>
            </w:r>
          </w:p>
        </w:tc>
        <w:tc>
          <w:tcPr>
            <w:tcW w:w="739" w:type="pct"/>
            <w:tcBorders>
              <w:left w:val="single" w:sz="4" w:space="0" w:color="auto"/>
              <w:right w:val="single" w:sz="4" w:space="0" w:color="auto"/>
            </w:tcBorders>
          </w:tcPr>
          <w:p w14:paraId="1359FABD" w14:textId="77777777" w:rsidR="000F0341" w:rsidRPr="00BF62A1" w:rsidRDefault="000F0341" w:rsidP="00E40B0D">
            <w:pPr>
              <w:spacing w:line="240" w:lineRule="auto"/>
              <w:jc w:val="left"/>
              <w:rPr>
                <w:sz w:val="14"/>
                <w:szCs w:val="14"/>
              </w:rPr>
            </w:pPr>
            <w:r w:rsidRPr="00BF62A1">
              <w:rPr>
                <w:sz w:val="14"/>
                <w:szCs w:val="14"/>
              </w:rPr>
              <w:t>1533</w:t>
            </w:r>
          </w:p>
        </w:tc>
        <w:tc>
          <w:tcPr>
            <w:tcW w:w="980" w:type="pct"/>
            <w:vMerge/>
            <w:tcBorders>
              <w:left w:val="single" w:sz="4" w:space="0" w:color="auto"/>
              <w:right w:val="single" w:sz="4" w:space="0" w:color="auto"/>
            </w:tcBorders>
          </w:tcPr>
          <w:p w14:paraId="7DF4E758" w14:textId="77777777" w:rsidR="000F0341" w:rsidRPr="00BF62A1" w:rsidRDefault="000F0341" w:rsidP="00E40B0D">
            <w:pPr>
              <w:pStyle w:val="ListParagraph"/>
              <w:spacing w:line="240" w:lineRule="auto"/>
              <w:jc w:val="left"/>
              <w:rPr>
                <w:sz w:val="14"/>
                <w:szCs w:val="14"/>
              </w:rPr>
            </w:pPr>
          </w:p>
        </w:tc>
      </w:tr>
      <w:tr w:rsidR="000F0341" w:rsidRPr="00BF62A1" w14:paraId="5B4A2259" w14:textId="77777777" w:rsidTr="00E40B0D">
        <w:trPr>
          <w:trHeight w:val="20"/>
        </w:trPr>
        <w:tc>
          <w:tcPr>
            <w:tcW w:w="782" w:type="pct"/>
            <w:vMerge/>
            <w:tcBorders>
              <w:left w:val="single" w:sz="4" w:space="0" w:color="auto"/>
              <w:right w:val="single" w:sz="4" w:space="0" w:color="auto"/>
            </w:tcBorders>
          </w:tcPr>
          <w:p w14:paraId="61970F3B" w14:textId="77777777" w:rsidR="000F0341" w:rsidRPr="00BF62A1"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7B304550" w14:textId="77777777" w:rsidR="000F0341" w:rsidRPr="00BF62A1"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05E00A13" w14:textId="77777777" w:rsidR="000F0341" w:rsidRPr="00BF62A1" w:rsidRDefault="000F0341" w:rsidP="00E40B0D">
            <w:pPr>
              <w:spacing w:line="240" w:lineRule="auto"/>
              <w:jc w:val="left"/>
              <w:rPr>
                <w:sz w:val="14"/>
                <w:szCs w:val="14"/>
              </w:rPr>
            </w:pPr>
          </w:p>
        </w:tc>
        <w:tc>
          <w:tcPr>
            <w:tcW w:w="624" w:type="pct"/>
            <w:vMerge/>
            <w:tcBorders>
              <w:left w:val="single" w:sz="4" w:space="0" w:color="auto"/>
              <w:right w:val="single" w:sz="4" w:space="0" w:color="auto"/>
            </w:tcBorders>
          </w:tcPr>
          <w:p w14:paraId="7EEF1FB0" w14:textId="77777777" w:rsidR="000F0341" w:rsidRPr="00BF62A1" w:rsidRDefault="000F0341" w:rsidP="00E40B0D">
            <w:pPr>
              <w:spacing w:line="240" w:lineRule="auto"/>
              <w:jc w:val="left"/>
              <w:rPr>
                <w:sz w:val="14"/>
                <w:szCs w:val="14"/>
              </w:rPr>
            </w:pPr>
          </w:p>
        </w:tc>
        <w:tc>
          <w:tcPr>
            <w:tcW w:w="782" w:type="pct"/>
            <w:tcBorders>
              <w:top w:val="single" w:sz="4" w:space="0" w:color="auto"/>
              <w:left w:val="single" w:sz="4" w:space="0" w:color="auto"/>
              <w:bottom w:val="single" w:sz="4" w:space="0" w:color="auto"/>
              <w:right w:val="single" w:sz="4" w:space="0" w:color="auto"/>
            </w:tcBorders>
          </w:tcPr>
          <w:p w14:paraId="369FAA42" w14:textId="77777777" w:rsidR="000F0341" w:rsidRPr="00BF62A1" w:rsidRDefault="000F0341" w:rsidP="00E40B0D">
            <w:pPr>
              <w:spacing w:line="240" w:lineRule="auto"/>
              <w:jc w:val="left"/>
              <w:rPr>
                <w:sz w:val="14"/>
                <w:szCs w:val="14"/>
              </w:rPr>
            </w:pPr>
            <w:r w:rsidRPr="00BF62A1">
              <w:rPr>
                <w:sz w:val="14"/>
                <w:szCs w:val="14"/>
              </w:rPr>
              <w:t>6-12</w:t>
            </w:r>
          </w:p>
        </w:tc>
        <w:tc>
          <w:tcPr>
            <w:tcW w:w="739" w:type="pct"/>
            <w:tcBorders>
              <w:left w:val="single" w:sz="4" w:space="0" w:color="auto"/>
              <w:right w:val="single" w:sz="4" w:space="0" w:color="auto"/>
            </w:tcBorders>
          </w:tcPr>
          <w:p w14:paraId="2653819E" w14:textId="77777777" w:rsidR="000F0341" w:rsidRPr="00BF62A1" w:rsidRDefault="000F0341" w:rsidP="00E40B0D">
            <w:pPr>
              <w:spacing w:line="240" w:lineRule="auto"/>
              <w:jc w:val="left"/>
              <w:rPr>
                <w:sz w:val="14"/>
                <w:szCs w:val="14"/>
              </w:rPr>
            </w:pPr>
            <w:r w:rsidRPr="00BF62A1">
              <w:rPr>
                <w:sz w:val="14"/>
                <w:szCs w:val="14"/>
              </w:rPr>
              <w:t>1357</w:t>
            </w:r>
          </w:p>
        </w:tc>
        <w:tc>
          <w:tcPr>
            <w:tcW w:w="980" w:type="pct"/>
            <w:vMerge/>
            <w:tcBorders>
              <w:left w:val="single" w:sz="4" w:space="0" w:color="auto"/>
              <w:right w:val="single" w:sz="4" w:space="0" w:color="auto"/>
            </w:tcBorders>
          </w:tcPr>
          <w:p w14:paraId="6CA0437E" w14:textId="77777777" w:rsidR="000F0341" w:rsidRPr="00BF62A1" w:rsidRDefault="000F0341" w:rsidP="00E40B0D">
            <w:pPr>
              <w:pStyle w:val="ListParagraph"/>
              <w:spacing w:line="240" w:lineRule="auto"/>
              <w:jc w:val="left"/>
              <w:rPr>
                <w:sz w:val="14"/>
                <w:szCs w:val="14"/>
              </w:rPr>
            </w:pPr>
          </w:p>
        </w:tc>
      </w:tr>
      <w:tr w:rsidR="000F0341" w:rsidRPr="00BF62A1" w14:paraId="1A2E1FA2" w14:textId="77777777" w:rsidTr="00E40B0D">
        <w:trPr>
          <w:trHeight w:val="40"/>
        </w:trPr>
        <w:tc>
          <w:tcPr>
            <w:tcW w:w="782" w:type="pct"/>
            <w:vMerge/>
            <w:tcBorders>
              <w:left w:val="single" w:sz="4" w:space="0" w:color="auto"/>
              <w:bottom w:val="single" w:sz="8" w:space="0" w:color="auto"/>
              <w:right w:val="single" w:sz="4" w:space="0" w:color="auto"/>
            </w:tcBorders>
          </w:tcPr>
          <w:p w14:paraId="461487A0" w14:textId="77777777" w:rsidR="000F0341" w:rsidRPr="00BF62A1" w:rsidRDefault="000F0341" w:rsidP="00E40B0D">
            <w:pPr>
              <w:spacing w:line="240" w:lineRule="auto"/>
              <w:jc w:val="left"/>
              <w:rPr>
                <w:sz w:val="14"/>
                <w:szCs w:val="14"/>
              </w:rPr>
            </w:pPr>
          </w:p>
        </w:tc>
        <w:tc>
          <w:tcPr>
            <w:tcW w:w="468" w:type="pct"/>
            <w:vMerge/>
            <w:tcBorders>
              <w:left w:val="single" w:sz="4" w:space="0" w:color="auto"/>
              <w:bottom w:val="single" w:sz="8" w:space="0" w:color="auto"/>
              <w:right w:val="single" w:sz="4" w:space="0" w:color="auto"/>
            </w:tcBorders>
          </w:tcPr>
          <w:p w14:paraId="1CA3D00E" w14:textId="77777777" w:rsidR="000F0341" w:rsidRPr="00BF62A1" w:rsidRDefault="000F0341" w:rsidP="00E40B0D">
            <w:pPr>
              <w:spacing w:line="240" w:lineRule="auto"/>
              <w:jc w:val="left"/>
              <w:rPr>
                <w:sz w:val="14"/>
                <w:szCs w:val="14"/>
              </w:rPr>
            </w:pPr>
          </w:p>
        </w:tc>
        <w:tc>
          <w:tcPr>
            <w:tcW w:w="626" w:type="pct"/>
            <w:vMerge/>
            <w:tcBorders>
              <w:left w:val="single" w:sz="4" w:space="0" w:color="auto"/>
              <w:bottom w:val="single" w:sz="8" w:space="0" w:color="auto"/>
              <w:right w:val="single" w:sz="4" w:space="0" w:color="auto"/>
            </w:tcBorders>
          </w:tcPr>
          <w:p w14:paraId="53717523" w14:textId="77777777" w:rsidR="000F0341" w:rsidRPr="00BF62A1" w:rsidRDefault="000F0341" w:rsidP="00E40B0D">
            <w:pPr>
              <w:spacing w:line="240" w:lineRule="auto"/>
              <w:jc w:val="left"/>
              <w:rPr>
                <w:sz w:val="14"/>
                <w:szCs w:val="14"/>
              </w:rPr>
            </w:pPr>
          </w:p>
        </w:tc>
        <w:tc>
          <w:tcPr>
            <w:tcW w:w="624" w:type="pct"/>
            <w:vMerge/>
            <w:tcBorders>
              <w:left w:val="single" w:sz="4" w:space="0" w:color="auto"/>
              <w:bottom w:val="single" w:sz="8" w:space="0" w:color="auto"/>
              <w:right w:val="single" w:sz="4" w:space="0" w:color="auto"/>
            </w:tcBorders>
          </w:tcPr>
          <w:p w14:paraId="42A7A791" w14:textId="77777777" w:rsidR="000F0341" w:rsidRPr="00BF62A1" w:rsidRDefault="000F0341" w:rsidP="00E40B0D">
            <w:pPr>
              <w:spacing w:line="240" w:lineRule="auto"/>
              <w:jc w:val="left"/>
              <w:rPr>
                <w:sz w:val="14"/>
                <w:szCs w:val="14"/>
              </w:rPr>
            </w:pPr>
          </w:p>
        </w:tc>
        <w:tc>
          <w:tcPr>
            <w:tcW w:w="782" w:type="pct"/>
            <w:tcBorders>
              <w:top w:val="single" w:sz="4" w:space="0" w:color="auto"/>
              <w:left w:val="single" w:sz="4" w:space="0" w:color="auto"/>
              <w:bottom w:val="single" w:sz="8" w:space="0" w:color="auto"/>
              <w:right w:val="single" w:sz="4" w:space="0" w:color="auto"/>
            </w:tcBorders>
          </w:tcPr>
          <w:p w14:paraId="34D43613" w14:textId="77777777" w:rsidR="000F0341" w:rsidRPr="00BF62A1" w:rsidRDefault="000F0341" w:rsidP="00E40B0D">
            <w:pPr>
              <w:spacing w:line="240" w:lineRule="auto"/>
              <w:jc w:val="left"/>
              <w:rPr>
                <w:sz w:val="14"/>
                <w:szCs w:val="14"/>
              </w:rPr>
            </w:pPr>
            <w:r w:rsidRPr="00BF62A1">
              <w:rPr>
                <w:sz w:val="14"/>
                <w:szCs w:val="14"/>
              </w:rPr>
              <w:t>13-40</w:t>
            </w:r>
          </w:p>
        </w:tc>
        <w:tc>
          <w:tcPr>
            <w:tcW w:w="739" w:type="pct"/>
            <w:tcBorders>
              <w:left w:val="single" w:sz="4" w:space="0" w:color="auto"/>
              <w:bottom w:val="single" w:sz="8" w:space="0" w:color="auto"/>
              <w:right w:val="single" w:sz="4" w:space="0" w:color="auto"/>
            </w:tcBorders>
          </w:tcPr>
          <w:p w14:paraId="4C2B4CEB" w14:textId="77777777" w:rsidR="000F0341" w:rsidRPr="00BF62A1" w:rsidRDefault="000F0341" w:rsidP="00E40B0D">
            <w:pPr>
              <w:spacing w:line="240" w:lineRule="auto"/>
              <w:jc w:val="left"/>
              <w:rPr>
                <w:sz w:val="14"/>
                <w:szCs w:val="14"/>
              </w:rPr>
            </w:pPr>
            <w:r w:rsidRPr="00BF62A1">
              <w:rPr>
                <w:sz w:val="14"/>
                <w:szCs w:val="14"/>
              </w:rPr>
              <w:t>1578</w:t>
            </w:r>
          </w:p>
        </w:tc>
        <w:tc>
          <w:tcPr>
            <w:tcW w:w="980" w:type="pct"/>
            <w:vMerge/>
            <w:tcBorders>
              <w:left w:val="single" w:sz="4" w:space="0" w:color="auto"/>
              <w:bottom w:val="single" w:sz="8" w:space="0" w:color="auto"/>
              <w:right w:val="single" w:sz="4" w:space="0" w:color="auto"/>
            </w:tcBorders>
          </w:tcPr>
          <w:p w14:paraId="3432C14B" w14:textId="77777777" w:rsidR="000F0341" w:rsidRPr="00BF62A1" w:rsidRDefault="000F0341" w:rsidP="00E40B0D">
            <w:pPr>
              <w:pStyle w:val="ListParagraph"/>
              <w:spacing w:line="240" w:lineRule="auto"/>
              <w:jc w:val="left"/>
              <w:rPr>
                <w:sz w:val="14"/>
                <w:szCs w:val="14"/>
              </w:rPr>
            </w:pPr>
          </w:p>
        </w:tc>
      </w:tr>
      <w:tr w:rsidR="000F0341" w:rsidRPr="00BF62A1" w14:paraId="2BA10774" w14:textId="77777777" w:rsidTr="00E40B0D">
        <w:trPr>
          <w:trHeight w:val="20"/>
        </w:trPr>
        <w:tc>
          <w:tcPr>
            <w:tcW w:w="782" w:type="pct"/>
            <w:vMerge w:val="restart"/>
            <w:tcBorders>
              <w:top w:val="single" w:sz="8" w:space="0" w:color="auto"/>
              <w:left w:val="single" w:sz="4" w:space="0" w:color="auto"/>
              <w:right w:val="single" w:sz="4" w:space="0" w:color="auto"/>
            </w:tcBorders>
          </w:tcPr>
          <w:p w14:paraId="768044F8" w14:textId="77777777" w:rsidR="000F0341" w:rsidRPr="00BF62A1" w:rsidRDefault="000F0341" w:rsidP="00E40B0D">
            <w:pPr>
              <w:spacing w:line="240" w:lineRule="auto"/>
              <w:jc w:val="left"/>
              <w:rPr>
                <w:color w:val="000000"/>
                <w:sz w:val="14"/>
                <w:szCs w:val="14"/>
              </w:rPr>
            </w:pPr>
            <w:r w:rsidRPr="00BF62A1">
              <w:rPr>
                <w:sz w:val="14"/>
                <w:szCs w:val="14"/>
              </w:rPr>
              <w:t xml:space="preserve">Idrees 2018 </w:t>
            </w:r>
            <w:r w:rsidRPr="00BF62A1">
              <w:rPr>
                <w:sz w:val="14"/>
                <w:szCs w:val="14"/>
              </w:rPr>
              <w:fldChar w:fldCharType="begin"/>
            </w:r>
            <w:r>
              <w:rPr>
                <w:sz w:val="14"/>
                <w:szCs w:val="14"/>
              </w:rPr>
              <w:instrText xml:space="preserve"> ADDIN ZOTERO_ITEM CSL_CITATION {"citationID":"DTF46fX8","properties":{"formattedCitation":"[51]","plainCitation":"[51]","noteIndex":0},"citationItems":[{"id":14028,"uris":["http://zotero.org/groups/4983919/items/ZNE4B3X4"],"itemData":{"id":14028,"type":"article-journal","abstract":"OBJECTIVE: To estimate the cost of rescue and cost of failure and determine cost-effectiveness of rescue from major complications at high-volume (HV) and low-volume (LV) centers METHODS: Ninety-six thousand one hundred seven patients undergoing liver resection were identified from the Nationwide Inpatient Sample (NIS) between 2002 and 2011. The incremental cost of rescue and cost of FTR were calculated. Using propensity-matched cohorts, a cost-effectiveness analysis was performed to determine the incremental cost-effectiveness ratio (ICER) between HV and LV hospitals. RESULTS: Ninety-six thousand one hundred seven patients were identified in NIS. The overall mortality was 2.3% and was lowest in HV centers (HV 1.4% vs. MV 2.1% vs. LV 2.6%; p &lt; 0.001). Major complications occurred in 14.9% of hepatectomies and were comparable regardless of volume (HV 14.2% vs. MV 14.3% vs. LV 15.4%; p &lt; 0.001). The FTR rate was substantially lower among HV centers (HV 7.7%, MV 11%, LV 12%; p &lt; 0.001). At a willingness to pay benchmark of $50,000 per year of life saved, both HV (ICER = $3296) and MV (ICER = $4182) centers were cost-effective at rescuing patients from a major complication compared to LV hospitals. CONCLUSION: Not only was FTR less common at HV hospitals, but the management of most major complications was cost-effective at higher volume centers.","container-title":"J Gastrointest Surg","DOI":"10.1007/s11605-018-3826-6","ISSN":"1091-255x","issue":"10","language":"eng","page":"1688-1696","title":"The Cost of Failure: Assessing the Cost-Effectiveness of Rescuing Patients from Major Complications After Liver Resection Using the National Inpatient Sample","volume":"22","author":[{"family":"Idrees","given":"J. J."},{"family":"Kimbrough","given":"C. W."},{"family":"Rosinski","given":"B. F."},{"family":"Schmidt","given":"C."},{"family":"Dillhoff","given":"M. E."},{"family":"Beal","given":"E. W."},{"family":"Bagante","given":"F."},{"family":"Merath","given":"K."},{"family":"Chen","given":"Q."},{"family":"Cloyd","given":"J. M."},{"family":"Ellison","given":"E. C."},{"family":"Pawlik","given":"T. M."}],"issued":{"date-parts":[["2018",10]]}}}],"schema":"https://github.com/citation-style-language/schema/raw/master/csl-citation.json"} </w:instrText>
            </w:r>
            <w:r w:rsidRPr="00BF62A1">
              <w:rPr>
                <w:sz w:val="14"/>
                <w:szCs w:val="14"/>
              </w:rPr>
              <w:fldChar w:fldCharType="separate"/>
            </w:r>
            <w:r w:rsidRPr="004125CE">
              <w:rPr>
                <w:sz w:val="14"/>
              </w:rPr>
              <w:t>[51]</w:t>
            </w:r>
            <w:r w:rsidRPr="00BF62A1">
              <w:rPr>
                <w:sz w:val="14"/>
                <w:szCs w:val="14"/>
              </w:rPr>
              <w:fldChar w:fldCharType="end"/>
            </w:r>
          </w:p>
        </w:tc>
        <w:tc>
          <w:tcPr>
            <w:tcW w:w="468" w:type="pct"/>
            <w:vMerge w:val="restart"/>
            <w:tcBorders>
              <w:top w:val="single" w:sz="8" w:space="0" w:color="auto"/>
              <w:left w:val="single" w:sz="4" w:space="0" w:color="auto"/>
              <w:right w:val="single" w:sz="4" w:space="0" w:color="auto"/>
            </w:tcBorders>
          </w:tcPr>
          <w:p w14:paraId="31E2C3FF" w14:textId="77777777" w:rsidR="000F0341" w:rsidRPr="00BF62A1" w:rsidRDefault="000F0341" w:rsidP="00E40B0D">
            <w:pPr>
              <w:spacing w:line="240" w:lineRule="auto"/>
              <w:jc w:val="left"/>
              <w:rPr>
                <w:sz w:val="14"/>
                <w:szCs w:val="14"/>
              </w:rPr>
            </w:pPr>
            <w:r w:rsidRPr="00BF62A1">
              <w:rPr>
                <w:sz w:val="14"/>
                <w:szCs w:val="14"/>
              </w:rPr>
              <w:t>96107</w:t>
            </w:r>
          </w:p>
        </w:tc>
        <w:tc>
          <w:tcPr>
            <w:tcW w:w="626" w:type="pct"/>
            <w:vMerge w:val="restart"/>
            <w:tcBorders>
              <w:top w:val="single" w:sz="8" w:space="0" w:color="auto"/>
              <w:left w:val="single" w:sz="4" w:space="0" w:color="auto"/>
              <w:right w:val="single" w:sz="4" w:space="0" w:color="auto"/>
            </w:tcBorders>
          </w:tcPr>
          <w:p w14:paraId="6385E8AC" w14:textId="77777777" w:rsidR="000F0341" w:rsidRPr="00BF62A1" w:rsidRDefault="000F0341" w:rsidP="00E40B0D">
            <w:pPr>
              <w:spacing w:line="240" w:lineRule="auto"/>
              <w:jc w:val="left"/>
              <w:rPr>
                <w:sz w:val="14"/>
                <w:szCs w:val="14"/>
              </w:rPr>
            </w:pPr>
            <w:r w:rsidRPr="00BF62A1">
              <w:rPr>
                <w:sz w:val="14"/>
                <w:szCs w:val="14"/>
              </w:rPr>
              <w:t>-</w:t>
            </w:r>
          </w:p>
        </w:tc>
        <w:tc>
          <w:tcPr>
            <w:tcW w:w="624" w:type="pct"/>
            <w:tcBorders>
              <w:top w:val="single" w:sz="8" w:space="0" w:color="auto"/>
              <w:left w:val="single" w:sz="4" w:space="0" w:color="auto"/>
              <w:bottom w:val="single" w:sz="4" w:space="0" w:color="auto"/>
              <w:right w:val="single" w:sz="4" w:space="0" w:color="auto"/>
            </w:tcBorders>
          </w:tcPr>
          <w:p w14:paraId="233C02ED" w14:textId="77777777" w:rsidR="000F0341" w:rsidRPr="00BF62A1" w:rsidRDefault="000F0341" w:rsidP="00E40B0D">
            <w:pPr>
              <w:spacing w:line="240" w:lineRule="auto"/>
              <w:jc w:val="left"/>
              <w:rPr>
                <w:sz w:val="14"/>
                <w:szCs w:val="14"/>
              </w:rPr>
            </w:pPr>
            <w:r w:rsidRPr="00BF62A1">
              <w:rPr>
                <w:sz w:val="14"/>
                <w:szCs w:val="14"/>
              </w:rPr>
              <w:t>Low</w:t>
            </w:r>
          </w:p>
        </w:tc>
        <w:tc>
          <w:tcPr>
            <w:tcW w:w="782" w:type="pct"/>
            <w:tcBorders>
              <w:top w:val="single" w:sz="8" w:space="0" w:color="auto"/>
              <w:left w:val="single" w:sz="4" w:space="0" w:color="auto"/>
              <w:right w:val="single" w:sz="4" w:space="0" w:color="auto"/>
            </w:tcBorders>
          </w:tcPr>
          <w:p w14:paraId="5048FBEA" w14:textId="77777777" w:rsidR="000F0341" w:rsidRPr="00BF62A1" w:rsidRDefault="000F0341" w:rsidP="00E40B0D">
            <w:pPr>
              <w:spacing w:line="240" w:lineRule="auto"/>
              <w:jc w:val="left"/>
              <w:rPr>
                <w:sz w:val="14"/>
                <w:szCs w:val="14"/>
              </w:rPr>
            </w:pPr>
            <w:r w:rsidRPr="00BF62A1">
              <w:rPr>
                <w:sz w:val="14"/>
                <w:szCs w:val="14"/>
              </w:rPr>
              <w:t>1-50</w:t>
            </w:r>
          </w:p>
        </w:tc>
        <w:tc>
          <w:tcPr>
            <w:tcW w:w="739" w:type="pct"/>
            <w:tcBorders>
              <w:top w:val="single" w:sz="8" w:space="0" w:color="auto"/>
              <w:left w:val="single" w:sz="4" w:space="0" w:color="auto"/>
              <w:right w:val="single" w:sz="4" w:space="0" w:color="auto"/>
            </w:tcBorders>
          </w:tcPr>
          <w:p w14:paraId="1AF5143B" w14:textId="77777777" w:rsidR="000F0341" w:rsidRPr="00BF62A1" w:rsidRDefault="000F0341" w:rsidP="00E40B0D">
            <w:pPr>
              <w:spacing w:line="240" w:lineRule="auto"/>
              <w:jc w:val="left"/>
              <w:rPr>
                <w:sz w:val="14"/>
                <w:szCs w:val="14"/>
              </w:rPr>
            </w:pPr>
            <w:r w:rsidRPr="00BF62A1">
              <w:rPr>
                <w:sz w:val="14"/>
                <w:szCs w:val="14"/>
              </w:rPr>
              <w:t>52472 (55)</w:t>
            </w:r>
          </w:p>
        </w:tc>
        <w:tc>
          <w:tcPr>
            <w:tcW w:w="980" w:type="pct"/>
            <w:vMerge w:val="restart"/>
            <w:tcBorders>
              <w:top w:val="single" w:sz="8" w:space="0" w:color="auto"/>
              <w:left w:val="single" w:sz="4" w:space="0" w:color="auto"/>
              <w:right w:val="single" w:sz="4" w:space="0" w:color="auto"/>
            </w:tcBorders>
          </w:tcPr>
          <w:p w14:paraId="4715D534" w14:textId="77777777" w:rsidR="000F0341" w:rsidRPr="00BF62A1" w:rsidRDefault="000F0341" w:rsidP="00E40B0D">
            <w:pPr>
              <w:spacing w:line="240" w:lineRule="auto"/>
              <w:jc w:val="left"/>
              <w:rPr>
                <w:sz w:val="14"/>
                <w:szCs w:val="14"/>
              </w:rPr>
            </w:pPr>
            <w:r w:rsidRPr="00BF62A1">
              <w:rPr>
                <w:sz w:val="14"/>
                <w:szCs w:val="14"/>
              </w:rPr>
              <w:t>-</w:t>
            </w:r>
          </w:p>
        </w:tc>
      </w:tr>
      <w:tr w:rsidR="000F0341" w:rsidRPr="00BF62A1" w14:paraId="0E80CC62" w14:textId="77777777" w:rsidTr="00E40B0D">
        <w:trPr>
          <w:trHeight w:val="20"/>
        </w:trPr>
        <w:tc>
          <w:tcPr>
            <w:tcW w:w="782" w:type="pct"/>
            <w:vMerge/>
            <w:tcBorders>
              <w:left w:val="single" w:sz="4" w:space="0" w:color="auto"/>
              <w:right w:val="single" w:sz="4" w:space="0" w:color="auto"/>
            </w:tcBorders>
          </w:tcPr>
          <w:p w14:paraId="5BA7C5A1" w14:textId="77777777" w:rsidR="000F0341" w:rsidRPr="00BF62A1"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4E559F2F" w14:textId="77777777" w:rsidR="000F0341" w:rsidRPr="00BF62A1"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45C8A4EB" w14:textId="77777777" w:rsidR="000F0341" w:rsidRPr="00BF62A1"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3D6B92DA" w14:textId="77777777" w:rsidR="000F0341" w:rsidRPr="00BF62A1" w:rsidRDefault="000F0341" w:rsidP="00E40B0D">
            <w:pPr>
              <w:spacing w:line="240" w:lineRule="auto"/>
              <w:jc w:val="left"/>
              <w:rPr>
                <w:sz w:val="14"/>
                <w:szCs w:val="14"/>
              </w:rPr>
            </w:pPr>
            <w:r w:rsidRPr="00BF62A1">
              <w:rPr>
                <w:sz w:val="14"/>
                <w:szCs w:val="14"/>
              </w:rPr>
              <w:t>Medium</w:t>
            </w:r>
          </w:p>
        </w:tc>
        <w:tc>
          <w:tcPr>
            <w:tcW w:w="782" w:type="pct"/>
            <w:tcBorders>
              <w:left w:val="single" w:sz="4" w:space="0" w:color="auto"/>
              <w:right w:val="single" w:sz="4" w:space="0" w:color="auto"/>
            </w:tcBorders>
          </w:tcPr>
          <w:p w14:paraId="62ED99F9" w14:textId="77777777" w:rsidR="000F0341" w:rsidRPr="00BF62A1" w:rsidRDefault="000F0341" w:rsidP="00E40B0D">
            <w:pPr>
              <w:spacing w:line="240" w:lineRule="auto"/>
              <w:jc w:val="left"/>
              <w:rPr>
                <w:sz w:val="14"/>
                <w:szCs w:val="14"/>
              </w:rPr>
            </w:pPr>
            <w:r w:rsidRPr="00BF62A1">
              <w:rPr>
                <w:sz w:val="14"/>
                <w:szCs w:val="14"/>
              </w:rPr>
              <w:t>51-149</w:t>
            </w:r>
          </w:p>
        </w:tc>
        <w:tc>
          <w:tcPr>
            <w:tcW w:w="739" w:type="pct"/>
            <w:tcBorders>
              <w:left w:val="single" w:sz="4" w:space="0" w:color="auto"/>
              <w:right w:val="single" w:sz="4" w:space="0" w:color="auto"/>
            </w:tcBorders>
          </w:tcPr>
          <w:p w14:paraId="5038CB0F" w14:textId="77777777" w:rsidR="000F0341" w:rsidRPr="00BF62A1" w:rsidRDefault="000F0341" w:rsidP="00E40B0D">
            <w:pPr>
              <w:spacing w:line="240" w:lineRule="auto"/>
              <w:jc w:val="left"/>
              <w:rPr>
                <w:sz w:val="14"/>
                <w:szCs w:val="14"/>
              </w:rPr>
            </w:pPr>
            <w:r w:rsidRPr="00BF62A1">
              <w:rPr>
                <w:sz w:val="14"/>
                <w:szCs w:val="14"/>
              </w:rPr>
              <w:t>29931 (31)</w:t>
            </w:r>
          </w:p>
        </w:tc>
        <w:tc>
          <w:tcPr>
            <w:tcW w:w="980" w:type="pct"/>
            <w:vMerge/>
            <w:tcBorders>
              <w:left w:val="single" w:sz="4" w:space="0" w:color="auto"/>
              <w:right w:val="single" w:sz="4" w:space="0" w:color="auto"/>
            </w:tcBorders>
          </w:tcPr>
          <w:p w14:paraId="2DD2E3FA" w14:textId="77777777" w:rsidR="000F0341" w:rsidRPr="00BF62A1" w:rsidRDefault="000F0341" w:rsidP="00E40B0D">
            <w:pPr>
              <w:pStyle w:val="ListParagraph"/>
              <w:spacing w:line="240" w:lineRule="auto"/>
              <w:jc w:val="left"/>
              <w:rPr>
                <w:sz w:val="14"/>
                <w:szCs w:val="14"/>
              </w:rPr>
            </w:pPr>
          </w:p>
        </w:tc>
      </w:tr>
      <w:tr w:rsidR="000F0341" w:rsidRPr="00BF62A1" w14:paraId="151C7AFA" w14:textId="77777777" w:rsidTr="00E40B0D">
        <w:trPr>
          <w:trHeight w:val="20"/>
        </w:trPr>
        <w:tc>
          <w:tcPr>
            <w:tcW w:w="782" w:type="pct"/>
            <w:vMerge/>
            <w:tcBorders>
              <w:left w:val="single" w:sz="4" w:space="0" w:color="auto"/>
              <w:bottom w:val="single" w:sz="8" w:space="0" w:color="auto"/>
              <w:right w:val="single" w:sz="4" w:space="0" w:color="auto"/>
            </w:tcBorders>
          </w:tcPr>
          <w:p w14:paraId="7E2D87EA" w14:textId="77777777" w:rsidR="000F0341" w:rsidRPr="00BF62A1" w:rsidRDefault="000F0341" w:rsidP="00E40B0D">
            <w:pPr>
              <w:spacing w:line="240" w:lineRule="auto"/>
              <w:jc w:val="left"/>
              <w:rPr>
                <w:sz w:val="14"/>
                <w:szCs w:val="14"/>
              </w:rPr>
            </w:pPr>
          </w:p>
        </w:tc>
        <w:tc>
          <w:tcPr>
            <w:tcW w:w="468" w:type="pct"/>
            <w:vMerge/>
            <w:tcBorders>
              <w:left w:val="single" w:sz="4" w:space="0" w:color="auto"/>
              <w:bottom w:val="single" w:sz="8" w:space="0" w:color="auto"/>
              <w:right w:val="single" w:sz="4" w:space="0" w:color="auto"/>
            </w:tcBorders>
          </w:tcPr>
          <w:p w14:paraId="33C424AE" w14:textId="77777777" w:rsidR="000F0341" w:rsidRPr="00BF62A1" w:rsidRDefault="000F0341" w:rsidP="00E40B0D">
            <w:pPr>
              <w:spacing w:line="240" w:lineRule="auto"/>
              <w:jc w:val="left"/>
              <w:rPr>
                <w:sz w:val="14"/>
                <w:szCs w:val="14"/>
              </w:rPr>
            </w:pPr>
          </w:p>
        </w:tc>
        <w:tc>
          <w:tcPr>
            <w:tcW w:w="626" w:type="pct"/>
            <w:vMerge/>
            <w:tcBorders>
              <w:left w:val="single" w:sz="4" w:space="0" w:color="auto"/>
              <w:bottom w:val="single" w:sz="8" w:space="0" w:color="auto"/>
              <w:right w:val="single" w:sz="4" w:space="0" w:color="auto"/>
            </w:tcBorders>
          </w:tcPr>
          <w:p w14:paraId="06BFE6AE" w14:textId="77777777" w:rsidR="000F0341" w:rsidRPr="00BF62A1" w:rsidRDefault="000F0341" w:rsidP="00E40B0D">
            <w:pPr>
              <w:spacing w:line="240" w:lineRule="auto"/>
              <w:jc w:val="left"/>
              <w:rPr>
                <w:sz w:val="14"/>
                <w:szCs w:val="14"/>
              </w:rPr>
            </w:pPr>
          </w:p>
        </w:tc>
        <w:tc>
          <w:tcPr>
            <w:tcW w:w="624" w:type="pct"/>
            <w:tcBorders>
              <w:top w:val="single" w:sz="4" w:space="0" w:color="auto"/>
              <w:left w:val="single" w:sz="4" w:space="0" w:color="auto"/>
              <w:bottom w:val="single" w:sz="8" w:space="0" w:color="auto"/>
              <w:right w:val="single" w:sz="4" w:space="0" w:color="auto"/>
            </w:tcBorders>
          </w:tcPr>
          <w:p w14:paraId="0B014EEC" w14:textId="77777777" w:rsidR="000F0341" w:rsidRPr="00BF62A1" w:rsidRDefault="000F0341" w:rsidP="00E40B0D">
            <w:pPr>
              <w:spacing w:line="240" w:lineRule="auto"/>
              <w:jc w:val="left"/>
              <w:rPr>
                <w:sz w:val="14"/>
                <w:szCs w:val="14"/>
              </w:rPr>
            </w:pPr>
            <w:r w:rsidRPr="00BF62A1">
              <w:rPr>
                <w:sz w:val="14"/>
                <w:szCs w:val="14"/>
              </w:rPr>
              <w:t>High</w:t>
            </w:r>
          </w:p>
        </w:tc>
        <w:tc>
          <w:tcPr>
            <w:tcW w:w="782" w:type="pct"/>
            <w:tcBorders>
              <w:left w:val="single" w:sz="4" w:space="0" w:color="auto"/>
              <w:bottom w:val="single" w:sz="8" w:space="0" w:color="auto"/>
              <w:right w:val="single" w:sz="4" w:space="0" w:color="auto"/>
            </w:tcBorders>
          </w:tcPr>
          <w:p w14:paraId="4C3D5F91" w14:textId="77777777" w:rsidR="000F0341" w:rsidRPr="00BF62A1" w:rsidRDefault="000F0341" w:rsidP="00E40B0D">
            <w:pPr>
              <w:spacing w:line="240" w:lineRule="auto"/>
              <w:jc w:val="left"/>
              <w:rPr>
                <w:sz w:val="14"/>
                <w:szCs w:val="14"/>
              </w:rPr>
            </w:pPr>
            <w:r w:rsidRPr="00BF62A1">
              <w:rPr>
                <w:sz w:val="14"/>
                <w:szCs w:val="14"/>
              </w:rPr>
              <w:t>&gt;150</w:t>
            </w:r>
          </w:p>
        </w:tc>
        <w:tc>
          <w:tcPr>
            <w:tcW w:w="739" w:type="pct"/>
            <w:tcBorders>
              <w:left w:val="single" w:sz="4" w:space="0" w:color="auto"/>
              <w:bottom w:val="single" w:sz="8" w:space="0" w:color="auto"/>
              <w:right w:val="single" w:sz="4" w:space="0" w:color="auto"/>
            </w:tcBorders>
          </w:tcPr>
          <w:p w14:paraId="6988217A" w14:textId="77777777" w:rsidR="000F0341" w:rsidRPr="00BF62A1" w:rsidRDefault="000F0341" w:rsidP="00E40B0D">
            <w:pPr>
              <w:spacing w:line="240" w:lineRule="auto"/>
              <w:jc w:val="left"/>
              <w:rPr>
                <w:sz w:val="14"/>
                <w:szCs w:val="14"/>
              </w:rPr>
            </w:pPr>
            <w:r w:rsidRPr="00BF62A1">
              <w:rPr>
                <w:sz w:val="14"/>
                <w:szCs w:val="14"/>
              </w:rPr>
              <w:t>13704 (14)</w:t>
            </w:r>
          </w:p>
        </w:tc>
        <w:tc>
          <w:tcPr>
            <w:tcW w:w="980" w:type="pct"/>
            <w:vMerge/>
            <w:tcBorders>
              <w:left w:val="single" w:sz="4" w:space="0" w:color="auto"/>
              <w:bottom w:val="single" w:sz="8" w:space="0" w:color="auto"/>
              <w:right w:val="single" w:sz="4" w:space="0" w:color="auto"/>
            </w:tcBorders>
          </w:tcPr>
          <w:p w14:paraId="2679436D" w14:textId="77777777" w:rsidR="000F0341" w:rsidRPr="00BF62A1" w:rsidRDefault="000F0341" w:rsidP="00E40B0D">
            <w:pPr>
              <w:pStyle w:val="ListParagraph"/>
              <w:spacing w:line="240" w:lineRule="auto"/>
              <w:jc w:val="left"/>
              <w:rPr>
                <w:sz w:val="14"/>
                <w:szCs w:val="14"/>
              </w:rPr>
            </w:pPr>
          </w:p>
        </w:tc>
      </w:tr>
      <w:tr w:rsidR="000F0341" w:rsidRPr="00BF62A1" w14:paraId="3468D1E2" w14:textId="77777777" w:rsidTr="00E40B0D">
        <w:trPr>
          <w:trHeight w:val="20"/>
        </w:trPr>
        <w:tc>
          <w:tcPr>
            <w:tcW w:w="782" w:type="pct"/>
            <w:tcBorders>
              <w:top w:val="single" w:sz="8" w:space="0" w:color="auto"/>
              <w:left w:val="single" w:sz="4" w:space="0" w:color="auto"/>
              <w:bottom w:val="single" w:sz="8" w:space="0" w:color="auto"/>
              <w:right w:val="single" w:sz="4" w:space="0" w:color="auto"/>
            </w:tcBorders>
          </w:tcPr>
          <w:p w14:paraId="00A67C26" w14:textId="407BB45D" w:rsidR="000F0341" w:rsidRPr="00BF62A1" w:rsidRDefault="000F0341" w:rsidP="00E40B0D">
            <w:pPr>
              <w:spacing w:line="240" w:lineRule="auto"/>
              <w:jc w:val="left"/>
              <w:rPr>
                <w:color w:val="000000"/>
                <w:sz w:val="14"/>
                <w:szCs w:val="14"/>
              </w:rPr>
            </w:pPr>
            <w:r w:rsidRPr="00BF62A1">
              <w:rPr>
                <w:sz w:val="14"/>
                <w:szCs w:val="14"/>
              </w:rPr>
              <w:t xml:space="preserve">Kohn 2010 </w:t>
            </w:r>
            <w:r w:rsidRPr="00BF62A1">
              <w:rPr>
                <w:sz w:val="14"/>
                <w:szCs w:val="14"/>
              </w:rPr>
              <w:fldChar w:fldCharType="begin"/>
            </w:r>
            <w:r>
              <w:rPr>
                <w:sz w:val="14"/>
                <w:szCs w:val="14"/>
              </w:rPr>
              <w:instrText xml:space="preserve"> ADDIN ZOTERO_ITEM CSL_CITATION {"citationID":"t2IaNdk0","properties":{"formattedCitation":"[77]","plainCitation":"[77]","noteIndex":0},"citationItems":[{"id":14289,"uris":["http://zotero.org/groups/4983919/items/LTUKP4H4"],"itemData":{"id":14289,"type":"article-journal","abstract":"BACKGROUND: Positive volume-outcomes relationships have been demonstrated for hepatic resection using arbitrary criteria to define high-volume centers. The safety of training programs has not been evaluated. The association of surgical volume, as a continuous variable and the influence of a surgical residency and a fellowship program on outcomes after major hepatectomy were determined. METHODS: The Nationwide Inpatient Sample (NIS) was queried from 1998 to 2006. Quantification of patients' comorbidities was made using the Charlson index, and mortality, and complication rates were determined. Institutions' annual case volumes were correlated with risk-adjusted outcomes over time, as well as presence or absence of residency or fellowship training program using logistic regression modeling. RESULTS: A total of 5,298 major hepatectomies were recorded, representing a weighted nationwide total of 26,396 cases. In-hospital unadjusted mortality for the study period was 6%. Adjusting for comorbidities, greater major hepatectomy volume was associated with improvements in the incidence of most measured complications, with plateauing of mortality of between 2% and 3% at approximately 50 cases per year. The mortality rate increased once greater than approximately 70 cases were performed per annum. Hospitals supporting a surgical residency program had lower overall morbidity and mortality. A fellowship program however was not associated with overall lower morbidity and mortality and appeared to result in a higher rate of certain complications. CONCLUSIONS: Greater annual major hepatectomy volume improves outcomes with reduced mortality up to a certain point. The presence of surgical residency program but not a fellowship program is associated with reduced predicted morbidity and mortality.","container-title":"J Gastrointest Surg","DOI":"10.1007/s11605-010-1310-z","ISSN":"1091-255x","issue":"12","language":"eng","page":"1981-9","title":"The effect of surgical volume and the provision of residency and fellowship training on complications of major hepatic resection","volume":"14","author":[{"family":"Kohn","given":"G. P."},{"family":"Nikfarjam","given":"M."}],"issued":{"date-parts":[["2010",12]]}}}],"schema":"https://github.com/citation-style-language/schema/raw/master/csl-citation.json"} </w:instrText>
            </w:r>
            <w:r w:rsidRPr="00BF62A1">
              <w:rPr>
                <w:sz w:val="14"/>
                <w:szCs w:val="14"/>
              </w:rPr>
              <w:fldChar w:fldCharType="separate"/>
            </w:r>
            <w:r w:rsidRPr="004125CE">
              <w:rPr>
                <w:sz w:val="14"/>
              </w:rPr>
              <w:t>[7</w:t>
            </w:r>
            <w:r w:rsidR="00D03F0D">
              <w:rPr>
                <w:sz w:val="14"/>
              </w:rPr>
              <w:t>4</w:t>
            </w:r>
            <w:r w:rsidRPr="004125CE">
              <w:rPr>
                <w:sz w:val="14"/>
              </w:rPr>
              <w:t>]</w:t>
            </w:r>
            <w:r w:rsidRPr="00BF62A1">
              <w:rPr>
                <w:sz w:val="14"/>
                <w:szCs w:val="14"/>
              </w:rPr>
              <w:fldChar w:fldCharType="end"/>
            </w:r>
          </w:p>
        </w:tc>
        <w:tc>
          <w:tcPr>
            <w:tcW w:w="468" w:type="pct"/>
            <w:tcBorders>
              <w:top w:val="single" w:sz="8" w:space="0" w:color="auto"/>
              <w:left w:val="single" w:sz="4" w:space="0" w:color="auto"/>
              <w:bottom w:val="single" w:sz="8" w:space="0" w:color="auto"/>
              <w:right w:val="single" w:sz="4" w:space="0" w:color="auto"/>
            </w:tcBorders>
          </w:tcPr>
          <w:p w14:paraId="0DF5818B" w14:textId="77777777" w:rsidR="000F0341" w:rsidRPr="00BF62A1" w:rsidRDefault="000F0341" w:rsidP="00E40B0D">
            <w:pPr>
              <w:spacing w:line="240" w:lineRule="auto"/>
              <w:jc w:val="left"/>
              <w:rPr>
                <w:sz w:val="14"/>
                <w:szCs w:val="14"/>
              </w:rPr>
            </w:pPr>
            <w:r w:rsidRPr="00BF62A1">
              <w:rPr>
                <w:sz w:val="14"/>
                <w:szCs w:val="14"/>
              </w:rPr>
              <w:t>5298</w:t>
            </w:r>
          </w:p>
        </w:tc>
        <w:tc>
          <w:tcPr>
            <w:tcW w:w="626" w:type="pct"/>
            <w:tcBorders>
              <w:top w:val="single" w:sz="8" w:space="0" w:color="auto"/>
              <w:left w:val="single" w:sz="4" w:space="0" w:color="auto"/>
              <w:bottom w:val="single" w:sz="8" w:space="0" w:color="auto"/>
              <w:right w:val="single" w:sz="4" w:space="0" w:color="auto"/>
            </w:tcBorders>
          </w:tcPr>
          <w:p w14:paraId="1E776CC5" w14:textId="77777777" w:rsidR="000F0341" w:rsidRPr="00BF62A1" w:rsidRDefault="000F0341" w:rsidP="00E40B0D">
            <w:pPr>
              <w:spacing w:line="240" w:lineRule="auto"/>
              <w:jc w:val="left"/>
              <w:rPr>
                <w:color w:val="000000" w:themeColor="text1"/>
                <w:sz w:val="14"/>
                <w:szCs w:val="14"/>
              </w:rPr>
            </w:pPr>
            <w:r w:rsidRPr="00BF62A1">
              <w:rPr>
                <w:color w:val="000000" w:themeColor="text1"/>
                <w:sz w:val="14"/>
                <w:szCs w:val="14"/>
              </w:rPr>
              <w:t>-</w:t>
            </w:r>
          </w:p>
        </w:tc>
        <w:tc>
          <w:tcPr>
            <w:tcW w:w="624" w:type="pct"/>
            <w:tcBorders>
              <w:top w:val="single" w:sz="8" w:space="0" w:color="auto"/>
              <w:left w:val="single" w:sz="4" w:space="0" w:color="auto"/>
              <w:bottom w:val="single" w:sz="8" w:space="0" w:color="auto"/>
              <w:right w:val="single" w:sz="4" w:space="0" w:color="auto"/>
            </w:tcBorders>
          </w:tcPr>
          <w:p w14:paraId="6694742E" w14:textId="77777777" w:rsidR="000F0341" w:rsidRPr="00BF62A1" w:rsidRDefault="000F0341" w:rsidP="00E40B0D">
            <w:pPr>
              <w:spacing w:line="240" w:lineRule="auto"/>
              <w:jc w:val="left"/>
              <w:rPr>
                <w:color w:val="000000" w:themeColor="text1"/>
                <w:sz w:val="14"/>
                <w:szCs w:val="14"/>
              </w:rPr>
            </w:pPr>
            <w:r w:rsidRPr="00BF62A1">
              <w:rPr>
                <w:color w:val="000000" w:themeColor="text1"/>
                <w:sz w:val="14"/>
                <w:szCs w:val="14"/>
              </w:rPr>
              <w:t>Continuous</w:t>
            </w:r>
          </w:p>
        </w:tc>
        <w:tc>
          <w:tcPr>
            <w:tcW w:w="782" w:type="pct"/>
            <w:tcBorders>
              <w:top w:val="single" w:sz="8" w:space="0" w:color="auto"/>
              <w:left w:val="single" w:sz="4" w:space="0" w:color="auto"/>
              <w:bottom w:val="single" w:sz="8" w:space="0" w:color="auto"/>
              <w:right w:val="single" w:sz="4" w:space="0" w:color="auto"/>
            </w:tcBorders>
          </w:tcPr>
          <w:p w14:paraId="6839EA27" w14:textId="77777777" w:rsidR="000F0341" w:rsidRPr="00BF62A1" w:rsidRDefault="000F0341" w:rsidP="00E40B0D">
            <w:pPr>
              <w:spacing w:line="240" w:lineRule="auto"/>
              <w:jc w:val="left"/>
              <w:rPr>
                <w:color w:val="000000" w:themeColor="text1"/>
                <w:sz w:val="14"/>
                <w:szCs w:val="14"/>
              </w:rPr>
            </w:pPr>
            <w:r w:rsidRPr="00BF62A1">
              <w:rPr>
                <w:color w:val="000000" w:themeColor="text1"/>
                <w:sz w:val="14"/>
                <w:szCs w:val="14"/>
              </w:rPr>
              <w:t>Incremental effect of each hepatectomy</w:t>
            </w:r>
          </w:p>
        </w:tc>
        <w:tc>
          <w:tcPr>
            <w:tcW w:w="739" w:type="pct"/>
            <w:tcBorders>
              <w:top w:val="single" w:sz="8" w:space="0" w:color="auto"/>
              <w:left w:val="single" w:sz="4" w:space="0" w:color="auto"/>
              <w:bottom w:val="single" w:sz="8" w:space="0" w:color="auto"/>
              <w:right w:val="single" w:sz="4" w:space="0" w:color="auto"/>
            </w:tcBorders>
          </w:tcPr>
          <w:p w14:paraId="10D8CFCF" w14:textId="77777777" w:rsidR="000F0341" w:rsidRPr="00BF62A1" w:rsidRDefault="000F0341" w:rsidP="00E40B0D">
            <w:pPr>
              <w:spacing w:line="240" w:lineRule="auto"/>
              <w:jc w:val="left"/>
              <w:rPr>
                <w:color w:val="000000" w:themeColor="text1"/>
                <w:sz w:val="14"/>
                <w:szCs w:val="14"/>
              </w:rPr>
            </w:pPr>
            <w:r w:rsidRPr="00BF62A1">
              <w:rPr>
                <w:color w:val="000000" w:themeColor="text1"/>
                <w:sz w:val="14"/>
                <w:szCs w:val="14"/>
              </w:rPr>
              <w:t>-</w:t>
            </w:r>
          </w:p>
        </w:tc>
        <w:tc>
          <w:tcPr>
            <w:tcW w:w="980" w:type="pct"/>
            <w:tcBorders>
              <w:top w:val="single" w:sz="8" w:space="0" w:color="auto"/>
              <w:left w:val="single" w:sz="4" w:space="0" w:color="auto"/>
              <w:bottom w:val="single" w:sz="8" w:space="0" w:color="auto"/>
              <w:right w:val="single" w:sz="4" w:space="0" w:color="auto"/>
            </w:tcBorders>
          </w:tcPr>
          <w:p w14:paraId="68A8F26B" w14:textId="77777777" w:rsidR="000F0341" w:rsidRPr="00BF62A1" w:rsidRDefault="000F0341" w:rsidP="00E40B0D">
            <w:pPr>
              <w:spacing w:line="240" w:lineRule="auto"/>
              <w:jc w:val="left"/>
              <w:rPr>
                <w:color w:val="000000" w:themeColor="text1"/>
                <w:sz w:val="14"/>
                <w:szCs w:val="14"/>
              </w:rPr>
            </w:pPr>
            <w:r w:rsidRPr="00BF62A1">
              <w:rPr>
                <w:color w:val="000000" w:themeColor="text1"/>
                <w:sz w:val="14"/>
                <w:szCs w:val="14"/>
              </w:rPr>
              <w:t>-</w:t>
            </w:r>
          </w:p>
        </w:tc>
      </w:tr>
      <w:tr w:rsidR="000F0341" w:rsidRPr="00832E0E" w14:paraId="16FD0303" w14:textId="77777777" w:rsidTr="00E40B0D">
        <w:trPr>
          <w:trHeight w:val="20"/>
        </w:trPr>
        <w:tc>
          <w:tcPr>
            <w:tcW w:w="782" w:type="pct"/>
            <w:vMerge w:val="restart"/>
            <w:tcBorders>
              <w:top w:val="single" w:sz="8" w:space="0" w:color="auto"/>
              <w:left w:val="single" w:sz="4" w:space="0" w:color="auto"/>
              <w:right w:val="single" w:sz="4" w:space="0" w:color="auto"/>
            </w:tcBorders>
          </w:tcPr>
          <w:p w14:paraId="34488ADE" w14:textId="51DAFE5B" w:rsidR="000F0341" w:rsidRPr="00BF62A1" w:rsidRDefault="000F0341" w:rsidP="00E40B0D">
            <w:pPr>
              <w:spacing w:line="240" w:lineRule="auto"/>
              <w:jc w:val="left"/>
              <w:rPr>
                <w:color w:val="000000"/>
                <w:sz w:val="14"/>
                <w:szCs w:val="14"/>
              </w:rPr>
            </w:pPr>
            <w:r w:rsidRPr="00BF62A1">
              <w:rPr>
                <w:sz w:val="14"/>
                <w:szCs w:val="14"/>
              </w:rPr>
              <w:t xml:space="preserve">Krautz 2020 </w:t>
            </w:r>
            <w:r w:rsidRPr="00BF62A1">
              <w:rPr>
                <w:sz w:val="14"/>
                <w:szCs w:val="14"/>
              </w:rPr>
              <w:fldChar w:fldCharType="begin"/>
            </w:r>
            <w:r>
              <w:rPr>
                <w:sz w:val="14"/>
                <w:szCs w:val="14"/>
              </w:rPr>
              <w:instrText xml:space="preserve"> ADDIN ZOTERO_ITEM CSL_CITATION {"citationID":"wY1yzpV9","properties":{"formattedCitation":"[75]","plainCitation":"[75]","noteIndex":0},"citationItems":[{"id":14177,"uris":["http://zotero.org/groups/4983919/items/VVCH96K8"],"itemData":{"id":14177,"type":"article-journal","abstract":"BACKGROUND: Recent observational studies on volume-outcome associations in hepatobiliary surgery were not designed to account for the varying extent of hepatobiliary resections and the consequential risk of perioperative morbidity and mortality. Therefore, this study aimed to determine the risk-adjusted in-hospital mortality for minor and major hepatobiliary resections at the national level in Germany and to examine the effect of hospital volume on in-hospital mortality, and failure to rescue. METHODS: All inpatient cases of hepatobiliary surgery (n = 31,114) in Germany from 2009 to 2015 were studied using national hospital discharge data. After ranking hospitals according to increasing hospital volumes, five volume categories were established based on all hepatobiliary resections. The association between hospital volume and in-hospital mortality following minor and major hepatobiliary resections was evaluated by multivariable regression methods. RESULTS: Minor hepatobiliary resections were associated with an overall mortality rate of 3.9% and showed no significant volume-outcome associations. In contrast, overall mortality rate of major hepatobiliary resections was 10.3%. In this cohort, risk-adjusted in-hospital mortality following major resections varied widely across hospital volume categories, from 11.4% (95% CI 10.4-12.5) in very low volume hospitals to 7.4% (95% CI 6.6-8.2) in very high volume hospitals (risk-adjusted OR 0.59, 95% CI 0.41-0.54). Moreover, rates of failure to rescue decreased from 29.38% (95% CI 26.7-32.2) in very low volume hospitals to 21.38% (95% CI 19.2-23.8) in very high volume hospitals. CONCLUSIONS: In Germany, patients who are undergoing major hepatobiliary resections have improved outcomes, if they are admitted to higher volume hospitals. However, such associations are not evident following minor hepatobiliary resections. Following major hepatobiliary resections, 70-80% of the excess mortality in very low volume hospitals was estimated to be attributable to failure to rescue.","container-title":"BMC Surg","DOI":"10.1186/s12893-020-00817-5","ISSN":"1471-2482","issue":"1","language":"eng","note":"publisher-place: Universitätsklinikum Erlangen, Friedrich-Alexander-Universität Erlangen-Nürnberg, Klinik für Allgemein- und Viszeralchirurgie, Krankenhausstraße 12, 91054, Erlangen, Germany. christian.krautz@uk-erlangen.de. Friedrich-Alexander-Universität Erlangen-Nürnberg, Institut für Medizininformatik, Biometrie und Epidemiologie, Waldstraße 6, 91054, Erlangen, Germany. Technische Universität Berlin, Department of Health Care Management, Straße des 17. Juni 135, 10623, Berlin, Germany. Technische Universität Berlin, Department for Structural Advancement and Quality Management in Health Care, Straße des 17. Juni 135, 10623, Berlin, Germany. Universitätsklinikum Erlangen, Friedrich-Alexander-Universität Erlangen-Nürnberg, Klinik für Allgemein- und Viszeralchirurgie, Krankenhausstraße 12, 91054, Erlangen, Germany.","page":"171","title":"In-hospital mortality and failure to rescue following hepatobiliary surgery in Germany - a nationwide analysis","volume":"20","author":[{"family":"Krautz","given":"C."},{"family":"Gall","given":"C."},{"family":"Gefeller","given":"O."},{"family":"Nimptsch","given":"U."},{"family":"Mansky","given":"T."},{"family":"Brunner","given":"M."},{"family":"Weber","given":"G. F."},{"family":"Grützmann","given":"R."},{"family":"Kersting","given":"S."}],"issued":{"date-parts":[["2020",7]]}}}],"schema":"https://github.com/citation-style-language/schema/raw/master/csl-citation.json"} </w:instrText>
            </w:r>
            <w:r w:rsidRPr="00BF62A1">
              <w:rPr>
                <w:sz w:val="14"/>
                <w:szCs w:val="14"/>
              </w:rPr>
              <w:fldChar w:fldCharType="separate"/>
            </w:r>
            <w:r w:rsidRPr="004125CE">
              <w:rPr>
                <w:sz w:val="14"/>
              </w:rPr>
              <w:t>[</w:t>
            </w:r>
            <w:r w:rsidR="00D03F0D">
              <w:rPr>
                <w:sz w:val="14"/>
              </w:rPr>
              <w:t>2</w:t>
            </w:r>
            <w:r w:rsidRPr="004125CE">
              <w:rPr>
                <w:sz w:val="14"/>
              </w:rPr>
              <w:t>]</w:t>
            </w:r>
            <w:r w:rsidRPr="00BF62A1">
              <w:rPr>
                <w:sz w:val="14"/>
                <w:szCs w:val="14"/>
              </w:rPr>
              <w:fldChar w:fldCharType="end"/>
            </w:r>
          </w:p>
        </w:tc>
        <w:tc>
          <w:tcPr>
            <w:tcW w:w="468" w:type="pct"/>
            <w:vMerge w:val="restart"/>
            <w:tcBorders>
              <w:top w:val="single" w:sz="8" w:space="0" w:color="auto"/>
              <w:left w:val="single" w:sz="4" w:space="0" w:color="auto"/>
              <w:right w:val="single" w:sz="4" w:space="0" w:color="auto"/>
            </w:tcBorders>
          </w:tcPr>
          <w:p w14:paraId="5E04303A" w14:textId="77777777" w:rsidR="000F0341" w:rsidRPr="00BF62A1" w:rsidRDefault="000F0341" w:rsidP="00E40B0D">
            <w:pPr>
              <w:spacing w:line="240" w:lineRule="auto"/>
              <w:jc w:val="left"/>
              <w:rPr>
                <w:sz w:val="14"/>
                <w:szCs w:val="14"/>
              </w:rPr>
            </w:pPr>
            <w:r w:rsidRPr="00BF62A1">
              <w:rPr>
                <w:sz w:val="14"/>
                <w:szCs w:val="14"/>
              </w:rPr>
              <w:t>31114</w:t>
            </w:r>
          </w:p>
        </w:tc>
        <w:tc>
          <w:tcPr>
            <w:tcW w:w="626" w:type="pct"/>
            <w:vMerge w:val="restart"/>
            <w:tcBorders>
              <w:top w:val="single" w:sz="8" w:space="0" w:color="auto"/>
              <w:left w:val="single" w:sz="4" w:space="0" w:color="auto"/>
              <w:right w:val="single" w:sz="4" w:space="0" w:color="auto"/>
            </w:tcBorders>
          </w:tcPr>
          <w:p w14:paraId="61BB0925" w14:textId="77777777" w:rsidR="000F0341" w:rsidRPr="00832E0E" w:rsidRDefault="000F0341" w:rsidP="00E40B0D">
            <w:pPr>
              <w:spacing w:line="240" w:lineRule="auto"/>
              <w:jc w:val="left"/>
              <w:rPr>
                <w:sz w:val="14"/>
                <w:szCs w:val="14"/>
              </w:rPr>
            </w:pPr>
            <w:r w:rsidRPr="00BF62A1">
              <w:rPr>
                <w:sz w:val="14"/>
                <w:szCs w:val="14"/>
              </w:rPr>
              <w:t>-</w:t>
            </w:r>
          </w:p>
        </w:tc>
        <w:tc>
          <w:tcPr>
            <w:tcW w:w="624" w:type="pct"/>
            <w:tcBorders>
              <w:top w:val="single" w:sz="8" w:space="0" w:color="auto"/>
              <w:left w:val="single" w:sz="4" w:space="0" w:color="auto"/>
              <w:bottom w:val="single" w:sz="4" w:space="0" w:color="auto"/>
              <w:right w:val="single" w:sz="4" w:space="0" w:color="auto"/>
            </w:tcBorders>
          </w:tcPr>
          <w:p w14:paraId="5F5AB5BE" w14:textId="77777777" w:rsidR="000F0341" w:rsidRPr="00832E0E" w:rsidRDefault="000F0341" w:rsidP="00E40B0D">
            <w:pPr>
              <w:spacing w:line="240" w:lineRule="auto"/>
              <w:jc w:val="left"/>
              <w:rPr>
                <w:sz w:val="14"/>
                <w:szCs w:val="14"/>
              </w:rPr>
            </w:pPr>
            <w:r w:rsidRPr="00BF62A1">
              <w:rPr>
                <w:sz w:val="14"/>
                <w:szCs w:val="14"/>
              </w:rPr>
              <w:t>Very low</w:t>
            </w:r>
          </w:p>
        </w:tc>
        <w:tc>
          <w:tcPr>
            <w:tcW w:w="782" w:type="pct"/>
            <w:tcBorders>
              <w:top w:val="single" w:sz="8" w:space="0" w:color="auto"/>
              <w:left w:val="single" w:sz="4" w:space="0" w:color="auto"/>
              <w:right w:val="single" w:sz="4" w:space="0" w:color="auto"/>
            </w:tcBorders>
          </w:tcPr>
          <w:p w14:paraId="35FB2A0B" w14:textId="77777777" w:rsidR="000F0341" w:rsidRPr="00832E0E" w:rsidRDefault="000F0341" w:rsidP="00E40B0D">
            <w:pPr>
              <w:spacing w:line="240" w:lineRule="auto"/>
              <w:jc w:val="left"/>
              <w:rPr>
                <w:sz w:val="14"/>
                <w:szCs w:val="14"/>
              </w:rPr>
            </w:pPr>
            <w:r w:rsidRPr="00BF62A1">
              <w:rPr>
                <w:sz w:val="14"/>
                <w:szCs w:val="14"/>
              </w:rPr>
              <w:t>1-10</w:t>
            </w:r>
          </w:p>
        </w:tc>
        <w:tc>
          <w:tcPr>
            <w:tcW w:w="739" w:type="pct"/>
            <w:tcBorders>
              <w:top w:val="single" w:sz="8" w:space="0" w:color="auto"/>
              <w:left w:val="single" w:sz="4" w:space="0" w:color="auto"/>
              <w:right w:val="single" w:sz="4" w:space="0" w:color="auto"/>
            </w:tcBorders>
          </w:tcPr>
          <w:p w14:paraId="7F88B0AC" w14:textId="77777777" w:rsidR="000F0341" w:rsidRPr="00832E0E" w:rsidRDefault="000F0341" w:rsidP="00E40B0D">
            <w:pPr>
              <w:spacing w:line="240" w:lineRule="auto"/>
              <w:jc w:val="left"/>
              <w:rPr>
                <w:sz w:val="14"/>
                <w:szCs w:val="14"/>
              </w:rPr>
            </w:pPr>
            <w:r w:rsidRPr="00BF62A1">
              <w:rPr>
                <w:sz w:val="14"/>
                <w:szCs w:val="14"/>
              </w:rPr>
              <w:t>9734</w:t>
            </w:r>
          </w:p>
        </w:tc>
        <w:tc>
          <w:tcPr>
            <w:tcW w:w="980" w:type="pct"/>
            <w:tcBorders>
              <w:top w:val="single" w:sz="8" w:space="0" w:color="auto"/>
              <w:left w:val="single" w:sz="4" w:space="0" w:color="auto"/>
              <w:right w:val="single" w:sz="4" w:space="0" w:color="auto"/>
            </w:tcBorders>
          </w:tcPr>
          <w:p w14:paraId="39EEBE08" w14:textId="77777777" w:rsidR="000F0341" w:rsidRPr="00832E0E" w:rsidRDefault="000F0341" w:rsidP="00E40B0D">
            <w:pPr>
              <w:spacing w:line="240" w:lineRule="auto"/>
              <w:jc w:val="left"/>
              <w:rPr>
                <w:sz w:val="14"/>
                <w:szCs w:val="14"/>
              </w:rPr>
            </w:pPr>
            <w:r w:rsidRPr="00BF62A1">
              <w:rPr>
                <w:sz w:val="14"/>
                <w:szCs w:val="14"/>
              </w:rPr>
              <w:t>mean 403.3</w:t>
            </w:r>
          </w:p>
        </w:tc>
      </w:tr>
      <w:tr w:rsidR="000F0341" w:rsidRPr="00832E0E" w14:paraId="2178E3BE" w14:textId="77777777" w:rsidTr="00E40B0D">
        <w:trPr>
          <w:trHeight w:val="20"/>
        </w:trPr>
        <w:tc>
          <w:tcPr>
            <w:tcW w:w="782" w:type="pct"/>
            <w:vMerge/>
            <w:tcBorders>
              <w:left w:val="single" w:sz="4" w:space="0" w:color="auto"/>
              <w:right w:val="single" w:sz="4" w:space="0" w:color="auto"/>
            </w:tcBorders>
          </w:tcPr>
          <w:p w14:paraId="03695639" w14:textId="77777777" w:rsidR="000F0341" w:rsidRPr="00832E0E"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7B1D6ACC" w14:textId="77777777" w:rsidR="000F0341" w:rsidRPr="00832E0E"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329706C0" w14:textId="77777777" w:rsidR="000F0341" w:rsidRPr="00832E0E"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66EACA4A" w14:textId="77777777" w:rsidR="000F0341" w:rsidRPr="00832E0E" w:rsidRDefault="000F0341" w:rsidP="00E40B0D">
            <w:pPr>
              <w:spacing w:line="240" w:lineRule="auto"/>
              <w:jc w:val="left"/>
              <w:rPr>
                <w:sz w:val="14"/>
                <w:szCs w:val="14"/>
              </w:rPr>
            </w:pPr>
            <w:r w:rsidRPr="00BF62A1">
              <w:rPr>
                <w:sz w:val="14"/>
                <w:szCs w:val="14"/>
              </w:rPr>
              <w:t>Low</w:t>
            </w:r>
          </w:p>
        </w:tc>
        <w:tc>
          <w:tcPr>
            <w:tcW w:w="782" w:type="pct"/>
            <w:tcBorders>
              <w:left w:val="single" w:sz="4" w:space="0" w:color="auto"/>
              <w:right w:val="single" w:sz="4" w:space="0" w:color="auto"/>
            </w:tcBorders>
          </w:tcPr>
          <w:p w14:paraId="585F7137" w14:textId="77777777" w:rsidR="000F0341" w:rsidRPr="00832E0E" w:rsidRDefault="000F0341" w:rsidP="00E40B0D">
            <w:pPr>
              <w:spacing w:line="240" w:lineRule="auto"/>
              <w:jc w:val="left"/>
              <w:rPr>
                <w:sz w:val="14"/>
                <w:szCs w:val="14"/>
              </w:rPr>
            </w:pPr>
            <w:r w:rsidRPr="00BF62A1">
              <w:rPr>
                <w:sz w:val="14"/>
                <w:szCs w:val="14"/>
              </w:rPr>
              <w:t>11-20</w:t>
            </w:r>
          </w:p>
        </w:tc>
        <w:tc>
          <w:tcPr>
            <w:tcW w:w="739" w:type="pct"/>
            <w:tcBorders>
              <w:left w:val="single" w:sz="4" w:space="0" w:color="auto"/>
              <w:right w:val="single" w:sz="4" w:space="0" w:color="auto"/>
            </w:tcBorders>
          </w:tcPr>
          <w:p w14:paraId="6087403E" w14:textId="77777777" w:rsidR="000F0341" w:rsidRPr="00832E0E" w:rsidRDefault="000F0341" w:rsidP="00E40B0D">
            <w:pPr>
              <w:spacing w:line="240" w:lineRule="auto"/>
              <w:jc w:val="left"/>
              <w:rPr>
                <w:sz w:val="14"/>
                <w:szCs w:val="14"/>
              </w:rPr>
            </w:pPr>
            <w:r w:rsidRPr="00BF62A1">
              <w:rPr>
                <w:sz w:val="14"/>
                <w:szCs w:val="14"/>
              </w:rPr>
              <w:t>4953</w:t>
            </w:r>
          </w:p>
        </w:tc>
        <w:tc>
          <w:tcPr>
            <w:tcW w:w="980" w:type="pct"/>
            <w:tcBorders>
              <w:left w:val="single" w:sz="4" w:space="0" w:color="auto"/>
              <w:right w:val="single" w:sz="4" w:space="0" w:color="auto"/>
            </w:tcBorders>
          </w:tcPr>
          <w:p w14:paraId="3FB86EA1" w14:textId="77777777" w:rsidR="000F0341" w:rsidRPr="00832E0E" w:rsidRDefault="000F0341" w:rsidP="00E40B0D">
            <w:pPr>
              <w:spacing w:line="240" w:lineRule="auto"/>
              <w:jc w:val="left"/>
              <w:rPr>
                <w:sz w:val="14"/>
                <w:szCs w:val="14"/>
              </w:rPr>
            </w:pPr>
            <w:r w:rsidRPr="00BF62A1">
              <w:rPr>
                <w:sz w:val="14"/>
                <w:szCs w:val="14"/>
              </w:rPr>
              <w:t>mean 50.1</w:t>
            </w:r>
          </w:p>
        </w:tc>
      </w:tr>
      <w:tr w:rsidR="000F0341" w:rsidRPr="00832E0E" w14:paraId="421DFB38" w14:textId="77777777" w:rsidTr="00E40B0D">
        <w:trPr>
          <w:trHeight w:val="20"/>
        </w:trPr>
        <w:tc>
          <w:tcPr>
            <w:tcW w:w="782" w:type="pct"/>
            <w:vMerge/>
            <w:tcBorders>
              <w:left w:val="single" w:sz="4" w:space="0" w:color="auto"/>
              <w:right w:val="single" w:sz="4" w:space="0" w:color="auto"/>
            </w:tcBorders>
          </w:tcPr>
          <w:p w14:paraId="35C5ADEA" w14:textId="77777777" w:rsidR="000F0341" w:rsidRPr="00832E0E"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7BADC531" w14:textId="77777777" w:rsidR="000F0341" w:rsidRPr="00832E0E"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5472EB2D" w14:textId="77777777" w:rsidR="000F0341" w:rsidRPr="00832E0E"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57B4F949" w14:textId="77777777" w:rsidR="000F0341" w:rsidRPr="00832E0E" w:rsidRDefault="000F0341" w:rsidP="00E40B0D">
            <w:pPr>
              <w:spacing w:line="240" w:lineRule="auto"/>
              <w:jc w:val="left"/>
              <w:rPr>
                <w:sz w:val="14"/>
                <w:szCs w:val="14"/>
              </w:rPr>
            </w:pPr>
            <w:r w:rsidRPr="00BF62A1">
              <w:rPr>
                <w:sz w:val="14"/>
                <w:szCs w:val="14"/>
              </w:rPr>
              <w:t>Medium</w:t>
            </w:r>
          </w:p>
        </w:tc>
        <w:tc>
          <w:tcPr>
            <w:tcW w:w="782" w:type="pct"/>
            <w:tcBorders>
              <w:left w:val="single" w:sz="4" w:space="0" w:color="auto"/>
              <w:right w:val="single" w:sz="4" w:space="0" w:color="auto"/>
            </w:tcBorders>
          </w:tcPr>
          <w:p w14:paraId="54CC3A7D" w14:textId="77777777" w:rsidR="000F0341" w:rsidRPr="00832E0E" w:rsidRDefault="000F0341" w:rsidP="00E40B0D">
            <w:pPr>
              <w:spacing w:line="240" w:lineRule="auto"/>
              <w:jc w:val="left"/>
              <w:rPr>
                <w:sz w:val="14"/>
                <w:szCs w:val="14"/>
              </w:rPr>
            </w:pPr>
            <w:r w:rsidRPr="00BF62A1">
              <w:rPr>
                <w:sz w:val="14"/>
                <w:szCs w:val="14"/>
              </w:rPr>
              <w:t>21-40</w:t>
            </w:r>
          </w:p>
        </w:tc>
        <w:tc>
          <w:tcPr>
            <w:tcW w:w="739" w:type="pct"/>
            <w:tcBorders>
              <w:left w:val="single" w:sz="4" w:space="0" w:color="auto"/>
              <w:right w:val="single" w:sz="4" w:space="0" w:color="auto"/>
            </w:tcBorders>
          </w:tcPr>
          <w:p w14:paraId="39ECA680" w14:textId="77777777" w:rsidR="000F0341" w:rsidRPr="00832E0E" w:rsidRDefault="000F0341" w:rsidP="00E40B0D">
            <w:pPr>
              <w:spacing w:line="240" w:lineRule="auto"/>
              <w:jc w:val="left"/>
              <w:rPr>
                <w:sz w:val="14"/>
                <w:szCs w:val="14"/>
              </w:rPr>
            </w:pPr>
            <w:r w:rsidRPr="00BF62A1">
              <w:rPr>
                <w:sz w:val="14"/>
                <w:szCs w:val="14"/>
              </w:rPr>
              <w:t>4648</w:t>
            </w:r>
          </w:p>
        </w:tc>
        <w:tc>
          <w:tcPr>
            <w:tcW w:w="980" w:type="pct"/>
            <w:tcBorders>
              <w:left w:val="single" w:sz="4" w:space="0" w:color="auto"/>
              <w:right w:val="single" w:sz="4" w:space="0" w:color="auto"/>
            </w:tcBorders>
          </w:tcPr>
          <w:p w14:paraId="46BC5537" w14:textId="77777777" w:rsidR="000F0341" w:rsidRPr="00832E0E" w:rsidRDefault="000F0341" w:rsidP="00E40B0D">
            <w:pPr>
              <w:spacing w:line="240" w:lineRule="auto"/>
              <w:jc w:val="left"/>
              <w:rPr>
                <w:sz w:val="14"/>
                <w:szCs w:val="14"/>
              </w:rPr>
            </w:pPr>
            <w:r w:rsidRPr="00BF62A1">
              <w:rPr>
                <w:sz w:val="14"/>
                <w:szCs w:val="14"/>
              </w:rPr>
              <w:t>mean 24.0</w:t>
            </w:r>
          </w:p>
        </w:tc>
      </w:tr>
      <w:tr w:rsidR="000F0341" w:rsidRPr="00832E0E" w14:paraId="47742A06" w14:textId="77777777" w:rsidTr="00E40B0D">
        <w:trPr>
          <w:trHeight w:val="20"/>
        </w:trPr>
        <w:tc>
          <w:tcPr>
            <w:tcW w:w="782" w:type="pct"/>
            <w:vMerge/>
            <w:tcBorders>
              <w:left w:val="single" w:sz="4" w:space="0" w:color="auto"/>
              <w:right w:val="single" w:sz="4" w:space="0" w:color="auto"/>
            </w:tcBorders>
          </w:tcPr>
          <w:p w14:paraId="133B5DD3" w14:textId="77777777" w:rsidR="000F0341" w:rsidRPr="00832E0E"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678B3041" w14:textId="77777777" w:rsidR="000F0341" w:rsidRPr="00832E0E"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61C72E30" w14:textId="77777777" w:rsidR="000F0341" w:rsidRPr="00832E0E"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3143DBF4" w14:textId="77777777" w:rsidR="000F0341" w:rsidRPr="00832E0E" w:rsidRDefault="000F0341" w:rsidP="00E40B0D">
            <w:pPr>
              <w:spacing w:line="240" w:lineRule="auto"/>
              <w:jc w:val="left"/>
              <w:rPr>
                <w:sz w:val="14"/>
                <w:szCs w:val="14"/>
              </w:rPr>
            </w:pPr>
            <w:r w:rsidRPr="00BF62A1">
              <w:rPr>
                <w:sz w:val="14"/>
                <w:szCs w:val="14"/>
              </w:rPr>
              <w:t>High</w:t>
            </w:r>
          </w:p>
        </w:tc>
        <w:tc>
          <w:tcPr>
            <w:tcW w:w="782" w:type="pct"/>
            <w:tcBorders>
              <w:left w:val="single" w:sz="4" w:space="0" w:color="auto"/>
              <w:right w:val="single" w:sz="4" w:space="0" w:color="auto"/>
            </w:tcBorders>
          </w:tcPr>
          <w:p w14:paraId="1359E46E" w14:textId="77777777" w:rsidR="000F0341" w:rsidRPr="00832E0E" w:rsidRDefault="000F0341" w:rsidP="00E40B0D">
            <w:pPr>
              <w:spacing w:line="240" w:lineRule="auto"/>
              <w:jc w:val="left"/>
              <w:rPr>
                <w:sz w:val="14"/>
                <w:szCs w:val="14"/>
              </w:rPr>
            </w:pPr>
            <w:r w:rsidRPr="00BF62A1">
              <w:rPr>
                <w:sz w:val="14"/>
                <w:szCs w:val="14"/>
              </w:rPr>
              <w:t>41-100</w:t>
            </w:r>
          </w:p>
        </w:tc>
        <w:tc>
          <w:tcPr>
            <w:tcW w:w="739" w:type="pct"/>
            <w:tcBorders>
              <w:left w:val="single" w:sz="4" w:space="0" w:color="auto"/>
              <w:right w:val="single" w:sz="4" w:space="0" w:color="auto"/>
            </w:tcBorders>
          </w:tcPr>
          <w:p w14:paraId="7A9CF9B1" w14:textId="77777777" w:rsidR="000F0341" w:rsidRPr="00832E0E" w:rsidRDefault="000F0341" w:rsidP="00E40B0D">
            <w:pPr>
              <w:spacing w:line="240" w:lineRule="auto"/>
              <w:jc w:val="left"/>
              <w:rPr>
                <w:sz w:val="14"/>
                <w:szCs w:val="14"/>
              </w:rPr>
            </w:pPr>
            <w:r w:rsidRPr="00BF62A1">
              <w:rPr>
                <w:sz w:val="14"/>
                <w:szCs w:val="14"/>
              </w:rPr>
              <w:t>6555</w:t>
            </w:r>
          </w:p>
        </w:tc>
        <w:tc>
          <w:tcPr>
            <w:tcW w:w="980" w:type="pct"/>
            <w:tcBorders>
              <w:left w:val="single" w:sz="4" w:space="0" w:color="auto"/>
              <w:right w:val="single" w:sz="4" w:space="0" w:color="auto"/>
            </w:tcBorders>
          </w:tcPr>
          <w:p w14:paraId="7324022B" w14:textId="77777777" w:rsidR="000F0341" w:rsidRPr="00832E0E" w:rsidRDefault="000F0341" w:rsidP="00E40B0D">
            <w:pPr>
              <w:spacing w:line="240" w:lineRule="auto"/>
              <w:jc w:val="left"/>
              <w:rPr>
                <w:sz w:val="14"/>
                <w:szCs w:val="14"/>
              </w:rPr>
            </w:pPr>
            <w:r w:rsidRPr="00BF62A1">
              <w:rPr>
                <w:sz w:val="14"/>
                <w:szCs w:val="14"/>
              </w:rPr>
              <w:t>mean 14.6</w:t>
            </w:r>
          </w:p>
        </w:tc>
      </w:tr>
      <w:tr w:rsidR="000F0341" w:rsidRPr="00832E0E" w14:paraId="2ECF3DA4" w14:textId="77777777" w:rsidTr="00E40B0D">
        <w:trPr>
          <w:trHeight w:val="20"/>
        </w:trPr>
        <w:tc>
          <w:tcPr>
            <w:tcW w:w="782" w:type="pct"/>
            <w:vMerge/>
            <w:tcBorders>
              <w:left w:val="single" w:sz="4" w:space="0" w:color="auto"/>
              <w:bottom w:val="single" w:sz="8" w:space="0" w:color="auto"/>
              <w:right w:val="single" w:sz="4" w:space="0" w:color="auto"/>
            </w:tcBorders>
          </w:tcPr>
          <w:p w14:paraId="4E7D1281" w14:textId="77777777" w:rsidR="000F0341" w:rsidRPr="00832E0E" w:rsidRDefault="000F0341" w:rsidP="00E40B0D">
            <w:pPr>
              <w:spacing w:line="240" w:lineRule="auto"/>
              <w:jc w:val="left"/>
              <w:rPr>
                <w:sz w:val="14"/>
                <w:szCs w:val="14"/>
              </w:rPr>
            </w:pPr>
          </w:p>
        </w:tc>
        <w:tc>
          <w:tcPr>
            <w:tcW w:w="468" w:type="pct"/>
            <w:vMerge/>
            <w:tcBorders>
              <w:left w:val="single" w:sz="4" w:space="0" w:color="auto"/>
              <w:bottom w:val="single" w:sz="8" w:space="0" w:color="auto"/>
              <w:right w:val="single" w:sz="4" w:space="0" w:color="auto"/>
            </w:tcBorders>
          </w:tcPr>
          <w:p w14:paraId="2F3BAF0A" w14:textId="77777777" w:rsidR="000F0341" w:rsidRPr="00832E0E" w:rsidRDefault="000F0341" w:rsidP="00E40B0D">
            <w:pPr>
              <w:spacing w:line="240" w:lineRule="auto"/>
              <w:jc w:val="left"/>
              <w:rPr>
                <w:sz w:val="14"/>
                <w:szCs w:val="14"/>
              </w:rPr>
            </w:pPr>
          </w:p>
        </w:tc>
        <w:tc>
          <w:tcPr>
            <w:tcW w:w="626" w:type="pct"/>
            <w:vMerge/>
            <w:tcBorders>
              <w:left w:val="single" w:sz="4" w:space="0" w:color="auto"/>
              <w:bottom w:val="single" w:sz="8" w:space="0" w:color="auto"/>
              <w:right w:val="single" w:sz="4" w:space="0" w:color="auto"/>
            </w:tcBorders>
          </w:tcPr>
          <w:p w14:paraId="1FB6D3BF" w14:textId="77777777" w:rsidR="000F0341" w:rsidRPr="00832E0E" w:rsidRDefault="000F0341" w:rsidP="00E40B0D">
            <w:pPr>
              <w:spacing w:line="240" w:lineRule="auto"/>
              <w:jc w:val="left"/>
              <w:rPr>
                <w:sz w:val="14"/>
                <w:szCs w:val="14"/>
              </w:rPr>
            </w:pPr>
          </w:p>
        </w:tc>
        <w:tc>
          <w:tcPr>
            <w:tcW w:w="624" w:type="pct"/>
            <w:tcBorders>
              <w:top w:val="single" w:sz="4" w:space="0" w:color="auto"/>
              <w:left w:val="single" w:sz="4" w:space="0" w:color="auto"/>
              <w:bottom w:val="single" w:sz="8" w:space="0" w:color="auto"/>
              <w:right w:val="single" w:sz="4" w:space="0" w:color="auto"/>
            </w:tcBorders>
          </w:tcPr>
          <w:p w14:paraId="43E61A4E" w14:textId="77777777" w:rsidR="000F0341" w:rsidRPr="00832E0E" w:rsidRDefault="000F0341" w:rsidP="00E40B0D">
            <w:pPr>
              <w:spacing w:line="240" w:lineRule="auto"/>
              <w:jc w:val="left"/>
              <w:rPr>
                <w:sz w:val="14"/>
                <w:szCs w:val="14"/>
              </w:rPr>
            </w:pPr>
            <w:r w:rsidRPr="00BF62A1">
              <w:rPr>
                <w:sz w:val="14"/>
                <w:szCs w:val="14"/>
              </w:rPr>
              <w:t>Very high</w:t>
            </w:r>
          </w:p>
        </w:tc>
        <w:tc>
          <w:tcPr>
            <w:tcW w:w="782" w:type="pct"/>
            <w:tcBorders>
              <w:left w:val="single" w:sz="4" w:space="0" w:color="auto"/>
              <w:bottom w:val="single" w:sz="8" w:space="0" w:color="auto"/>
              <w:right w:val="single" w:sz="4" w:space="0" w:color="auto"/>
            </w:tcBorders>
          </w:tcPr>
          <w:p w14:paraId="6D8C0CF5" w14:textId="77777777" w:rsidR="000F0341" w:rsidRPr="00832E0E" w:rsidRDefault="000F0341" w:rsidP="00E40B0D">
            <w:pPr>
              <w:spacing w:line="240" w:lineRule="auto"/>
              <w:jc w:val="left"/>
              <w:rPr>
                <w:sz w:val="14"/>
                <w:szCs w:val="14"/>
              </w:rPr>
            </w:pPr>
            <w:r w:rsidRPr="00BF62A1">
              <w:rPr>
                <w:sz w:val="14"/>
                <w:szCs w:val="14"/>
              </w:rPr>
              <w:t>&gt;100</w:t>
            </w:r>
          </w:p>
        </w:tc>
        <w:tc>
          <w:tcPr>
            <w:tcW w:w="739" w:type="pct"/>
            <w:tcBorders>
              <w:left w:val="single" w:sz="4" w:space="0" w:color="auto"/>
              <w:bottom w:val="single" w:sz="8" w:space="0" w:color="auto"/>
              <w:right w:val="single" w:sz="4" w:space="0" w:color="auto"/>
            </w:tcBorders>
          </w:tcPr>
          <w:p w14:paraId="30D9FF0D" w14:textId="77777777" w:rsidR="000F0341" w:rsidRPr="00832E0E" w:rsidRDefault="000F0341" w:rsidP="00E40B0D">
            <w:pPr>
              <w:spacing w:line="240" w:lineRule="auto"/>
              <w:jc w:val="left"/>
              <w:rPr>
                <w:sz w:val="14"/>
                <w:szCs w:val="14"/>
              </w:rPr>
            </w:pPr>
            <w:r w:rsidRPr="00BF62A1">
              <w:rPr>
                <w:sz w:val="14"/>
                <w:szCs w:val="14"/>
              </w:rPr>
              <w:t>5224</w:t>
            </w:r>
          </w:p>
        </w:tc>
        <w:tc>
          <w:tcPr>
            <w:tcW w:w="980" w:type="pct"/>
            <w:tcBorders>
              <w:left w:val="single" w:sz="4" w:space="0" w:color="auto"/>
              <w:bottom w:val="single" w:sz="8" w:space="0" w:color="auto"/>
              <w:right w:val="single" w:sz="4" w:space="0" w:color="auto"/>
            </w:tcBorders>
          </w:tcPr>
          <w:p w14:paraId="361A6CDD" w14:textId="77777777" w:rsidR="000F0341" w:rsidRPr="00832E0E" w:rsidRDefault="000F0341" w:rsidP="00E40B0D">
            <w:pPr>
              <w:spacing w:line="240" w:lineRule="auto"/>
              <w:jc w:val="left"/>
              <w:rPr>
                <w:sz w:val="14"/>
                <w:szCs w:val="14"/>
              </w:rPr>
            </w:pPr>
            <w:r w:rsidRPr="00BF62A1">
              <w:rPr>
                <w:sz w:val="14"/>
                <w:szCs w:val="14"/>
              </w:rPr>
              <w:t>mean 5.4</w:t>
            </w:r>
          </w:p>
        </w:tc>
      </w:tr>
      <w:tr w:rsidR="000F0341" w:rsidRPr="00832E0E" w14:paraId="478B8CE0" w14:textId="77777777" w:rsidTr="00E40B0D">
        <w:trPr>
          <w:trHeight w:val="20"/>
        </w:trPr>
        <w:tc>
          <w:tcPr>
            <w:tcW w:w="782" w:type="pct"/>
            <w:vMerge w:val="restart"/>
            <w:tcBorders>
              <w:top w:val="single" w:sz="8" w:space="0" w:color="auto"/>
              <w:left w:val="single" w:sz="4" w:space="0" w:color="auto"/>
              <w:right w:val="single" w:sz="4" w:space="0" w:color="auto"/>
            </w:tcBorders>
          </w:tcPr>
          <w:p w14:paraId="5F7C90DF" w14:textId="5623C96F" w:rsidR="000F0341" w:rsidRPr="00832E0E" w:rsidRDefault="000F0341" w:rsidP="00E40B0D">
            <w:pPr>
              <w:spacing w:line="240" w:lineRule="auto"/>
              <w:jc w:val="left"/>
              <w:rPr>
                <w:color w:val="000000"/>
                <w:sz w:val="14"/>
                <w:szCs w:val="14"/>
              </w:rPr>
            </w:pPr>
            <w:r w:rsidRPr="00BF62A1">
              <w:rPr>
                <w:sz w:val="14"/>
                <w:szCs w:val="14"/>
              </w:rPr>
              <w:t xml:space="preserve">Lee 2019 </w:t>
            </w:r>
            <w:r w:rsidRPr="00832E0E">
              <w:rPr>
                <w:sz w:val="14"/>
                <w:szCs w:val="14"/>
              </w:rPr>
              <w:fldChar w:fldCharType="begin"/>
            </w:r>
            <w:r>
              <w:rPr>
                <w:sz w:val="14"/>
                <w:szCs w:val="14"/>
              </w:rPr>
              <w:instrText xml:space="preserve"> ADDIN ZOTERO_ITEM CSL_CITATION {"citationID":"The0VVtf","properties":{"formattedCitation":"[84]","plainCitation":"[84]","noteIndex":0},"citationItems":[{"id":14137,"uris":["http://zotero.org/groups/4983919/items/GBPXPSTT"],"itemData":{"id":14137,"type":"article-journal","abstract":"Background. Many studies have demonstrated associations between surgical resections at academic centers and improved outcomes, particularly for complex operations. However, few studies have examined this relationship in intrahepatic cholangiocarcinoma (ICC). The hypothesis of this study was that facility type is associated with improved postoperative outcomes and survival for patients with ICC who undergo resection.","container-title":"Annals of Surgical Oncology","DOI":"10.1245/s10434-019-07657-5","ISSN":"1068-9265, 1534-4681","issue":"12","journalAbbreviation":"Ann Surg Oncol","language":"en","page":"4091-4099","source":"DOI.org (Crossref)","title":"Facility Type is Associated with Margin Status and Overall Survival of Patients with Resected Intrahepatic Cholangiocarcinoma","URL":"http://link.springer.com/10.1245/s10434-019-07657-5","volume":"26","author":[{"family":"Lee","given":"Grace C."},{"family":"Gamblin","given":"T. Clark"},{"family":"Fong","given":"Zhi Ven"},{"family":"Ferrone","given":"Cristina R."},{"family":"Goyal","given":"Lipika"},{"family":"Lillemoe","given":"Keith D."},{"family":"Blaszkowsky","given":"Lawrence S."},{"family":"Tanabe","given":"Kenneth K."},{"family":"Qadan","given":"Motaz"}],"accessed":{"date-parts":[["2023",3,9]]},"issued":{"date-parts":[["2019",11]]}}}],"schema":"https://github.com/citation-style-language/schema/raw/master/csl-citation.json"} </w:instrText>
            </w:r>
            <w:r w:rsidRPr="00832E0E">
              <w:rPr>
                <w:sz w:val="14"/>
                <w:szCs w:val="14"/>
              </w:rPr>
              <w:fldChar w:fldCharType="separate"/>
            </w:r>
            <w:r w:rsidRPr="004125CE">
              <w:rPr>
                <w:sz w:val="14"/>
              </w:rPr>
              <w:t>[8</w:t>
            </w:r>
            <w:r w:rsidR="00D03F0D">
              <w:rPr>
                <w:sz w:val="14"/>
              </w:rPr>
              <w:t>7</w:t>
            </w:r>
            <w:r w:rsidRPr="004125CE">
              <w:rPr>
                <w:sz w:val="14"/>
              </w:rPr>
              <w:t>]</w:t>
            </w:r>
            <w:r w:rsidRPr="00832E0E">
              <w:rPr>
                <w:sz w:val="14"/>
                <w:szCs w:val="14"/>
              </w:rPr>
              <w:fldChar w:fldCharType="end"/>
            </w:r>
          </w:p>
        </w:tc>
        <w:tc>
          <w:tcPr>
            <w:tcW w:w="468" w:type="pct"/>
            <w:vMerge w:val="restart"/>
            <w:tcBorders>
              <w:top w:val="single" w:sz="8" w:space="0" w:color="auto"/>
              <w:left w:val="single" w:sz="4" w:space="0" w:color="auto"/>
              <w:right w:val="single" w:sz="4" w:space="0" w:color="auto"/>
            </w:tcBorders>
          </w:tcPr>
          <w:p w14:paraId="48CEA21D" w14:textId="77777777" w:rsidR="000F0341" w:rsidRPr="00832E0E" w:rsidRDefault="000F0341" w:rsidP="00E40B0D">
            <w:pPr>
              <w:spacing w:line="240" w:lineRule="auto"/>
              <w:jc w:val="left"/>
              <w:rPr>
                <w:sz w:val="14"/>
                <w:szCs w:val="14"/>
              </w:rPr>
            </w:pPr>
            <w:r w:rsidRPr="00BF62A1">
              <w:rPr>
                <w:sz w:val="14"/>
                <w:szCs w:val="14"/>
              </w:rPr>
              <w:t>2256</w:t>
            </w:r>
          </w:p>
        </w:tc>
        <w:tc>
          <w:tcPr>
            <w:tcW w:w="626" w:type="pct"/>
            <w:vMerge w:val="restart"/>
            <w:tcBorders>
              <w:top w:val="single" w:sz="8" w:space="0" w:color="auto"/>
              <w:left w:val="single" w:sz="4" w:space="0" w:color="auto"/>
              <w:right w:val="single" w:sz="4" w:space="0" w:color="auto"/>
            </w:tcBorders>
          </w:tcPr>
          <w:p w14:paraId="3A2E09FA" w14:textId="77777777" w:rsidR="000F0341" w:rsidRPr="00832E0E" w:rsidRDefault="000F0341" w:rsidP="00E40B0D">
            <w:pPr>
              <w:spacing w:line="240" w:lineRule="auto"/>
              <w:jc w:val="left"/>
              <w:rPr>
                <w:sz w:val="14"/>
                <w:szCs w:val="14"/>
              </w:rPr>
            </w:pPr>
            <w:r w:rsidRPr="00BF62A1">
              <w:rPr>
                <w:sz w:val="14"/>
                <w:szCs w:val="14"/>
              </w:rPr>
              <w:t>-</w:t>
            </w:r>
          </w:p>
        </w:tc>
        <w:tc>
          <w:tcPr>
            <w:tcW w:w="624" w:type="pct"/>
            <w:tcBorders>
              <w:top w:val="single" w:sz="8" w:space="0" w:color="auto"/>
              <w:left w:val="single" w:sz="4" w:space="0" w:color="auto"/>
              <w:bottom w:val="single" w:sz="4" w:space="0" w:color="auto"/>
              <w:right w:val="single" w:sz="4" w:space="0" w:color="auto"/>
            </w:tcBorders>
          </w:tcPr>
          <w:p w14:paraId="134194B0" w14:textId="77777777" w:rsidR="000F0341" w:rsidRPr="00832E0E" w:rsidRDefault="000F0341" w:rsidP="00E40B0D">
            <w:pPr>
              <w:spacing w:line="240" w:lineRule="auto"/>
              <w:jc w:val="left"/>
              <w:rPr>
                <w:sz w:val="14"/>
                <w:szCs w:val="14"/>
              </w:rPr>
            </w:pPr>
            <w:r w:rsidRPr="00BF62A1">
              <w:rPr>
                <w:sz w:val="14"/>
                <w:szCs w:val="14"/>
              </w:rPr>
              <w:t>Low</w:t>
            </w:r>
          </w:p>
        </w:tc>
        <w:tc>
          <w:tcPr>
            <w:tcW w:w="782" w:type="pct"/>
            <w:tcBorders>
              <w:top w:val="single" w:sz="8" w:space="0" w:color="auto"/>
              <w:left w:val="single" w:sz="4" w:space="0" w:color="auto"/>
              <w:right w:val="single" w:sz="4" w:space="0" w:color="auto"/>
            </w:tcBorders>
          </w:tcPr>
          <w:p w14:paraId="55F1E7BF" w14:textId="77777777" w:rsidR="000F0341" w:rsidRPr="00832E0E" w:rsidRDefault="000F0341" w:rsidP="00E40B0D">
            <w:pPr>
              <w:spacing w:line="240" w:lineRule="auto"/>
              <w:jc w:val="left"/>
              <w:rPr>
                <w:sz w:val="14"/>
                <w:szCs w:val="14"/>
              </w:rPr>
            </w:pPr>
            <w:r w:rsidRPr="00BF62A1">
              <w:rPr>
                <w:sz w:val="14"/>
                <w:szCs w:val="14"/>
              </w:rPr>
              <w:t>&lt;11</w:t>
            </w:r>
          </w:p>
        </w:tc>
        <w:tc>
          <w:tcPr>
            <w:tcW w:w="739" w:type="pct"/>
            <w:vMerge w:val="restart"/>
            <w:tcBorders>
              <w:top w:val="single" w:sz="8" w:space="0" w:color="auto"/>
              <w:left w:val="single" w:sz="4" w:space="0" w:color="auto"/>
              <w:right w:val="single" w:sz="4" w:space="0" w:color="auto"/>
            </w:tcBorders>
          </w:tcPr>
          <w:p w14:paraId="3C5472FD" w14:textId="77777777" w:rsidR="000F0341" w:rsidRPr="00832E0E" w:rsidRDefault="000F0341" w:rsidP="00E40B0D">
            <w:pPr>
              <w:spacing w:line="240" w:lineRule="auto"/>
              <w:jc w:val="left"/>
              <w:rPr>
                <w:color w:val="000000" w:themeColor="text1"/>
                <w:sz w:val="14"/>
                <w:szCs w:val="14"/>
              </w:rPr>
            </w:pPr>
            <w:r w:rsidRPr="00BF62A1">
              <w:rPr>
                <w:color w:val="000000" w:themeColor="text1"/>
                <w:sz w:val="14"/>
                <w:szCs w:val="14"/>
              </w:rPr>
              <w:t>-</w:t>
            </w:r>
          </w:p>
        </w:tc>
        <w:tc>
          <w:tcPr>
            <w:tcW w:w="980" w:type="pct"/>
            <w:vMerge w:val="restart"/>
            <w:tcBorders>
              <w:top w:val="single" w:sz="8" w:space="0" w:color="auto"/>
              <w:left w:val="single" w:sz="4" w:space="0" w:color="auto"/>
              <w:right w:val="single" w:sz="4" w:space="0" w:color="auto"/>
            </w:tcBorders>
          </w:tcPr>
          <w:p w14:paraId="0ECC1D45" w14:textId="77777777" w:rsidR="000F0341" w:rsidRPr="00832E0E" w:rsidRDefault="000F0341" w:rsidP="00E40B0D">
            <w:pPr>
              <w:spacing w:line="240" w:lineRule="auto"/>
              <w:jc w:val="left"/>
              <w:rPr>
                <w:color w:val="000000" w:themeColor="text1"/>
                <w:sz w:val="14"/>
                <w:szCs w:val="14"/>
              </w:rPr>
            </w:pPr>
            <w:r w:rsidRPr="00BF62A1">
              <w:rPr>
                <w:color w:val="000000" w:themeColor="text1"/>
                <w:sz w:val="14"/>
                <w:szCs w:val="14"/>
              </w:rPr>
              <w:t>-</w:t>
            </w:r>
          </w:p>
        </w:tc>
      </w:tr>
      <w:tr w:rsidR="000F0341" w:rsidRPr="00832E0E" w14:paraId="595709D6" w14:textId="77777777" w:rsidTr="00E40B0D">
        <w:trPr>
          <w:trHeight w:val="20"/>
        </w:trPr>
        <w:tc>
          <w:tcPr>
            <w:tcW w:w="782" w:type="pct"/>
            <w:vMerge/>
            <w:tcBorders>
              <w:left w:val="single" w:sz="4" w:space="0" w:color="auto"/>
              <w:bottom w:val="single" w:sz="8" w:space="0" w:color="auto"/>
              <w:right w:val="single" w:sz="4" w:space="0" w:color="auto"/>
            </w:tcBorders>
          </w:tcPr>
          <w:p w14:paraId="4FA838AD" w14:textId="77777777" w:rsidR="000F0341" w:rsidRPr="00832E0E" w:rsidRDefault="000F0341" w:rsidP="00E40B0D">
            <w:pPr>
              <w:spacing w:line="240" w:lineRule="auto"/>
              <w:jc w:val="left"/>
              <w:rPr>
                <w:sz w:val="14"/>
                <w:szCs w:val="14"/>
              </w:rPr>
            </w:pPr>
          </w:p>
        </w:tc>
        <w:tc>
          <w:tcPr>
            <w:tcW w:w="468" w:type="pct"/>
            <w:vMerge/>
            <w:tcBorders>
              <w:left w:val="single" w:sz="4" w:space="0" w:color="auto"/>
              <w:bottom w:val="single" w:sz="8" w:space="0" w:color="auto"/>
              <w:right w:val="single" w:sz="4" w:space="0" w:color="auto"/>
            </w:tcBorders>
          </w:tcPr>
          <w:p w14:paraId="039333BF" w14:textId="77777777" w:rsidR="000F0341" w:rsidRPr="00832E0E" w:rsidRDefault="000F0341" w:rsidP="00E40B0D">
            <w:pPr>
              <w:spacing w:line="240" w:lineRule="auto"/>
              <w:jc w:val="left"/>
              <w:rPr>
                <w:sz w:val="14"/>
                <w:szCs w:val="14"/>
              </w:rPr>
            </w:pPr>
          </w:p>
        </w:tc>
        <w:tc>
          <w:tcPr>
            <w:tcW w:w="626" w:type="pct"/>
            <w:vMerge/>
            <w:tcBorders>
              <w:left w:val="single" w:sz="4" w:space="0" w:color="auto"/>
              <w:bottom w:val="single" w:sz="8" w:space="0" w:color="auto"/>
              <w:right w:val="single" w:sz="4" w:space="0" w:color="auto"/>
            </w:tcBorders>
          </w:tcPr>
          <w:p w14:paraId="4134D345" w14:textId="77777777" w:rsidR="000F0341" w:rsidRPr="00832E0E" w:rsidRDefault="000F0341" w:rsidP="00E40B0D">
            <w:pPr>
              <w:spacing w:line="240" w:lineRule="auto"/>
              <w:jc w:val="left"/>
              <w:rPr>
                <w:sz w:val="14"/>
                <w:szCs w:val="14"/>
              </w:rPr>
            </w:pPr>
          </w:p>
        </w:tc>
        <w:tc>
          <w:tcPr>
            <w:tcW w:w="624" w:type="pct"/>
            <w:tcBorders>
              <w:top w:val="single" w:sz="4" w:space="0" w:color="auto"/>
              <w:left w:val="single" w:sz="4" w:space="0" w:color="auto"/>
              <w:bottom w:val="single" w:sz="8" w:space="0" w:color="auto"/>
              <w:right w:val="single" w:sz="4" w:space="0" w:color="auto"/>
            </w:tcBorders>
          </w:tcPr>
          <w:p w14:paraId="2299D057" w14:textId="77777777" w:rsidR="000F0341" w:rsidRPr="00832E0E" w:rsidRDefault="000F0341" w:rsidP="00E40B0D">
            <w:pPr>
              <w:spacing w:line="240" w:lineRule="auto"/>
              <w:jc w:val="left"/>
              <w:rPr>
                <w:sz w:val="14"/>
                <w:szCs w:val="14"/>
              </w:rPr>
            </w:pPr>
            <w:r w:rsidRPr="00BF62A1">
              <w:rPr>
                <w:sz w:val="14"/>
                <w:szCs w:val="14"/>
              </w:rPr>
              <w:t>High</w:t>
            </w:r>
          </w:p>
        </w:tc>
        <w:tc>
          <w:tcPr>
            <w:tcW w:w="782" w:type="pct"/>
            <w:tcBorders>
              <w:left w:val="single" w:sz="4" w:space="0" w:color="auto"/>
              <w:bottom w:val="single" w:sz="8" w:space="0" w:color="auto"/>
              <w:right w:val="single" w:sz="4" w:space="0" w:color="auto"/>
            </w:tcBorders>
          </w:tcPr>
          <w:p w14:paraId="01DA5E05" w14:textId="77777777" w:rsidR="000F0341" w:rsidRPr="00832E0E" w:rsidRDefault="000F0341" w:rsidP="00E40B0D">
            <w:pPr>
              <w:spacing w:line="240" w:lineRule="auto"/>
              <w:jc w:val="left"/>
              <w:rPr>
                <w:sz w:val="14"/>
                <w:szCs w:val="14"/>
              </w:rPr>
            </w:pPr>
            <w:r w:rsidRPr="00BF62A1">
              <w:rPr>
                <w:sz w:val="14"/>
                <w:szCs w:val="14"/>
              </w:rPr>
              <w:t>≥11</w:t>
            </w:r>
          </w:p>
        </w:tc>
        <w:tc>
          <w:tcPr>
            <w:tcW w:w="739" w:type="pct"/>
            <w:vMerge/>
            <w:tcBorders>
              <w:left w:val="single" w:sz="4" w:space="0" w:color="auto"/>
              <w:bottom w:val="single" w:sz="8" w:space="0" w:color="auto"/>
              <w:right w:val="single" w:sz="4" w:space="0" w:color="auto"/>
            </w:tcBorders>
          </w:tcPr>
          <w:p w14:paraId="31559313" w14:textId="77777777" w:rsidR="000F0341" w:rsidRPr="00832E0E" w:rsidRDefault="000F0341" w:rsidP="00E40B0D">
            <w:pPr>
              <w:spacing w:line="240" w:lineRule="auto"/>
              <w:jc w:val="left"/>
              <w:rPr>
                <w:color w:val="000000" w:themeColor="text1"/>
                <w:sz w:val="14"/>
                <w:szCs w:val="14"/>
              </w:rPr>
            </w:pPr>
          </w:p>
        </w:tc>
        <w:tc>
          <w:tcPr>
            <w:tcW w:w="980" w:type="pct"/>
            <w:vMerge/>
            <w:tcBorders>
              <w:left w:val="single" w:sz="4" w:space="0" w:color="auto"/>
              <w:bottom w:val="single" w:sz="8" w:space="0" w:color="auto"/>
              <w:right w:val="single" w:sz="4" w:space="0" w:color="auto"/>
            </w:tcBorders>
          </w:tcPr>
          <w:p w14:paraId="3AF80EA8" w14:textId="77777777" w:rsidR="000F0341" w:rsidRPr="00832E0E" w:rsidRDefault="000F0341" w:rsidP="00E40B0D">
            <w:pPr>
              <w:spacing w:line="240" w:lineRule="auto"/>
              <w:jc w:val="left"/>
              <w:rPr>
                <w:color w:val="000000" w:themeColor="text1"/>
                <w:sz w:val="14"/>
                <w:szCs w:val="14"/>
              </w:rPr>
            </w:pPr>
          </w:p>
        </w:tc>
      </w:tr>
      <w:tr w:rsidR="000F0341" w:rsidRPr="00832E0E" w14:paraId="3337C0D2" w14:textId="77777777" w:rsidTr="00E40B0D">
        <w:trPr>
          <w:trHeight w:val="20"/>
        </w:trPr>
        <w:tc>
          <w:tcPr>
            <w:tcW w:w="782" w:type="pct"/>
            <w:vMerge w:val="restart"/>
            <w:tcBorders>
              <w:top w:val="single" w:sz="8" w:space="0" w:color="auto"/>
              <w:left w:val="single" w:sz="4" w:space="0" w:color="auto"/>
              <w:right w:val="single" w:sz="4" w:space="0" w:color="auto"/>
            </w:tcBorders>
          </w:tcPr>
          <w:p w14:paraId="7B214987" w14:textId="77777777" w:rsidR="000F0341" w:rsidRPr="00832E0E" w:rsidRDefault="000F0341" w:rsidP="00E40B0D">
            <w:pPr>
              <w:spacing w:line="240" w:lineRule="auto"/>
              <w:jc w:val="left"/>
              <w:rPr>
                <w:color w:val="000000"/>
                <w:sz w:val="14"/>
                <w:szCs w:val="14"/>
              </w:rPr>
            </w:pPr>
            <w:r w:rsidRPr="00BF62A1">
              <w:rPr>
                <w:sz w:val="14"/>
                <w:szCs w:val="14"/>
              </w:rPr>
              <w:t xml:space="preserve">Magnin 2023 </w:t>
            </w:r>
            <w:r w:rsidRPr="00832E0E">
              <w:rPr>
                <w:sz w:val="14"/>
                <w:szCs w:val="14"/>
              </w:rPr>
              <w:fldChar w:fldCharType="begin"/>
            </w:r>
            <w:r>
              <w:rPr>
                <w:sz w:val="14"/>
                <w:szCs w:val="14"/>
              </w:rPr>
              <w:instrText xml:space="preserve"> ADDIN ZOTERO_ITEM CSL_CITATION {"citationID":"PA7mNUdA","properties":{"formattedCitation":"[62]","plainCitation":"[62]","noteIndex":0},"citationItems":[{"id":14274,"uris":["http://zotero.org/groups/4983919/items/4BILQIX2"],"itemData":{"id":14274,"type":"article-journal","abstract":"BACKGROUND: This nationwide retrospective study was undertaken to evaluate impact of hospital volume and influence of liver transplantation activity on postoperative mortality and failure to rescue after liver surgery. METHODS: This was a retrospective study of patients who underwent liver resection between 2011 and 2019 using a nationwide database. A threshold of surgical activities from which in-hospital mortality declines was calculated. Hospitals were divided into high- and low-volume centres. Main outcomes were in-hospital mortality and failure to rescue. RESULTS: Among 39 286 patients included, the in-hospital mortality rate was 2.8 per cent. The activity volume threshold from which in-hospital mortality declined was 25 hepatectomies. High-volume centres (more than 25 resections per year) had more postoperative complications but a lower rate of in-hospital mortality (2.6 versus 3 per cent; P &lt; 0.001) and failure to rescue (5 versus 6.3 per cent; P &lt; 0.001), in particular related to specific complications (liver failure, biliary complications, vascular complications) (5.5 versus 7.6 per cent; P &lt; 0.001). Liver transplantation activity did not have an impact on these outcomes. CONCLUSION: From more than 25 liver resections per year, rates of in-hospital mortality and failure to rescue declined. Management of specific postoperative complications appeared to be better in high-volume centres.","container-title":"The British journal of surgery","DOI":"10.1093/bjs/znac458","ISSN":"1365-2168 (Electronic)","language":"eng","title":"Impact of hospital volume in liver surgery on postoperative mortality and morbidity: nationwide study.","URL":"https://pubmed.ncbi.nlm.nih.gov/36724824/","author":[{"family":"Magnin","given":"Josephine"},{"family":"Bernard","given":"Alain"},{"family":"Cottenet","given":"Jonathan"},{"family":"Lequeu","given":"Jean-Baptiste"},{"family":"Ortega","given":"Pablo"},{"family":"Quantin","given":"Catherine"},{"family":"Facy","given":"Oliver"}],"issued":{"date-parts":[["2023",2]]}}}],"schema":"https://github.com/citation-style-language/schema/raw/master/csl-citation.json"} </w:instrText>
            </w:r>
            <w:r w:rsidRPr="00832E0E">
              <w:rPr>
                <w:sz w:val="14"/>
                <w:szCs w:val="14"/>
              </w:rPr>
              <w:fldChar w:fldCharType="separate"/>
            </w:r>
            <w:r w:rsidRPr="004125CE">
              <w:rPr>
                <w:sz w:val="14"/>
              </w:rPr>
              <w:t>[62]</w:t>
            </w:r>
            <w:r w:rsidRPr="00832E0E">
              <w:rPr>
                <w:sz w:val="14"/>
                <w:szCs w:val="14"/>
              </w:rPr>
              <w:fldChar w:fldCharType="end"/>
            </w:r>
          </w:p>
        </w:tc>
        <w:tc>
          <w:tcPr>
            <w:tcW w:w="468" w:type="pct"/>
            <w:vMerge w:val="restart"/>
            <w:tcBorders>
              <w:top w:val="single" w:sz="8" w:space="0" w:color="auto"/>
              <w:left w:val="single" w:sz="4" w:space="0" w:color="auto"/>
              <w:right w:val="single" w:sz="4" w:space="0" w:color="auto"/>
            </w:tcBorders>
          </w:tcPr>
          <w:p w14:paraId="470ECABC" w14:textId="77777777" w:rsidR="000F0341" w:rsidRPr="00832E0E" w:rsidRDefault="000F0341" w:rsidP="00E40B0D">
            <w:pPr>
              <w:spacing w:line="240" w:lineRule="auto"/>
              <w:jc w:val="left"/>
              <w:rPr>
                <w:sz w:val="14"/>
                <w:szCs w:val="14"/>
              </w:rPr>
            </w:pPr>
            <w:r w:rsidRPr="00BF62A1">
              <w:rPr>
                <w:sz w:val="14"/>
                <w:szCs w:val="14"/>
              </w:rPr>
              <w:t>39286</w:t>
            </w:r>
          </w:p>
        </w:tc>
        <w:tc>
          <w:tcPr>
            <w:tcW w:w="626" w:type="pct"/>
            <w:vMerge w:val="restart"/>
            <w:tcBorders>
              <w:top w:val="single" w:sz="8" w:space="0" w:color="auto"/>
              <w:left w:val="single" w:sz="4" w:space="0" w:color="auto"/>
              <w:right w:val="single" w:sz="4" w:space="0" w:color="auto"/>
            </w:tcBorders>
          </w:tcPr>
          <w:p w14:paraId="1D847088" w14:textId="77777777" w:rsidR="000F0341" w:rsidRPr="00832E0E" w:rsidRDefault="000F0341" w:rsidP="00E40B0D">
            <w:pPr>
              <w:spacing w:line="240" w:lineRule="auto"/>
              <w:jc w:val="left"/>
              <w:rPr>
                <w:sz w:val="14"/>
                <w:szCs w:val="14"/>
              </w:rPr>
            </w:pPr>
            <w:r w:rsidRPr="00BF62A1">
              <w:rPr>
                <w:sz w:val="14"/>
                <w:szCs w:val="14"/>
              </w:rPr>
              <w:t>-</w:t>
            </w:r>
          </w:p>
        </w:tc>
        <w:tc>
          <w:tcPr>
            <w:tcW w:w="624" w:type="pct"/>
            <w:tcBorders>
              <w:top w:val="single" w:sz="8" w:space="0" w:color="auto"/>
              <w:left w:val="single" w:sz="4" w:space="0" w:color="auto"/>
              <w:bottom w:val="single" w:sz="4" w:space="0" w:color="auto"/>
              <w:right w:val="single" w:sz="4" w:space="0" w:color="auto"/>
            </w:tcBorders>
          </w:tcPr>
          <w:p w14:paraId="7CDDC9E6" w14:textId="77777777" w:rsidR="000F0341" w:rsidRPr="00832E0E" w:rsidRDefault="000F0341" w:rsidP="00E40B0D">
            <w:pPr>
              <w:spacing w:line="240" w:lineRule="auto"/>
              <w:jc w:val="left"/>
              <w:rPr>
                <w:sz w:val="14"/>
                <w:szCs w:val="14"/>
              </w:rPr>
            </w:pPr>
            <w:r w:rsidRPr="00BF62A1">
              <w:rPr>
                <w:sz w:val="14"/>
                <w:szCs w:val="14"/>
              </w:rPr>
              <w:t>Low</w:t>
            </w:r>
          </w:p>
        </w:tc>
        <w:tc>
          <w:tcPr>
            <w:tcW w:w="782" w:type="pct"/>
            <w:tcBorders>
              <w:top w:val="single" w:sz="8" w:space="0" w:color="auto"/>
              <w:left w:val="single" w:sz="4" w:space="0" w:color="auto"/>
              <w:right w:val="single" w:sz="4" w:space="0" w:color="auto"/>
            </w:tcBorders>
          </w:tcPr>
          <w:p w14:paraId="63977B1B" w14:textId="77777777" w:rsidR="000F0341" w:rsidRPr="00832E0E" w:rsidRDefault="000F0341" w:rsidP="00E40B0D">
            <w:pPr>
              <w:spacing w:line="240" w:lineRule="auto"/>
              <w:jc w:val="left"/>
              <w:rPr>
                <w:sz w:val="14"/>
                <w:szCs w:val="14"/>
              </w:rPr>
            </w:pPr>
            <w:r w:rsidRPr="00BF62A1">
              <w:rPr>
                <w:sz w:val="14"/>
                <w:szCs w:val="14"/>
              </w:rPr>
              <w:t>≤25</w:t>
            </w:r>
          </w:p>
        </w:tc>
        <w:tc>
          <w:tcPr>
            <w:tcW w:w="739" w:type="pct"/>
            <w:tcBorders>
              <w:top w:val="single" w:sz="8" w:space="0" w:color="auto"/>
              <w:left w:val="single" w:sz="4" w:space="0" w:color="auto"/>
              <w:right w:val="single" w:sz="4" w:space="0" w:color="auto"/>
            </w:tcBorders>
          </w:tcPr>
          <w:p w14:paraId="455AB312" w14:textId="77777777" w:rsidR="000F0341" w:rsidRPr="00832E0E" w:rsidRDefault="000F0341" w:rsidP="00E40B0D">
            <w:pPr>
              <w:spacing w:line="240" w:lineRule="auto"/>
              <w:jc w:val="left"/>
              <w:rPr>
                <w:sz w:val="14"/>
                <w:szCs w:val="14"/>
              </w:rPr>
            </w:pPr>
            <w:r w:rsidRPr="00BF62A1">
              <w:rPr>
                <w:sz w:val="14"/>
                <w:szCs w:val="14"/>
              </w:rPr>
              <w:t>13375 (34.0)</w:t>
            </w:r>
          </w:p>
        </w:tc>
        <w:tc>
          <w:tcPr>
            <w:tcW w:w="980" w:type="pct"/>
            <w:tcBorders>
              <w:top w:val="single" w:sz="8" w:space="0" w:color="auto"/>
              <w:left w:val="single" w:sz="4" w:space="0" w:color="auto"/>
              <w:right w:val="single" w:sz="4" w:space="0" w:color="auto"/>
            </w:tcBorders>
          </w:tcPr>
          <w:p w14:paraId="43948178" w14:textId="77777777" w:rsidR="000F0341" w:rsidRPr="00832E0E" w:rsidRDefault="000F0341" w:rsidP="00E40B0D">
            <w:pPr>
              <w:spacing w:line="240" w:lineRule="auto"/>
              <w:jc w:val="left"/>
              <w:rPr>
                <w:sz w:val="14"/>
                <w:szCs w:val="14"/>
              </w:rPr>
            </w:pPr>
            <w:r w:rsidRPr="00BF62A1">
              <w:rPr>
                <w:sz w:val="14"/>
                <w:szCs w:val="14"/>
              </w:rPr>
              <w:t>293</w:t>
            </w:r>
          </w:p>
        </w:tc>
      </w:tr>
      <w:tr w:rsidR="000F0341" w:rsidRPr="00832E0E" w14:paraId="2A494053" w14:textId="77777777" w:rsidTr="00E40B0D">
        <w:trPr>
          <w:trHeight w:val="20"/>
        </w:trPr>
        <w:tc>
          <w:tcPr>
            <w:tcW w:w="782" w:type="pct"/>
            <w:vMerge/>
            <w:tcBorders>
              <w:left w:val="single" w:sz="4" w:space="0" w:color="auto"/>
              <w:bottom w:val="single" w:sz="8" w:space="0" w:color="auto"/>
              <w:right w:val="single" w:sz="4" w:space="0" w:color="auto"/>
            </w:tcBorders>
          </w:tcPr>
          <w:p w14:paraId="7CED0529" w14:textId="77777777" w:rsidR="000F0341" w:rsidRPr="00832E0E" w:rsidRDefault="000F0341" w:rsidP="00E40B0D">
            <w:pPr>
              <w:spacing w:line="240" w:lineRule="auto"/>
              <w:jc w:val="left"/>
              <w:rPr>
                <w:sz w:val="14"/>
                <w:szCs w:val="14"/>
              </w:rPr>
            </w:pPr>
          </w:p>
        </w:tc>
        <w:tc>
          <w:tcPr>
            <w:tcW w:w="468" w:type="pct"/>
            <w:vMerge/>
            <w:tcBorders>
              <w:left w:val="single" w:sz="4" w:space="0" w:color="auto"/>
              <w:bottom w:val="single" w:sz="8" w:space="0" w:color="auto"/>
              <w:right w:val="single" w:sz="4" w:space="0" w:color="auto"/>
            </w:tcBorders>
          </w:tcPr>
          <w:p w14:paraId="2BEC0409" w14:textId="77777777" w:rsidR="000F0341" w:rsidRPr="00832E0E" w:rsidRDefault="000F0341" w:rsidP="00E40B0D">
            <w:pPr>
              <w:spacing w:line="240" w:lineRule="auto"/>
              <w:jc w:val="left"/>
              <w:rPr>
                <w:sz w:val="14"/>
                <w:szCs w:val="14"/>
              </w:rPr>
            </w:pPr>
          </w:p>
        </w:tc>
        <w:tc>
          <w:tcPr>
            <w:tcW w:w="626" w:type="pct"/>
            <w:vMerge/>
            <w:tcBorders>
              <w:left w:val="single" w:sz="4" w:space="0" w:color="auto"/>
              <w:bottom w:val="single" w:sz="8" w:space="0" w:color="auto"/>
              <w:right w:val="single" w:sz="4" w:space="0" w:color="auto"/>
            </w:tcBorders>
          </w:tcPr>
          <w:p w14:paraId="186396C7" w14:textId="77777777" w:rsidR="000F0341" w:rsidRPr="00832E0E" w:rsidRDefault="000F0341" w:rsidP="00E40B0D">
            <w:pPr>
              <w:spacing w:line="240" w:lineRule="auto"/>
              <w:jc w:val="left"/>
              <w:rPr>
                <w:sz w:val="14"/>
                <w:szCs w:val="14"/>
              </w:rPr>
            </w:pPr>
          </w:p>
        </w:tc>
        <w:tc>
          <w:tcPr>
            <w:tcW w:w="624" w:type="pct"/>
            <w:tcBorders>
              <w:top w:val="single" w:sz="4" w:space="0" w:color="auto"/>
              <w:left w:val="single" w:sz="4" w:space="0" w:color="auto"/>
              <w:bottom w:val="single" w:sz="8" w:space="0" w:color="auto"/>
              <w:right w:val="single" w:sz="4" w:space="0" w:color="auto"/>
            </w:tcBorders>
          </w:tcPr>
          <w:p w14:paraId="3F9C0B09" w14:textId="77777777" w:rsidR="000F0341" w:rsidRPr="00832E0E" w:rsidRDefault="000F0341" w:rsidP="00E40B0D">
            <w:pPr>
              <w:spacing w:line="240" w:lineRule="auto"/>
              <w:jc w:val="left"/>
              <w:rPr>
                <w:sz w:val="14"/>
                <w:szCs w:val="14"/>
              </w:rPr>
            </w:pPr>
            <w:r w:rsidRPr="00BF62A1">
              <w:rPr>
                <w:sz w:val="14"/>
                <w:szCs w:val="14"/>
              </w:rPr>
              <w:t>High</w:t>
            </w:r>
          </w:p>
        </w:tc>
        <w:tc>
          <w:tcPr>
            <w:tcW w:w="782" w:type="pct"/>
            <w:tcBorders>
              <w:left w:val="single" w:sz="4" w:space="0" w:color="auto"/>
              <w:bottom w:val="single" w:sz="8" w:space="0" w:color="auto"/>
              <w:right w:val="single" w:sz="4" w:space="0" w:color="auto"/>
            </w:tcBorders>
          </w:tcPr>
          <w:p w14:paraId="606041B1" w14:textId="77777777" w:rsidR="000F0341" w:rsidRPr="00832E0E" w:rsidRDefault="000F0341" w:rsidP="00E40B0D">
            <w:pPr>
              <w:spacing w:line="240" w:lineRule="auto"/>
              <w:jc w:val="left"/>
              <w:rPr>
                <w:sz w:val="14"/>
                <w:szCs w:val="14"/>
              </w:rPr>
            </w:pPr>
            <w:r w:rsidRPr="00BF62A1">
              <w:rPr>
                <w:sz w:val="14"/>
                <w:szCs w:val="14"/>
              </w:rPr>
              <w:t>&gt;25</w:t>
            </w:r>
          </w:p>
        </w:tc>
        <w:tc>
          <w:tcPr>
            <w:tcW w:w="739" w:type="pct"/>
            <w:tcBorders>
              <w:left w:val="single" w:sz="4" w:space="0" w:color="auto"/>
              <w:bottom w:val="single" w:sz="8" w:space="0" w:color="auto"/>
              <w:right w:val="single" w:sz="4" w:space="0" w:color="auto"/>
            </w:tcBorders>
          </w:tcPr>
          <w:p w14:paraId="67C512F1" w14:textId="77777777" w:rsidR="000F0341" w:rsidRPr="00832E0E" w:rsidRDefault="000F0341" w:rsidP="00E40B0D">
            <w:pPr>
              <w:spacing w:line="240" w:lineRule="auto"/>
              <w:jc w:val="left"/>
              <w:rPr>
                <w:sz w:val="14"/>
                <w:szCs w:val="14"/>
              </w:rPr>
            </w:pPr>
            <w:r w:rsidRPr="00BF62A1">
              <w:rPr>
                <w:sz w:val="14"/>
                <w:szCs w:val="14"/>
              </w:rPr>
              <w:t>25911 (66.0)</w:t>
            </w:r>
          </w:p>
        </w:tc>
        <w:tc>
          <w:tcPr>
            <w:tcW w:w="980" w:type="pct"/>
            <w:tcBorders>
              <w:left w:val="single" w:sz="4" w:space="0" w:color="auto"/>
              <w:bottom w:val="single" w:sz="8" w:space="0" w:color="auto"/>
              <w:right w:val="single" w:sz="4" w:space="0" w:color="auto"/>
            </w:tcBorders>
          </w:tcPr>
          <w:p w14:paraId="0E749A1F" w14:textId="77777777" w:rsidR="000F0341" w:rsidRPr="00832E0E" w:rsidRDefault="000F0341" w:rsidP="00E40B0D">
            <w:pPr>
              <w:spacing w:line="240" w:lineRule="auto"/>
              <w:jc w:val="left"/>
              <w:rPr>
                <w:sz w:val="14"/>
                <w:szCs w:val="14"/>
              </w:rPr>
            </w:pPr>
            <w:r w:rsidRPr="00BF62A1">
              <w:rPr>
                <w:sz w:val="14"/>
                <w:szCs w:val="14"/>
              </w:rPr>
              <w:t>43</w:t>
            </w:r>
          </w:p>
        </w:tc>
      </w:tr>
      <w:tr w:rsidR="000F0341" w:rsidRPr="00832E0E" w14:paraId="3C2114D3" w14:textId="77777777" w:rsidTr="00E40B0D">
        <w:trPr>
          <w:trHeight w:val="20"/>
        </w:trPr>
        <w:tc>
          <w:tcPr>
            <w:tcW w:w="782" w:type="pct"/>
            <w:vMerge w:val="restart"/>
            <w:tcBorders>
              <w:top w:val="single" w:sz="8" w:space="0" w:color="auto"/>
              <w:left w:val="single" w:sz="4" w:space="0" w:color="auto"/>
              <w:right w:val="single" w:sz="4" w:space="0" w:color="auto"/>
            </w:tcBorders>
          </w:tcPr>
          <w:p w14:paraId="5735784F" w14:textId="77777777" w:rsidR="000F0341" w:rsidRPr="00832E0E" w:rsidRDefault="000F0341" w:rsidP="00E40B0D">
            <w:pPr>
              <w:spacing w:line="240" w:lineRule="auto"/>
              <w:jc w:val="left"/>
              <w:rPr>
                <w:color w:val="000000"/>
                <w:sz w:val="14"/>
                <w:szCs w:val="14"/>
              </w:rPr>
            </w:pPr>
            <w:r w:rsidRPr="00BF62A1">
              <w:rPr>
                <w:sz w:val="14"/>
                <w:szCs w:val="14"/>
              </w:rPr>
              <w:t xml:space="preserve">Miura 2016 </w:t>
            </w:r>
            <w:r w:rsidRPr="00832E0E">
              <w:rPr>
                <w:sz w:val="14"/>
                <w:szCs w:val="14"/>
              </w:rPr>
              <w:fldChar w:fldCharType="begin"/>
            </w:r>
            <w:r>
              <w:rPr>
                <w:sz w:val="14"/>
                <w:szCs w:val="14"/>
              </w:rPr>
              <w:instrText xml:space="preserve"> ADDIN ZOTERO_ITEM CSL_CITATION {"citationID":"llqpnf9x","properties":{"formattedCitation":"[64]","plainCitation":"[64]","noteIndex":0},"citationItems":[{"id":14172,"uris":["http://zotero.org/groups/4983919/items/CIHZX8IB"],"itemData":{"id":14172,"type":"article-journal","abstract":"BACKGROUND: The objective of this study was to validate the board certification system of the Japanese Society of Hepato-Biliary-Pancreatic Surgery (JSHBPS) using the data of hepatectomy cases from the National Clinical Database (NCD) of Japan. METHODS: Minimal required annual numbers of high-level hepato-biliary-pancreatic (HBP) surgeries were 50 for a board-certified A training institution and 30 for a board-certified B training institution. Records of 14,970 patients who had undergone hepatectomy of more than one segment (MOS), excluding lateral segmentectomy, during 2011 and 2012 were analyzed according to the category of board-certified institution and with or without participation of board-certified instructors or expert surgeons. RESULTS: Thirty-day mortality and operative mortality of 14,970 patients after MOS hepatectomy were 1.9% and 3.8%, respectively. Operative mortality rates after MOS hepatectomies performed at certified A institutions, certified B institutions, and non-certified institutions were 3.1%, 3.8%, and 4.5%, respectively (P &lt; 0.001). The operative mortality rates after MOS hepatectomies performed with participation of certified instructors or expert surgeons were better than those without (3.5% vs. 4.3%, P = 0.012). A multiple logistic regression model showed that the cutoffs of high-level HBP surgeries performed per year at hospitals that predicted operative mortality after MOS hepatectomies were 10 and 50. CONCLUSIONS: Competences and requirements for board-certified institutions, instructors, and expert surgeons to perform hepatectomy were found to be appropriate.","container-title":"J Hepatobiliary Pancreat Sci","DOI":"10.1002/jhbp.344","ISSN":"1868-6974","issue":"6","language":"eng","note":"publisher-place: Committee of the Board Certification System for Expert Surgeons, Japanese Society of Hepato-Biliary-Pancreatic Surgery, Tokyo, Japan. Database Committee, The Japanese Society of Gastroenterological Surgery, Tokyo, Japan. The Japanese Society of Gastroenterological Surgery, Tokyo, Japan. Department of Health Policy and Management, School of Medicine, Keio University, Tokyo, Japan. Japanese Society of Hepato -Biliary-Pancreatic Surgery, Tokyo, Japan.","page":"313-23","title":"Validation of the board certification system for expert surgeons (hepato-biliary-pancreatic field) using the data of the National Clinical Database of Japan: part 1 - Hepatectomy of more than one segment","volume":"23","author":[{"family":"Miura","given":"F."},{"family":"Yamamoto","given":"M."},{"family":"Gotoh","given":"M."},{"family":"Konno","given":"H."},{"family":"Fujimoto","given":"J."},{"family":"Yanaga","given":"K."},{"family":"Kokudo","given":"N."},{"family":"Yamaue","given":"H."},{"family":"Wakabayashi","given":"G."},{"family":"Seto","given":"Y."},{"family":"Unno","given":"M."},{"family":"Miyata","given":"H."},{"family":"Hirahara","given":"N."},{"family":"Miyazaki","given":"M."}],"issued":{"date-parts":[["2016",6]]}}}],"schema":"https://github.com/citation-style-language/schema/raw/master/csl-citation.json"} </w:instrText>
            </w:r>
            <w:r w:rsidRPr="00832E0E">
              <w:rPr>
                <w:sz w:val="14"/>
                <w:szCs w:val="14"/>
              </w:rPr>
              <w:fldChar w:fldCharType="separate"/>
            </w:r>
            <w:r w:rsidRPr="004125CE">
              <w:rPr>
                <w:sz w:val="14"/>
              </w:rPr>
              <w:t>[64]</w:t>
            </w:r>
            <w:r w:rsidRPr="00832E0E">
              <w:rPr>
                <w:sz w:val="14"/>
                <w:szCs w:val="14"/>
              </w:rPr>
              <w:fldChar w:fldCharType="end"/>
            </w:r>
          </w:p>
        </w:tc>
        <w:tc>
          <w:tcPr>
            <w:tcW w:w="468" w:type="pct"/>
            <w:vMerge w:val="restart"/>
            <w:tcBorders>
              <w:top w:val="single" w:sz="8" w:space="0" w:color="auto"/>
              <w:left w:val="single" w:sz="4" w:space="0" w:color="auto"/>
              <w:right w:val="single" w:sz="4" w:space="0" w:color="auto"/>
            </w:tcBorders>
          </w:tcPr>
          <w:p w14:paraId="39554578" w14:textId="77777777" w:rsidR="000F0341" w:rsidRPr="00832E0E" w:rsidRDefault="000F0341" w:rsidP="00E40B0D">
            <w:pPr>
              <w:spacing w:line="240" w:lineRule="auto"/>
              <w:jc w:val="left"/>
              <w:rPr>
                <w:sz w:val="14"/>
                <w:szCs w:val="14"/>
              </w:rPr>
            </w:pPr>
            <w:r w:rsidRPr="00BF62A1">
              <w:rPr>
                <w:sz w:val="14"/>
                <w:szCs w:val="14"/>
              </w:rPr>
              <w:t>14970</w:t>
            </w:r>
          </w:p>
        </w:tc>
        <w:tc>
          <w:tcPr>
            <w:tcW w:w="626" w:type="pct"/>
            <w:vMerge w:val="restart"/>
            <w:tcBorders>
              <w:top w:val="single" w:sz="8" w:space="0" w:color="auto"/>
              <w:left w:val="single" w:sz="4" w:space="0" w:color="auto"/>
              <w:right w:val="single" w:sz="4" w:space="0" w:color="auto"/>
            </w:tcBorders>
          </w:tcPr>
          <w:p w14:paraId="1756CD1C" w14:textId="77777777" w:rsidR="000F0341" w:rsidRPr="00832E0E" w:rsidRDefault="000F0341" w:rsidP="00E40B0D">
            <w:pPr>
              <w:spacing w:line="240" w:lineRule="auto"/>
              <w:jc w:val="left"/>
              <w:rPr>
                <w:sz w:val="14"/>
                <w:szCs w:val="14"/>
              </w:rPr>
            </w:pPr>
            <w:r w:rsidRPr="00BF62A1">
              <w:rPr>
                <w:sz w:val="14"/>
                <w:szCs w:val="14"/>
              </w:rPr>
              <w:t>-</w:t>
            </w:r>
          </w:p>
        </w:tc>
        <w:tc>
          <w:tcPr>
            <w:tcW w:w="624" w:type="pct"/>
            <w:vMerge w:val="restart"/>
            <w:tcBorders>
              <w:top w:val="single" w:sz="8" w:space="0" w:color="auto"/>
              <w:left w:val="single" w:sz="4" w:space="0" w:color="auto"/>
              <w:right w:val="single" w:sz="4" w:space="0" w:color="auto"/>
            </w:tcBorders>
          </w:tcPr>
          <w:p w14:paraId="78076DB5" w14:textId="77777777" w:rsidR="000F0341" w:rsidRPr="00832E0E" w:rsidRDefault="000F0341" w:rsidP="00E40B0D">
            <w:pPr>
              <w:spacing w:line="240" w:lineRule="auto"/>
              <w:jc w:val="left"/>
              <w:rPr>
                <w:sz w:val="14"/>
                <w:szCs w:val="14"/>
              </w:rPr>
            </w:pPr>
            <w:r w:rsidRPr="00BF62A1">
              <w:rPr>
                <w:sz w:val="14"/>
                <w:szCs w:val="14"/>
              </w:rPr>
              <w:t>Categories and</w:t>
            </w:r>
          </w:p>
          <w:p w14:paraId="50089DFB" w14:textId="77777777" w:rsidR="000F0341" w:rsidRPr="00832E0E" w:rsidRDefault="000F0341" w:rsidP="00E40B0D">
            <w:pPr>
              <w:spacing w:line="240" w:lineRule="auto"/>
              <w:jc w:val="left"/>
              <w:rPr>
                <w:sz w:val="14"/>
                <w:szCs w:val="14"/>
              </w:rPr>
            </w:pPr>
            <w:r w:rsidRPr="00BF62A1">
              <w:rPr>
                <w:sz w:val="14"/>
                <w:szCs w:val="14"/>
              </w:rPr>
              <w:t>continuous</w:t>
            </w:r>
          </w:p>
        </w:tc>
        <w:tc>
          <w:tcPr>
            <w:tcW w:w="782" w:type="pct"/>
            <w:tcBorders>
              <w:top w:val="single" w:sz="8" w:space="0" w:color="auto"/>
              <w:left w:val="single" w:sz="4" w:space="0" w:color="auto"/>
              <w:bottom w:val="single" w:sz="4" w:space="0" w:color="auto"/>
              <w:right w:val="single" w:sz="4" w:space="0" w:color="auto"/>
            </w:tcBorders>
          </w:tcPr>
          <w:p w14:paraId="75A18F4E" w14:textId="77777777" w:rsidR="000F0341" w:rsidRPr="00832E0E" w:rsidRDefault="000F0341" w:rsidP="00E40B0D">
            <w:pPr>
              <w:spacing w:line="240" w:lineRule="auto"/>
              <w:jc w:val="left"/>
              <w:rPr>
                <w:sz w:val="14"/>
                <w:szCs w:val="14"/>
              </w:rPr>
            </w:pPr>
            <w:r w:rsidRPr="00BF62A1">
              <w:rPr>
                <w:sz w:val="14"/>
                <w:szCs w:val="14"/>
              </w:rPr>
              <w:t>&lt;10</w:t>
            </w:r>
          </w:p>
        </w:tc>
        <w:tc>
          <w:tcPr>
            <w:tcW w:w="739" w:type="pct"/>
            <w:tcBorders>
              <w:top w:val="single" w:sz="8" w:space="0" w:color="auto"/>
              <w:left w:val="single" w:sz="4" w:space="0" w:color="auto"/>
              <w:right w:val="single" w:sz="4" w:space="0" w:color="auto"/>
            </w:tcBorders>
          </w:tcPr>
          <w:p w14:paraId="52039D78" w14:textId="77777777" w:rsidR="000F0341" w:rsidRPr="00832E0E" w:rsidRDefault="000F0341" w:rsidP="00E40B0D">
            <w:pPr>
              <w:spacing w:line="240" w:lineRule="auto"/>
              <w:jc w:val="left"/>
              <w:rPr>
                <w:sz w:val="14"/>
                <w:szCs w:val="14"/>
              </w:rPr>
            </w:pPr>
            <w:r w:rsidRPr="00BF62A1">
              <w:rPr>
                <w:sz w:val="14"/>
                <w:szCs w:val="14"/>
              </w:rPr>
              <w:t>1512</w:t>
            </w:r>
          </w:p>
        </w:tc>
        <w:tc>
          <w:tcPr>
            <w:tcW w:w="980" w:type="pct"/>
            <w:vMerge w:val="restart"/>
            <w:tcBorders>
              <w:top w:val="single" w:sz="8" w:space="0" w:color="auto"/>
              <w:left w:val="single" w:sz="4" w:space="0" w:color="auto"/>
              <w:right w:val="single" w:sz="4" w:space="0" w:color="auto"/>
            </w:tcBorders>
          </w:tcPr>
          <w:p w14:paraId="6FBCE16D" w14:textId="77777777" w:rsidR="000F0341" w:rsidRPr="00832E0E" w:rsidRDefault="000F0341" w:rsidP="00E40B0D">
            <w:pPr>
              <w:spacing w:line="240" w:lineRule="auto"/>
              <w:jc w:val="left"/>
              <w:rPr>
                <w:sz w:val="14"/>
                <w:szCs w:val="14"/>
              </w:rPr>
            </w:pPr>
            <w:r w:rsidRPr="00BF62A1">
              <w:rPr>
                <w:sz w:val="14"/>
                <w:szCs w:val="14"/>
              </w:rPr>
              <w:t>-</w:t>
            </w:r>
          </w:p>
        </w:tc>
      </w:tr>
      <w:tr w:rsidR="000F0341" w:rsidRPr="00832E0E" w14:paraId="2AE525BD" w14:textId="77777777" w:rsidTr="00E40B0D">
        <w:trPr>
          <w:trHeight w:val="20"/>
        </w:trPr>
        <w:tc>
          <w:tcPr>
            <w:tcW w:w="782" w:type="pct"/>
            <w:vMerge/>
            <w:tcBorders>
              <w:left w:val="single" w:sz="4" w:space="0" w:color="auto"/>
              <w:right w:val="single" w:sz="4" w:space="0" w:color="auto"/>
            </w:tcBorders>
          </w:tcPr>
          <w:p w14:paraId="5C28B0CD" w14:textId="77777777" w:rsidR="000F0341" w:rsidRPr="00832E0E"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2013939F" w14:textId="77777777" w:rsidR="000F0341" w:rsidRPr="00832E0E"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2A130ADD" w14:textId="77777777" w:rsidR="000F0341" w:rsidRPr="00832E0E" w:rsidRDefault="000F0341" w:rsidP="00E40B0D">
            <w:pPr>
              <w:spacing w:line="240" w:lineRule="auto"/>
              <w:jc w:val="left"/>
              <w:rPr>
                <w:sz w:val="14"/>
                <w:szCs w:val="14"/>
              </w:rPr>
            </w:pPr>
          </w:p>
        </w:tc>
        <w:tc>
          <w:tcPr>
            <w:tcW w:w="624" w:type="pct"/>
            <w:vMerge/>
            <w:tcBorders>
              <w:left w:val="single" w:sz="4" w:space="0" w:color="auto"/>
              <w:right w:val="single" w:sz="4" w:space="0" w:color="auto"/>
            </w:tcBorders>
          </w:tcPr>
          <w:p w14:paraId="37947A6E" w14:textId="77777777" w:rsidR="000F0341" w:rsidRPr="00832E0E" w:rsidRDefault="000F0341" w:rsidP="00E40B0D">
            <w:pPr>
              <w:spacing w:line="240" w:lineRule="auto"/>
              <w:jc w:val="left"/>
              <w:rPr>
                <w:sz w:val="14"/>
                <w:szCs w:val="14"/>
              </w:rPr>
            </w:pPr>
          </w:p>
        </w:tc>
        <w:tc>
          <w:tcPr>
            <w:tcW w:w="782" w:type="pct"/>
            <w:tcBorders>
              <w:top w:val="single" w:sz="4" w:space="0" w:color="auto"/>
              <w:left w:val="single" w:sz="4" w:space="0" w:color="auto"/>
              <w:bottom w:val="single" w:sz="4" w:space="0" w:color="auto"/>
              <w:right w:val="single" w:sz="4" w:space="0" w:color="auto"/>
            </w:tcBorders>
          </w:tcPr>
          <w:p w14:paraId="5629A600" w14:textId="77777777" w:rsidR="000F0341" w:rsidRPr="00832E0E" w:rsidRDefault="000F0341" w:rsidP="00E40B0D">
            <w:pPr>
              <w:spacing w:line="240" w:lineRule="auto"/>
              <w:jc w:val="left"/>
              <w:rPr>
                <w:sz w:val="14"/>
                <w:szCs w:val="14"/>
              </w:rPr>
            </w:pPr>
            <w:r w:rsidRPr="00BF62A1">
              <w:rPr>
                <w:sz w:val="14"/>
                <w:szCs w:val="14"/>
              </w:rPr>
              <w:t>≥10</w:t>
            </w:r>
          </w:p>
        </w:tc>
        <w:tc>
          <w:tcPr>
            <w:tcW w:w="739" w:type="pct"/>
            <w:tcBorders>
              <w:left w:val="single" w:sz="4" w:space="0" w:color="auto"/>
              <w:right w:val="single" w:sz="4" w:space="0" w:color="auto"/>
            </w:tcBorders>
          </w:tcPr>
          <w:p w14:paraId="16D23840" w14:textId="77777777" w:rsidR="000F0341" w:rsidRPr="00832E0E" w:rsidRDefault="000F0341" w:rsidP="00E40B0D">
            <w:pPr>
              <w:spacing w:line="240" w:lineRule="auto"/>
              <w:jc w:val="left"/>
              <w:rPr>
                <w:sz w:val="14"/>
                <w:szCs w:val="14"/>
              </w:rPr>
            </w:pPr>
            <w:r w:rsidRPr="00BF62A1">
              <w:rPr>
                <w:sz w:val="14"/>
                <w:szCs w:val="14"/>
              </w:rPr>
              <w:t>13458</w:t>
            </w:r>
          </w:p>
        </w:tc>
        <w:tc>
          <w:tcPr>
            <w:tcW w:w="980" w:type="pct"/>
            <w:vMerge/>
            <w:tcBorders>
              <w:left w:val="single" w:sz="4" w:space="0" w:color="auto"/>
              <w:right w:val="single" w:sz="4" w:space="0" w:color="auto"/>
            </w:tcBorders>
          </w:tcPr>
          <w:p w14:paraId="19C4B875" w14:textId="77777777" w:rsidR="000F0341" w:rsidRPr="00832E0E" w:rsidRDefault="000F0341" w:rsidP="00E40B0D">
            <w:pPr>
              <w:spacing w:line="240" w:lineRule="auto"/>
              <w:jc w:val="left"/>
              <w:rPr>
                <w:sz w:val="14"/>
                <w:szCs w:val="14"/>
              </w:rPr>
            </w:pPr>
          </w:p>
        </w:tc>
      </w:tr>
      <w:tr w:rsidR="000F0341" w:rsidRPr="00832E0E" w14:paraId="04824543" w14:textId="77777777" w:rsidTr="00E40B0D">
        <w:trPr>
          <w:trHeight w:val="20"/>
        </w:trPr>
        <w:tc>
          <w:tcPr>
            <w:tcW w:w="782" w:type="pct"/>
            <w:vMerge/>
            <w:tcBorders>
              <w:left w:val="single" w:sz="4" w:space="0" w:color="auto"/>
              <w:right w:val="single" w:sz="4" w:space="0" w:color="auto"/>
            </w:tcBorders>
          </w:tcPr>
          <w:p w14:paraId="33E59735" w14:textId="77777777" w:rsidR="000F0341" w:rsidRPr="00832E0E"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09E6940A" w14:textId="77777777" w:rsidR="000F0341" w:rsidRPr="00832E0E"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6DC9F78E" w14:textId="77777777" w:rsidR="000F0341" w:rsidRPr="00832E0E" w:rsidRDefault="000F0341" w:rsidP="00E40B0D">
            <w:pPr>
              <w:spacing w:line="240" w:lineRule="auto"/>
              <w:jc w:val="left"/>
              <w:rPr>
                <w:sz w:val="14"/>
                <w:szCs w:val="14"/>
              </w:rPr>
            </w:pPr>
          </w:p>
        </w:tc>
        <w:tc>
          <w:tcPr>
            <w:tcW w:w="624" w:type="pct"/>
            <w:vMerge/>
            <w:tcBorders>
              <w:left w:val="single" w:sz="4" w:space="0" w:color="auto"/>
              <w:right w:val="single" w:sz="4" w:space="0" w:color="auto"/>
            </w:tcBorders>
          </w:tcPr>
          <w:p w14:paraId="782AFE11" w14:textId="77777777" w:rsidR="000F0341" w:rsidRPr="00832E0E" w:rsidRDefault="000F0341" w:rsidP="00E40B0D">
            <w:pPr>
              <w:spacing w:line="240" w:lineRule="auto"/>
              <w:jc w:val="left"/>
              <w:rPr>
                <w:sz w:val="14"/>
                <w:szCs w:val="14"/>
              </w:rPr>
            </w:pPr>
          </w:p>
        </w:tc>
        <w:tc>
          <w:tcPr>
            <w:tcW w:w="782" w:type="pct"/>
            <w:tcBorders>
              <w:top w:val="single" w:sz="4" w:space="0" w:color="auto"/>
              <w:left w:val="single" w:sz="4" w:space="0" w:color="auto"/>
              <w:bottom w:val="single" w:sz="4" w:space="0" w:color="auto"/>
              <w:right w:val="single" w:sz="4" w:space="0" w:color="auto"/>
            </w:tcBorders>
          </w:tcPr>
          <w:p w14:paraId="2461B934" w14:textId="77777777" w:rsidR="000F0341" w:rsidRPr="00832E0E" w:rsidRDefault="000F0341" w:rsidP="00E40B0D">
            <w:pPr>
              <w:spacing w:line="240" w:lineRule="auto"/>
              <w:jc w:val="left"/>
              <w:rPr>
                <w:sz w:val="14"/>
                <w:szCs w:val="14"/>
              </w:rPr>
            </w:pPr>
            <w:r w:rsidRPr="00BF62A1">
              <w:rPr>
                <w:sz w:val="14"/>
                <w:szCs w:val="14"/>
              </w:rPr>
              <w:t>≥50</w:t>
            </w:r>
          </w:p>
        </w:tc>
        <w:tc>
          <w:tcPr>
            <w:tcW w:w="739" w:type="pct"/>
            <w:tcBorders>
              <w:left w:val="single" w:sz="4" w:space="0" w:color="auto"/>
              <w:right w:val="single" w:sz="4" w:space="0" w:color="auto"/>
            </w:tcBorders>
          </w:tcPr>
          <w:p w14:paraId="540AD070" w14:textId="77777777" w:rsidR="000F0341" w:rsidRPr="00832E0E" w:rsidRDefault="000F0341" w:rsidP="00E40B0D">
            <w:pPr>
              <w:spacing w:line="240" w:lineRule="auto"/>
              <w:jc w:val="left"/>
              <w:rPr>
                <w:sz w:val="14"/>
                <w:szCs w:val="14"/>
              </w:rPr>
            </w:pPr>
            <w:r w:rsidRPr="00BF62A1">
              <w:rPr>
                <w:sz w:val="14"/>
                <w:szCs w:val="14"/>
              </w:rPr>
              <w:t>7040</w:t>
            </w:r>
          </w:p>
        </w:tc>
        <w:tc>
          <w:tcPr>
            <w:tcW w:w="980" w:type="pct"/>
            <w:vMerge/>
            <w:tcBorders>
              <w:left w:val="single" w:sz="4" w:space="0" w:color="auto"/>
              <w:right w:val="single" w:sz="4" w:space="0" w:color="auto"/>
            </w:tcBorders>
          </w:tcPr>
          <w:p w14:paraId="3DEB3CA4" w14:textId="77777777" w:rsidR="000F0341" w:rsidRPr="00832E0E" w:rsidRDefault="000F0341" w:rsidP="00E40B0D">
            <w:pPr>
              <w:spacing w:line="240" w:lineRule="auto"/>
              <w:jc w:val="left"/>
              <w:rPr>
                <w:sz w:val="14"/>
                <w:szCs w:val="14"/>
              </w:rPr>
            </w:pPr>
          </w:p>
        </w:tc>
      </w:tr>
      <w:tr w:rsidR="000F0341" w:rsidRPr="00832E0E" w14:paraId="13AC395E" w14:textId="77777777" w:rsidTr="00E40B0D">
        <w:trPr>
          <w:trHeight w:val="20"/>
        </w:trPr>
        <w:tc>
          <w:tcPr>
            <w:tcW w:w="782" w:type="pct"/>
            <w:vMerge/>
            <w:tcBorders>
              <w:left w:val="single" w:sz="4" w:space="0" w:color="auto"/>
              <w:bottom w:val="single" w:sz="8" w:space="0" w:color="auto"/>
              <w:right w:val="single" w:sz="4" w:space="0" w:color="auto"/>
            </w:tcBorders>
          </w:tcPr>
          <w:p w14:paraId="14A7BB1D" w14:textId="77777777" w:rsidR="000F0341" w:rsidRPr="00832E0E" w:rsidRDefault="000F0341" w:rsidP="00E40B0D">
            <w:pPr>
              <w:spacing w:line="240" w:lineRule="auto"/>
              <w:jc w:val="left"/>
              <w:rPr>
                <w:sz w:val="14"/>
                <w:szCs w:val="14"/>
              </w:rPr>
            </w:pPr>
          </w:p>
        </w:tc>
        <w:tc>
          <w:tcPr>
            <w:tcW w:w="468" w:type="pct"/>
            <w:vMerge/>
            <w:tcBorders>
              <w:left w:val="single" w:sz="4" w:space="0" w:color="auto"/>
              <w:bottom w:val="single" w:sz="8" w:space="0" w:color="auto"/>
              <w:right w:val="single" w:sz="4" w:space="0" w:color="auto"/>
            </w:tcBorders>
          </w:tcPr>
          <w:p w14:paraId="01C1FB9D" w14:textId="77777777" w:rsidR="000F0341" w:rsidRPr="00832E0E" w:rsidRDefault="000F0341" w:rsidP="00E40B0D">
            <w:pPr>
              <w:spacing w:line="240" w:lineRule="auto"/>
              <w:jc w:val="left"/>
              <w:rPr>
                <w:sz w:val="14"/>
                <w:szCs w:val="14"/>
              </w:rPr>
            </w:pPr>
          </w:p>
        </w:tc>
        <w:tc>
          <w:tcPr>
            <w:tcW w:w="626" w:type="pct"/>
            <w:vMerge/>
            <w:tcBorders>
              <w:left w:val="single" w:sz="4" w:space="0" w:color="auto"/>
              <w:bottom w:val="single" w:sz="8" w:space="0" w:color="auto"/>
              <w:right w:val="single" w:sz="4" w:space="0" w:color="auto"/>
            </w:tcBorders>
          </w:tcPr>
          <w:p w14:paraId="09DE72BB" w14:textId="77777777" w:rsidR="000F0341" w:rsidRPr="00832E0E" w:rsidRDefault="000F0341" w:rsidP="00E40B0D">
            <w:pPr>
              <w:spacing w:line="240" w:lineRule="auto"/>
              <w:jc w:val="left"/>
              <w:rPr>
                <w:sz w:val="14"/>
                <w:szCs w:val="14"/>
              </w:rPr>
            </w:pPr>
          </w:p>
        </w:tc>
        <w:tc>
          <w:tcPr>
            <w:tcW w:w="624" w:type="pct"/>
            <w:vMerge/>
            <w:tcBorders>
              <w:left w:val="single" w:sz="4" w:space="0" w:color="auto"/>
              <w:bottom w:val="single" w:sz="8" w:space="0" w:color="auto"/>
              <w:right w:val="single" w:sz="4" w:space="0" w:color="auto"/>
            </w:tcBorders>
          </w:tcPr>
          <w:p w14:paraId="35E4285C" w14:textId="77777777" w:rsidR="000F0341" w:rsidRPr="00832E0E" w:rsidRDefault="000F0341" w:rsidP="00E40B0D">
            <w:pPr>
              <w:spacing w:line="240" w:lineRule="auto"/>
              <w:jc w:val="left"/>
              <w:rPr>
                <w:sz w:val="14"/>
                <w:szCs w:val="14"/>
              </w:rPr>
            </w:pPr>
          </w:p>
        </w:tc>
        <w:tc>
          <w:tcPr>
            <w:tcW w:w="782" w:type="pct"/>
            <w:tcBorders>
              <w:top w:val="single" w:sz="4" w:space="0" w:color="auto"/>
              <w:left w:val="single" w:sz="4" w:space="0" w:color="auto"/>
              <w:bottom w:val="single" w:sz="8" w:space="0" w:color="auto"/>
              <w:right w:val="single" w:sz="4" w:space="0" w:color="auto"/>
            </w:tcBorders>
          </w:tcPr>
          <w:p w14:paraId="0CED1347" w14:textId="77777777" w:rsidR="000F0341" w:rsidRPr="00832E0E" w:rsidRDefault="000F0341" w:rsidP="00E40B0D">
            <w:pPr>
              <w:spacing w:line="240" w:lineRule="auto"/>
              <w:jc w:val="left"/>
              <w:rPr>
                <w:sz w:val="14"/>
                <w:szCs w:val="14"/>
              </w:rPr>
            </w:pPr>
            <w:r w:rsidRPr="00BF62A1">
              <w:rPr>
                <w:sz w:val="14"/>
                <w:szCs w:val="14"/>
              </w:rPr>
              <w:t>≥100</w:t>
            </w:r>
          </w:p>
        </w:tc>
        <w:tc>
          <w:tcPr>
            <w:tcW w:w="739" w:type="pct"/>
            <w:tcBorders>
              <w:left w:val="single" w:sz="4" w:space="0" w:color="auto"/>
              <w:bottom w:val="single" w:sz="8" w:space="0" w:color="auto"/>
              <w:right w:val="single" w:sz="4" w:space="0" w:color="auto"/>
            </w:tcBorders>
          </w:tcPr>
          <w:p w14:paraId="7E094861" w14:textId="77777777" w:rsidR="000F0341" w:rsidRPr="00832E0E" w:rsidRDefault="000F0341" w:rsidP="00E40B0D">
            <w:pPr>
              <w:spacing w:line="240" w:lineRule="auto"/>
              <w:jc w:val="left"/>
              <w:rPr>
                <w:sz w:val="14"/>
                <w:szCs w:val="14"/>
              </w:rPr>
            </w:pPr>
            <w:r w:rsidRPr="00BF62A1">
              <w:rPr>
                <w:sz w:val="14"/>
                <w:szCs w:val="14"/>
              </w:rPr>
              <w:t>3152</w:t>
            </w:r>
          </w:p>
        </w:tc>
        <w:tc>
          <w:tcPr>
            <w:tcW w:w="980" w:type="pct"/>
            <w:vMerge/>
            <w:tcBorders>
              <w:left w:val="single" w:sz="4" w:space="0" w:color="auto"/>
              <w:bottom w:val="single" w:sz="8" w:space="0" w:color="auto"/>
              <w:right w:val="single" w:sz="4" w:space="0" w:color="auto"/>
            </w:tcBorders>
          </w:tcPr>
          <w:p w14:paraId="452ABD47" w14:textId="77777777" w:rsidR="000F0341" w:rsidRPr="00832E0E" w:rsidRDefault="000F0341" w:rsidP="00E40B0D">
            <w:pPr>
              <w:spacing w:line="240" w:lineRule="auto"/>
              <w:jc w:val="left"/>
              <w:rPr>
                <w:sz w:val="14"/>
                <w:szCs w:val="14"/>
              </w:rPr>
            </w:pPr>
          </w:p>
        </w:tc>
      </w:tr>
      <w:tr w:rsidR="000F0341" w:rsidRPr="00832E0E" w14:paraId="64F229C3" w14:textId="77777777" w:rsidTr="00E40B0D">
        <w:trPr>
          <w:trHeight w:val="20"/>
        </w:trPr>
        <w:tc>
          <w:tcPr>
            <w:tcW w:w="782" w:type="pct"/>
            <w:vMerge w:val="restart"/>
            <w:tcBorders>
              <w:top w:val="single" w:sz="8" w:space="0" w:color="auto"/>
              <w:left w:val="single" w:sz="4" w:space="0" w:color="auto"/>
              <w:right w:val="single" w:sz="4" w:space="0" w:color="auto"/>
            </w:tcBorders>
          </w:tcPr>
          <w:p w14:paraId="51218631" w14:textId="0284C06E" w:rsidR="000F0341" w:rsidRPr="00832E0E" w:rsidRDefault="000F0341" w:rsidP="00E40B0D">
            <w:pPr>
              <w:spacing w:line="240" w:lineRule="auto"/>
              <w:jc w:val="left"/>
              <w:rPr>
                <w:color w:val="000000"/>
                <w:sz w:val="14"/>
                <w:szCs w:val="14"/>
              </w:rPr>
            </w:pPr>
            <w:r w:rsidRPr="00BF62A1">
              <w:rPr>
                <w:sz w:val="14"/>
                <w:szCs w:val="14"/>
              </w:rPr>
              <w:t xml:space="preserve">Munir 2023 </w:t>
            </w:r>
            <w:r w:rsidRPr="00832E0E">
              <w:rPr>
                <w:sz w:val="14"/>
                <w:szCs w:val="14"/>
              </w:rPr>
              <w:fldChar w:fldCharType="begin"/>
            </w:r>
            <w:r>
              <w:rPr>
                <w:sz w:val="14"/>
                <w:szCs w:val="14"/>
              </w:rPr>
              <w:instrText xml:space="preserve"> ADDIN ZOTERO_ITEM CSL_CITATION {"citationID":"B93JLtSF","properties":{"formattedCitation":"[81]","plainCitation":"[81]","noteIndex":0},"citationItems":[{"id":14222,"uris":["http://zotero.org/groups/4983919/items/V2JAEKZB"],"itemData":{"id":14222,"type":"article-journal","abstract":"BACKGROUND AND OBJECTIVES: Textbook oncologic outcome (TOO) and its association with regionalization of care for intrahepatic cholangiocarcinoma (ICC) have not been evaluated. METHODS: We identified patients who underwent hepatic resection for ICC between 2004 and 2018 from the National Cancer Database. Facilities were categorized by annual hepatectomy volume for ICC. TOO was defined as no 90-day mortality, margin-negative resection, no prolonged hospitalization, no 30-day readmission, receipt of appropriate adjuvant therapy, and adequate lymphadenectomy. Multivariable regression was used to evaluate the association between annual hepatectomy volume and TOO. RESULTS: A total of 5359 patients underwent liver resection for ICC. TOO was achieved in 11.2% (n = 599) of patients. Inadequate lymphadenectomy was the largest impediment to achieving TOO. After adjusting for patient, pathologic, and facility characteristics, high volume facilities had 67% increased odds of achieving TOO (Ref.: low volume; high volume: odds ratio 1.67, 95% confidence interval: 1.24-2.25; p &lt; 0.001). Patients treated at high-volume centers who achieved a TOO had better overall survival (OS) versus patients treated at low-volume facilities (low volume vs. high volume; median OS, 47.3 vs. 71.1 months, p &lt; 0.05). CONCLUSIONS: A composite oncologic measure, TOO, provides a comprehensive insight into the performance of liver resection and regionalization of surgical care for ICC.","container-title":"J Surg Oncol","DOI":"10.1002/jso.27102","ISSN":"0022-4790","issue":"1","language":"eng","note":"publisher-place: Department of Surgery, Wexner Medical Center and James Comprehensive Cancer Center, The Ohio State University, Columbus, Ohio, USA.","page":"81-89","title":"Textbook oncologic outcomes and regionalization among patients undergoing hepatic resection for intrahepatic cholangiocarcinoma","volume":"127","author":[{"family":"Munir","given":"M. M."},{"family":"Alaimo","given":"L."},{"family":"Moazzam","given":"Z."},{"family":"Endo","given":"Y."},{"family":"Lima","given":"H. A."},{"family":"Shaikh","given":"C."},{"family":"Ejaz","given":"A."},{"family":"Beane","given":"J."},{"family":"Dillhoff","given":"M."},{"family":"Cloyd","given":"J."},{"family":"Pawlik","given":"T. M."}],"issued":{"date-parts":[["2023",1]]}}}],"schema":"https://github.com/citation-style-language/schema/raw/master/csl-citation.json"} </w:instrText>
            </w:r>
            <w:r w:rsidRPr="00832E0E">
              <w:rPr>
                <w:sz w:val="14"/>
                <w:szCs w:val="14"/>
              </w:rPr>
              <w:fldChar w:fldCharType="separate"/>
            </w:r>
            <w:r w:rsidRPr="004125CE">
              <w:rPr>
                <w:sz w:val="14"/>
              </w:rPr>
              <w:t>[</w:t>
            </w:r>
            <w:r w:rsidR="00D03F0D">
              <w:rPr>
                <w:sz w:val="14"/>
              </w:rPr>
              <w:t>90</w:t>
            </w:r>
            <w:r w:rsidRPr="004125CE">
              <w:rPr>
                <w:sz w:val="14"/>
              </w:rPr>
              <w:t>]</w:t>
            </w:r>
            <w:r w:rsidRPr="00832E0E">
              <w:rPr>
                <w:sz w:val="14"/>
                <w:szCs w:val="14"/>
              </w:rPr>
              <w:fldChar w:fldCharType="end"/>
            </w:r>
          </w:p>
        </w:tc>
        <w:tc>
          <w:tcPr>
            <w:tcW w:w="468" w:type="pct"/>
            <w:vMerge w:val="restart"/>
            <w:tcBorders>
              <w:top w:val="single" w:sz="8" w:space="0" w:color="auto"/>
              <w:left w:val="single" w:sz="4" w:space="0" w:color="auto"/>
              <w:right w:val="single" w:sz="4" w:space="0" w:color="auto"/>
            </w:tcBorders>
          </w:tcPr>
          <w:p w14:paraId="0E25E4BD" w14:textId="77777777" w:rsidR="000F0341" w:rsidRPr="00832E0E" w:rsidRDefault="000F0341" w:rsidP="00E40B0D">
            <w:pPr>
              <w:spacing w:line="240" w:lineRule="auto"/>
              <w:jc w:val="left"/>
              <w:rPr>
                <w:sz w:val="14"/>
                <w:szCs w:val="14"/>
              </w:rPr>
            </w:pPr>
            <w:r w:rsidRPr="00BF62A1">
              <w:rPr>
                <w:sz w:val="14"/>
                <w:szCs w:val="14"/>
              </w:rPr>
              <w:t>5359</w:t>
            </w:r>
          </w:p>
        </w:tc>
        <w:tc>
          <w:tcPr>
            <w:tcW w:w="626" w:type="pct"/>
            <w:vMerge w:val="restart"/>
            <w:tcBorders>
              <w:top w:val="single" w:sz="8" w:space="0" w:color="auto"/>
              <w:left w:val="single" w:sz="4" w:space="0" w:color="auto"/>
              <w:right w:val="single" w:sz="4" w:space="0" w:color="auto"/>
            </w:tcBorders>
          </w:tcPr>
          <w:p w14:paraId="5EC4DF74" w14:textId="77777777" w:rsidR="000F0341" w:rsidRPr="00832E0E" w:rsidRDefault="000F0341" w:rsidP="00E40B0D">
            <w:pPr>
              <w:spacing w:line="240" w:lineRule="auto"/>
              <w:jc w:val="left"/>
              <w:rPr>
                <w:sz w:val="14"/>
                <w:szCs w:val="14"/>
              </w:rPr>
            </w:pPr>
            <w:r w:rsidRPr="00BF62A1">
              <w:rPr>
                <w:sz w:val="14"/>
                <w:szCs w:val="14"/>
              </w:rPr>
              <w:t>-</w:t>
            </w:r>
          </w:p>
        </w:tc>
        <w:tc>
          <w:tcPr>
            <w:tcW w:w="624" w:type="pct"/>
            <w:tcBorders>
              <w:top w:val="single" w:sz="8" w:space="0" w:color="auto"/>
              <w:left w:val="single" w:sz="4" w:space="0" w:color="auto"/>
              <w:bottom w:val="single" w:sz="4" w:space="0" w:color="auto"/>
              <w:right w:val="single" w:sz="4" w:space="0" w:color="auto"/>
            </w:tcBorders>
          </w:tcPr>
          <w:p w14:paraId="41BD5934" w14:textId="77777777" w:rsidR="000F0341" w:rsidRPr="00832E0E" w:rsidRDefault="000F0341" w:rsidP="00E40B0D">
            <w:pPr>
              <w:spacing w:line="240" w:lineRule="auto"/>
              <w:jc w:val="left"/>
              <w:rPr>
                <w:sz w:val="14"/>
                <w:szCs w:val="14"/>
              </w:rPr>
            </w:pPr>
            <w:r w:rsidRPr="00BF62A1">
              <w:rPr>
                <w:sz w:val="14"/>
                <w:szCs w:val="14"/>
              </w:rPr>
              <w:t>Low</w:t>
            </w:r>
          </w:p>
        </w:tc>
        <w:tc>
          <w:tcPr>
            <w:tcW w:w="782" w:type="pct"/>
            <w:tcBorders>
              <w:top w:val="single" w:sz="8" w:space="0" w:color="auto"/>
              <w:left w:val="single" w:sz="4" w:space="0" w:color="auto"/>
              <w:right w:val="single" w:sz="4" w:space="0" w:color="auto"/>
            </w:tcBorders>
          </w:tcPr>
          <w:p w14:paraId="18140798" w14:textId="77777777" w:rsidR="000F0341" w:rsidRPr="00832E0E" w:rsidRDefault="000F0341" w:rsidP="00E40B0D">
            <w:pPr>
              <w:spacing w:line="240" w:lineRule="auto"/>
              <w:jc w:val="left"/>
              <w:rPr>
                <w:sz w:val="14"/>
                <w:szCs w:val="14"/>
              </w:rPr>
            </w:pPr>
            <w:r w:rsidRPr="00BF62A1">
              <w:rPr>
                <w:sz w:val="14"/>
                <w:szCs w:val="14"/>
              </w:rPr>
              <w:t>&lt;3</w:t>
            </w:r>
          </w:p>
        </w:tc>
        <w:tc>
          <w:tcPr>
            <w:tcW w:w="739" w:type="pct"/>
            <w:tcBorders>
              <w:top w:val="single" w:sz="8" w:space="0" w:color="auto"/>
              <w:left w:val="single" w:sz="4" w:space="0" w:color="auto"/>
              <w:right w:val="single" w:sz="4" w:space="0" w:color="auto"/>
            </w:tcBorders>
          </w:tcPr>
          <w:p w14:paraId="537414AE" w14:textId="77777777" w:rsidR="000F0341" w:rsidRPr="00832E0E" w:rsidRDefault="000F0341" w:rsidP="00E40B0D">
            <w:pPr>
              <w:spacing w:line="240" w:lineRule="auto"/>
              <w:jc w:val="left"/>
              <w:rPr>
                <w:sz w:val="14"/>
                <w:szCs w:val="14"/>
              </w:rPr>
            </w:pPr>
            <w:r w:rsidRPr="00BF62A1">
              <w:rPr>
                <w:sz w:val="14"/>
                <w:szCs w:val="14"/>
              </w:rPr>
              <w:t>2120</w:t>
            </w:r>
          </w:p>
        </w:tc>
        <w:tc>
          <w:tcPr>
            <w:tcW w:w="980" w:type="pct"/>
            <w:vMerge w:val="restart"/>
            <w:tcBorders>
              <w:top w:val="single" w:sz="8" w:space="0" w:color="auto"/>
              <w:left w:val="single" w:sz="4" w:space="0" w:color="auto"/>
              <w:right w:val="single" w:sz="4" w:space="0" w:color="auto"/>
            </w:tcBorders>
          </w:tcPr>
          <w:p w14:paraId="274A3579" w14:textId="77777777" w:rsidR="000F0341" w:rsidRPr="00832E0E" w:rsidRDefault="000F0341" w:rsidP="00E40B0D">
            <w:pPr>
              <w:spacing w:line="240" w:lineRule="auto"/>
              <w:jc w:val="left"/>
              <w:rPr>
                <w:sz w:val="14"/>
                <w:szCs w:val="14"/>
              </w:rPr>
            </w:pPr>
            <w:r w:rsidRPr="00BF62A1">
              <w:rPr>
                <w:sz w:val="14"/>
                <w:szCs w:val="14"/>
              </w:rPr>
              <w:t>-</w:t>
            </w:r>
          </w:p>
        </w:tc>
      </w:tr>
      <w:tr w:rsidR="000F0341" w:rsidRPr="00832E0E" w14:paraId="7BBB7046" w14:textId="77777777" w:rsidTr="00E40B0D">
        <w:trPr>
          <w:trHeight w:val="20"/>
        </w:trPr>
        <w:tc>
          <w:tcPr>
            <w:tcW w:w="782" w:type="pct"/>
            <w:vMerge/>
            <w:tcBorders>
              <w:left w:val="single" w:sz="4" w:space="0" w:color="auto"/>
              <w:right w:val="single" w:sz="4" w:space="0" w:color="auto"/>
            </w:tcBorders>
          </w:tcPr>
          <w:p w14:paraId="393910A1" w14:textId="77777777" w:rsidR="000F0341" w:rsidRPr="00832E0E"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5D3FD4D1" w14:textId="77777777" w:rsidR="000F0341" w:rsidRPr="00832E0E"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74D43814" w14:textId="77777777" w:rsidR="000F0341" w:rsidRPr="00832E0E"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0C785586" w14:textId="77777777" w:rsidR="000F0341" w:rsidRPr="00832E0E" w:rsidRDefault="000F0341" w:rsidP="00E40B0D">
            <w:pPr>
              <w:spacing w:line="240" w:lineRule="auto"/>
              <w:jc w:val="left"/>
              <w:rPr>
                <w:sz w:val="14"/>
                <w:szCs w:val="14"/>
              </w:rPr>
            </w:pPr>
            <w:r w:rsidRPr="00BF62A1">
              <w:rPr>
                <w:sz w:val="14"/>
                <w:szCs w:val="14"/>
              </w:rPr>
              <w:t>Moderate</w:t>
            </w:r>
          </w:p>
        </w:tc>
        <w:tc>
          <w:tcPr>
            <w:tcW w:w="782" w:type="pct"/>
            <w:tcBorders>
              <w:left w:val="single" w:sz="4" w:space="0" w:color="auto"/>
              <w:right w:val="single" w:sz="4" w:space="0" w:color="auto"/>
            </w:tcBorders>
          </w:tcPr>
          <w:p w14:paraId="7F75ABB3" w14:textId="77777777" w:rsidR="000F0341" w:rsidRPr="00832E0E" w:rsidRDefault="000F0341" w:rsidP="00E40B0D">
            <w:pPr>
              <w:spacing w:line="240" w:lineRule="auto"/>
              <w:jc w:val="left"/>
              <w:rPr>
                <w:sz w:val="14"/>
                <w:szCs w:val="14"/>
              </w:rPr>
            </w:pPr>
            <w:r w:rsidRPr="00BF62A1">
              <w:rPr>
                <w:sz w:val="14"/>
                <w:szCs w:val="14"/>
              </w:rPr>
              <w:t>3-7</w:t>
            </w:r>
          </w:p>
        </w:tc>
        <w:tc>
          <w:tcPr>
            <w:tcW w:w="739" w:type="pct"/>
            <w:tcBorders>
              <w:left w:val="single" w:sz="4" w:space="0" w:color="auto"/>
              <w:right w:val="single" w:sz="4" w:space="0" w:color="auto"/>
            </w:tcBorders>
          </w:tcPr>
          <w:p w14:paraId="6048F0CE" w14:textId="77777777" w:rsidR="000F0341" w:rsidRPr="00832E0E" w:rsidRDefault="000F0341" w:rsidP="00E40B0D">
            <w:pPr>
              <w:spacing w:line="240" w:lineRule="auto"/>
              <w:jc w:val="left"/>
              <w:rPr>
                <w:sz w:val="14"/>
                <w:szCs w:val="14"/>
              </w:rPr>
            </w:pPr>
            <w:r w:rsidRPr="00BF62A1">
              <w:rPr>
                <w:sz w:val="14"/>
                <w:szCs w:val="14"/>
              </w:rPr>
              <w:t>2421</w:t>
            </w:r>
          </w:p>
        </w:tc>
        <w:tc>
          <w:tcPr>
            <w:tcW w:w="980" w:type="pct"/>
            <w:vMerge/>
            <w:tcBorders>
              <w:left w:val="single" w:sz="4" w:space="0" w:color="auto"/>
              <w:right w:val="single" w:sz="4" w:space="0" w:color="auto"/>
            </w:tcBorders>
          </w:tcPr>
          <w:p w14:paraId="694AF58F" w14:textId="77777777" w:rsidR="000F0341" w:rsidRPr="00832E0E" w:rsidRDefault="000F0341" w:rsidP="00E40B0D">
            <w:pPr>
              <w:spacing w:line="240" w:lineRule="auto"/>
              <w:jc w:val="left"/>
              <w:rPr>
                <w:sz w:val="14"/>
                <w:szCs w:val="14"/>
              </w:rPr>
            </w:pPr>
          </w:p>
        </w:tc>
      </w:tr>
      <w:tr w:rsidR="000F0341" w:rsidRPr="00832E0E" w14:paraId="2CF1B23F" w14:textId="77777777" w:rsidTr="00E40B0D">
        <w:trPr>
          <w:trHeight w:val="20"/>
        </w:trPr>
        <w:tc>
          <w:tcPr>
            <w:tcW w:w="782" w:type="pct"/>
            <w:vMerge/>
            <w:tcBorders>
              <w:left w:val="single" w:sz="4" w:space="0" w:color="auto"/>
              <w:bottom w:val="single" w:sz="8" w:space="0" w:color="auto"/>
              <w:right w:val="single" w:sz="4" w:space="0" w:color="auto"/>
            </w:tcBorders>
          </w:tcPr>
          <w:p w14:paraId="60CF1AE6" w14:textId="77777777" w:rsidR="000F0341" w:rsidRPr="00832E0E" w:rsidRDefault="000F0341" w:rsidP="00E40B0D">
            <w:pPr>
              <w:spacing w:line="240" w:lineRule="auto"/>
              <w:jc w:val="left"/>
              <w:rPr>
                <w:sz w:val="14"/>
                <w:szCs w:val="14"/>
              </w:rPr>
            </w:pPr>
          </w:p>
        </w:tc>
        <w:tc>
          <w:tcPr>
            <w:tcW w:w="468" w:type="pct"/>
            <w:vMerge/>
            <w:tcBorders>
              <w:left w:val="single" w:sz="4" w:space="0" w:color="auto"/>
              <w:bottom w:val="single" w:sz="8" w:space="0" w:color="auto"/>
              <w:right w:val="single" w:sz="4" w:space="0" w:color="auto"/>
            </w:tcBorders>
          </w:tcPr>
          <w:p w14:paraId="0447D1EF" w14:textId="77777777" w:rsidR="000F0341" w:rsidRPr="00832E0E" w:rsidRDefault="000F0341" w:rsidP="00E40B0D">
            <w:pPr>
              <w:spacing w:line="240" w:lineRule="auto"/>
              <w:jc w:val="left"/>
              <w:rPr>
                <w:sz w:val="14"/>
                <w:szCs w:val="14"/>
              </w:rPr>
            </w:pPr>
          </w:p>
        </w:tc>
        <w:tc>
          <w:tcPr>
            <w:tcW w:w="626" w:type="pct"/>
            <w:vMerge/>
            <w:tcBorders>
              <w:left w:val="single" w:sz="4" w:space="0" w:color="auto"/>
              <w:bottom w:val="single" w:sz="8" w:space="0" w:color="auto"/>
              <w:right w:val="single" w:sz="4" w:space="0" w:color="auto"/>
            </w:tcBorders>
          </w:tcPr>
          <w:p w14:paraId="524D7246" w14:textId="77777777" w:rsidR="000F0341" w:rsidRPr="00832E0E" w:rsidRDefault="000F0341" w:rsidP="00E40B0D">
            <w:pPr>
              <w:spacing w:line="240" w:lineRule="auto"/>
              <w:jc w:val="left"/>
              <w:rPr>
                <w:sz w:val="14"/>
                <w:szCs w:val="14"/>
              </w:rPr>
            </w:pPr>
          </w:p>
        </w:tc>
        <w:tc>
          <w:tcPr>
            <w:tcW w:w="624" w:type="pct"/>
            <w:tcBorders>
              <w:top w:val="single" w:sz="4" w:space="0" w:color="auto"/>
              <w:left w:val="single" w:sz="4" w:space="0" w:color="auto"/>
              <w:bottom w:val="single" w:sz="8" w:space="0" w:color="auto"/>
              <w:right w:val="single" w:sz="4" w:space="0" w:color="auto"/>
            </w:tcBorders>
          </w:tcPr>
          <w:p w14:paraId="0025C6F8" w14:textId="77777777" w:rsidR="000F0341" w:rsidRPr="00832E0E" w:rsidRDefault="000F0341" w:rsidP="00E40B0D">
            <w:pPr>
              <w:spacing w:line="240" w:lineRule="auto"/>
              <w:jc w:val="left"/>
              <w:rPr>
                <w:sz w:val="14"/>
                <w:szCs w:val="14"/>
              </w:rPr>
            </w:pPr>
            <w:r w:rsidRPr="00BF62A1">
              <w:rPr>
                <w:sz w:val="14"/>
                <w:szCs w:val="14"/>
              </w:rPr>
              <w:t>High</w:t>
            </w:r>
          </w:p>
        </w:tc>
        <w:tc>
          <w:tcPr>
            <w:tcW w:w="782" w:type="pct"/>
            <w:tcBorders>
              <w:left w:val="single" w:sz="4" w:space="0" w:color="auto"/>
              <w:bottom w:val="single" w:sz="8" w:space="0" w:color="auto"/>
              <w:right w:val="single" w:sz="4" w:space="0" w:color="auto"/>
            </w:tcBorders>
          </w:tcPr>
          <w:p w14:paraId="444EBBE9" w14:textId="77777777" w:rsidR="000F0341" w:rsidRPr="00832E0E" w:rsidRDefault="000F0341" w:rsidP="00E40B0D">
            <w:pPr>
              <w:spacing w:line="240" w:lineRule="auto"/>
              <w:jc w:val="left"/>
              <w:rPr>
                <w:sz w:val="14"/>
                <w:szCs w:val="14"/>
              </w:rPr>
            </w:pPr>
            <w:r w:rsidRPr="00BF62A1">
              <w:rPr>
                <w:sz w:val="14"/>
                <w:szCs w:val="14"/>
              </w:rPr>
              <w:t>&gt;7</w:t>
            </w:r>
          </w:p>
        </w:tc>
        <w:tc>
          <w:tcPr>
            <w:tcW w:w="739" w:type="pct"/>
            <w:tcBorders>
              <w:left w:val="single" w:sz="4" w:space="0" w:color="auto"/>
              <w:bottom w:val="single" w:sz="8" w:space="0" w:color="auto"/>
              <w:right w:val="single" w:sz="4" w:space="0" w:color="auto"/>
            </w:tcBorders>
          </w:tcPr>
          <w:p w14:paraId="1B8BACBE" w14:textId="77777777" w:rsidR="000F0341" w:rsidRPr="00832E0E" w:rsidRDefault="000F0341" w:rsidP="00E40B0D">
            <w:pPr>
              <w:spacing w:line="240" w:lineRule="auto"/>
              <w:jc w:val="left"/>
              <w:rPr>
                <w:sz w:val="14"/>
                <w:szCs w:val="14"/>
              </w:rPr>
            </w:pPr>
            <w:r w:rsidRPr="00BF62A1">
              <w:rPr>
                <w:sz w:val="14"/>
                <w:szCs w:val="14"/>
              </w:rPr>
              <w:t>818</w:t>
            </w:r>
          </w:p>
        </w:tc>
        <w:tc>
          <w:tcPr>
            <w:tcW w:w="980" w:type="pct"/>
            <w:vMerge/>
            <w:tcBorders>
              <w:left w:val="single" w:sz="4" w:space="0" w:color="auto"/>
              <w:bottom w:val="single" w:sz="8" w:space="0" w:color="auto"/>
              <w:right w:val="single" w:sz="4" w:space="0" w:color="auto"/>
            </w:tcBorders>
          </w:tcPr>
          <w:p w14:paraId="586EC7BE" w14:textId="77777777" w:rsidR="000F0341" w:rsidRPr="00832E0E" w:rsidRDefault="000F0341" w:rsidP="00E40B0D">
            <w:pPr>
              <w:spacing w:line="240" w:lineRule="auto"/>
              <w:jc w:val="left"/>
              <w:rPr>
                <w:sz w:val="14"/>
                <w:szCs w:val="14"/>
              </w:rPr>
            </w:pPr>
          </w:p>
        </w:tc>
      </w:tr>
      <w:tr w:rsidR="000F0341" w:rsidRPr="00832E0E" w14:paraId="084D6785" w14:textId="77777777" w:rsidTr="00E40B0D">
        <w:trPr>
          <w:trHeight w:val="20"/>
        </w:trPr>
        <w:tc>
          <w:tcPr>
            <w:tcW w:w="782" w:type="pct"/>
            <w:vMerge w:val="restart"/>
            <w:tcBorders>
              <w:top w:val="single" w:sz="8" w:space="0" w:color="auto"/>
              <w:left w:val="single" w:sz="4" w:space="0" w:color="auto"/>
              <w:right w:val="single" w:sz="4" w:space="0" w:color="auto"/>
            </w:tcBorders>
          </w:tcPr>
          <w:p w14:paraId="4F4FD5C8" w14:textId="77777777" w:rsidR="000F0341" w:rsidRPr="00832E0E" w:rsidRDefault="000F0341" w:rsidP="00E40B0D">
            <w:pPr>
              <w:spacing w:line="240" w:lineRule="auto"/>
              <w:jc w:val="left"/>
              <w:rPr>
                <w:color w:val="000000"/>
                <w:sz w:val="14"/>
                <w:szCs w:val="14"/>
              </w:rPr>
            </w:pPr>
            <w:r w:rsidRPr="00BF62A1">
              <w:rPr>
                <w:sz w:val="14"/>
                <w:szCs w:val="14"/>
              </w:rPr>
              <w:lastRenderedPageBreak/>
              <w:t xml:space="preserve">Okinaga 2018 </w:t>
            </w:r>
            <w:r w:rsidRPr="00832E0E">
              <w:rPr>
                <w:sz w:val="14"/>
                <w:szCs w:val="14"/>
              </w:rPr>
              <w:fldChar w:fldCharType="begin"/>
            </w:r>
            <w:r>
              <w:rPr>
                <w:sz w:val="14"/>
                <w:szCs w:val="14"/>
              </w:rPr>
              <w:instrText xml:space="preserve"> ADDIN ZOTERO_ITEM CSL_CITATION {"citationID":"oxn9ayw4","properties":{"formattedCitation":"[56]","plainCitation":"[56]","noteIndex":0},"citationItems":[{"id":14165,"uris":["http://zotero.org/groups/4983919/items/87YGMFSZ"],"itemData":{"id":14165,"type":"article-journal","abstract":"BACKGROUND: As the population is aging, the indication for hepatocellular carcinoma (HCC) resection in patients aged over 80 years will increase. Japan is facing the most aging society worldwide. We examined the safety of hepatectomy in octogenarians and nonagenarians using large-scale data from the Diagnosis Procedure Combination database, a national administrative database in Japan. METHOD: We conducted a survey to collect data for all inpatients from 2007 and 2012. We identified 27,094 patients who underwent hepatectomy for HCC. Patients' age was divided into the following five categories: ≤59, 60-69, 70-79, 80-84, and ≥85 years (n = 5,099, 8,809, 10,805, 2,011, and 370, respectively). The primary outcomes of hepatectomy were in-hospital death within 90 days and complications. Logistic regression analyses were performed to analyze the impact of age on the outcomes with the adjustment of other individual-level factors. RESULTS: The mortality and morbidity rates were 2.6 and 23.4%, respectively. Compared with patients in their 70s, the mortality rate was significantly lower in patients aged ≤59 years (odds ratio [OR], 0.34; 95% confidence interval [CI], 0.26-0.45; p &lt; 0.01) and in those in their 60s (OR, 0.63; 95% CI, 0.53-0.74; p &lt; 0.01). However, no significant difference was observed in patients aged 80-84 years (OR, 1.03; 95% CI, 0.78-1.385; p = 0.844) and those aged ≥85 years (OR, 0.95; 95% CI, 0.50-1.79; p = 0.870). Based on the multivariate logistic regression analysis, age ≥70 years, male gender, low hospital volume, and surgical procedure were identified as independent predictors of mortality. CONCLUSIONS: The operative risk for hepatectomy gradually increases with age until patients are in their 70s, and it appears to reach a plateau among septuagenarian. Indeed, age over 70 years can also be a risk factor for HCC. By considering the aging risk, surgeons can attain good outcome after hepatectomy even in octo- and nonagenarian patients.","container-title":"Liver Cancer","DOI":"10.1159/000484178","ISSN":"2235-1795 (Print) 1664-5553","issue":"1","language":"eng","note":"publisher-place: Hepato-Biliary-Pancreatic Surgery Division, Department of Surgery, Graduate School of Medicine, Tokyo, Japan. Department of Clinical Epidemiology and Health Economics, School of Public Health, The University of Tokyo, Tokyo, Japan. Department of Health Care Informatics, Tokyo Medical and Dental University, Tokyo, Japan. National Center of Global Health and Medicine, Tokyo, Japan.","page":"55-64","title":"Short-Term Outcomes following Hepatectomy in Elderly Patients with Hepatocellular Carcinoma: An Analysis of 10,805 Septuagenarians and 2,381 Octo- and Nonagenarians in Japan","volume":"7","author":[{"family":"Okinaga","given":"H."},{"family":"Yasunaga","given":"H."},{"family":"Hasegawa","given":"K."},{"family":"Fushimi","given":"K."},{"family":"Kokudo","given":"N."}],"issued":{"date-parts":[["2018",3]]}}}],"schema":"https://github.com/citation-style-language/schema/raw/master/csl-citation.json"} </w:instrText>
            </w:r>
            <w:r w:rsidRPr="00832E0E">
              <w:rPr>
                <w:sz w:val="14"/>
                <w:szCs w:val="14"/>
              </w:rPr>
              <w:fldChar w:fldCharType="separate"/>
            </w:r>
            <w:r w:rsidRPr="004125CE">
              <w:rPr>
                <w:sz w:val="14"/>
              </w:rPr>
              <w:t>[56]</w:t>
            </w:r>
            <w:r w:rsidRPr="00832E0E">
              <w:rPr>
                <w:sz w:val="14"/>
                <w:szCs w:val="14"/>
              </w:rPr>
              <w:fldChar w:fldCharType="end"/>
            </w:r>
          </w:p>
        </w:tc>
        <w:tc>
          <w:tcPr>
            <w:tcW w:w="468" w:type="pct"/>
            <w:vMerge w:val="restart"/>
            <w:tcBorders>
              <w:top w:val="single" w:sz="8" w:space="0" w:color="auto"/>
              <w:left w:val="single" w:sz="4" w:space="0" w:color="auto"/>
              <w:right w:val="single" w:sz="4" w:space="0" w:color="auto"/>
            </w:tcBorders>
          </w:tcPr>
          <w:p w14:paraId="44C92AA7" w14:textId="77777777" w:rsidR="000F0341" w:rsidRPr="00832E0E" w:rsidRDefault="000F0341" w:rsidP="00E40B0D">
            <w:pPr>
              <w:spacing w:line="240" w:lineRule="auto"/>
              <w:jc w:val="left"/>
              <w:rPr>
                <w:sz w:val="14"/>
                <w:szCs w:val="14"/>
              </w:rPr>
            </w:pPr>
            <w:r w:rsidRPr="00BF62A1">
              <w:rPr>
                <w:sz w:val="14"/>
                <w:szCs w:val="14"/>
              </w:rPr>
              <w:t>27094</w:t>
            </w:r>
          </w:p>
        </w:tc>
        <w:tc>
          <w:tcPr>
            <w:tcW w:w="626" w:type="pct"/>
            <w:vMerge w:val="restart"/>
            <w:tcBorders>
              <w:top w:val="single" w:sz="8" w:space="0" w:color="auto"/>
              <w:left w:val="single" w:sz="4" w:space="0" w:color="auto"/>
              <w:right w:val="single" w:sz="4" w:space="0" w:color="auto"/>
            </w:tcBorders>
          </w:tcPr>
          <w:p w14:paraId="74763011" w14:textId="77777777" w:rsidR="000F0341" w:rsidRPr="00832E0E" w:rsidRDefault="000F0341" w:rsidP="00E40B0D">
            <w:pPr>
              <w:spacing w:line="240" w:lineRule="auto"/>
              <w:jc w:val="left"/>
              <w:rPr>
                <w:sz w:val="14"/>
                <w:szCs w:val="14"/>
              </w:rPr>
            </w:pPr>
            <w:r w:rsidRPr="00BF62A1">
              <w:rPr>
                <w:sz w:val="14"/>
                <w:szCs w:val="14"/>
              </w:rPr>
              <w:t>-</w:t>
            </w:r>
          </w:p>
        </w:tc>
        <w:tc>
          <w:tcPr>
            <w:tcW w:w="624" w:type="pct"/>
            <w:tcBorders>
              <w:top w:val="single" w:sz="8" w:space="0" w:color="auto"/>
              <w:left w:val="single" w:sz="4" w:space="0" w:color="auto"/>
              <w:bottom w:val="single" w:sz="4" w:space="0" w:color="auto"/>
              <w:right w:val="single" w:sz="4" w:space="0" w:color="auto"/>
            </w:tcBorders>
          </w:tcPr>
          <w:p w14:paraId="751EEF7D" w14:textId="77777777" w:rsidR="000F0341" w:rsidRPr="00832E0E" w:rsidRDefault="000F0341" w:rsidP="00E40B0D">
            <w:pPr>
              <w:spacing w:line="240" w:lineRule="auto"/>
              <w:jc w:val="left"/>
              <w:rPr>
                <w:sz w:val="14"/>
                <w:szCs w:val="14"/>
              </w:rPr>
            </w:pPr>
            <w:r w:rsidRPr="00BF62A1">
              <w:rPr>
                <w:sz w:val="14"/>
                <w:szCs w:val="14"/>
              </w:rPr>
              <w:t>Very low</w:t>
            </w:r>
          </w:p>
        </w:tc>
        <w:tc>
          <w:tcPr>
            <w:tcW w:w="782" w:type="pct"/>
            <w:tcBorders>
              <w:top w:val="single" w:sz="8" w:space="0" w:color="auto"/>
              <w:left w:val="single" w:sz="4" w:space="0" w:color="auto"/>
              <w:right w:val="single" w:sz="4" w:space="0" w:color="auto"/>
            </w:tcBorders>
          </w:tcPr>
          <w:p w14:paraId="3ED67D3B" w14:textId="77777777" w:rsidR="000F0341" w:rsidRPr="00832E0E" w:rsidRDefault="000F0341" w:rsidP="00E40B0D">
            <w:pPr>
              <w:spacing w:line="240" w:lineRule="auto"/>
              <w:jc w:val="left"/>
              <w:rPr>
                <w:sz w:val="14"/>
                <w:szCs w:val="14"/>
              </w:rPr>
            </w:pPr>
            <w:r w:rsidRPr="00BF62A1">
              <w:rPr>
                <w:sz w:val="14"/>
                <w:szCs w:val="14"/>
              </w:rPr>
              <w:t>≤ 9</w:t>
            </w:r>
          </w:p>
        </w:tc>
        <w:tc>
          <w:tcPr>
            <w:tcW w:w="739" w:type="pct"/>
            <w:vMerge w:val="restart"/>
            <w:tcBorders>
              <w:top w:val="single" w:sz="8" w:space="0" w:color="auto"/>
              <w:left w:val="single" w:sz="4" w:space="0" w:color="auto"/>
              <w:right w:val="single" w:sz="4" w:space="0" w:color="auto"/>
            </w:tcBorders>
          </w:tcPr>
          <w:p w14:paraId="458F0CC9" w14:textId="77777777" w:rsidR="000F0341" w:rsidRPr="00832E0E" w:rsidRDefault="000F0341" w:rsidP="00E40B0D">
            <w:pPr>
              <w:spacing w:line="240" w:lineRule="auto"/>
              <w:jc w:val="left"/>
              <w:rPr>
                <w:sz w:val="14"/>
                <w:szCs w:val="14"/>
              </w:rPr>
            </w:pPr>
            <w:r w:rsidRPr="00BF62A1">
              <w:rPr>
                <w:sz w:val="14"/>
                <w:szCs w:val="14"/>
              </w:rPr>
              <w:t>-</w:t>
            </w:r>
          </w:p>
        </w:tc>
        <w:tc>
          <w:tcPr>
            <w:tcW w:w="980" w:type="pct"/>
            <w:vMerge w:val="restart"/>
            <w:tcBorders>
              <w:top w:val="single" w:sz="8" w:space="0" w:color="auto"/>
              <w:left w:val="single" w:sz="4" w:space="0" w:color="auto"/>
              <w:right w:val="single" w:sz="4" w:space="0" w:color="auto"/>
            </w:tcBorders>
          </w:tcPr>
          <w:p w14:paraId="1BEA5862" w14:textId="77777777" w:rsidR="000F0341" w:rsidRPr="00832E0E" w:rsidRDefault="000F0341" w:rsidP="00E40B0D">
            <w:pPr>
              <w:spacing w:line="240" w:lineRule="auto"/>
              <w:jc w:val="left"/>
              <w:rPr>
                <w:sz w:val="14"/>
                <w:szCs w:val="14"/>
              </w:rPr>
            </w:pPr>
            <w:r w:rsidRPr="00BF62A1">
              <w:rPr>
                <w:sz w:val="14"/>
                <w:szCs w:val="14"/>
              </w:rPr>
              <w:t>-</w:t>
            </w:r>
          </w:p>
        </w:tc>
      </w:tr>
      <w:tr w:rsidR="000F0341" w:rsidRPr="00832E0E" w14:paraId="4DBAEE71" w14:textId="77777777" w:rsidTr="00E40B0D">
        <w:trPr>
          <w:trHeight w:val="20"/>
        </w:trPr>
        <w:tc>
          <w:tcPr>
            <w:tcW w:w="782" w:type="pct"/>
            <w:vMerge/>
            <w:tcBorders>
              <w:left w:val="single" w:sz="4" w:space="0" w:color="auto"/>
              <w:right w:val="single" w:sz="4" w:space="0" w:color="auto"/>
            </w:tcBorders>
          </w:tcPr>
          <w:p w14:paraId="1C890A79" w14:textId="77777777" w:rsidR="000F0341" w:rsidRPr="00832E0E"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50637D6D" w14:textId="77777777" w:rsidR="000F0341" w:rsidRPr="00832E0E"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13CFA4A7" w14:textId="77777777" w:rsidR="000F0341" w:rsidRPr="00832E0E"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1FEC5D48" w14:textId="77777777" w:rsidR="000F0341" w:rsidRPr="00832E0E" w:rsidRDefault="000F0341" w:rsidP="00E40B0D">
            <w:pPr>
              <w:spacing w:line="240" w:lineRule="auto"/>
              <w:jc w:val="left"/>
              <w:rPr>
                <w:sz w:val="14"/>
                <w:szCs w:val="14"/>
              </w:rPr>
            </w:pPr>
            <w:r w:rsidRPr="00BF62A1">
              <w:rPr>
                <w:sz w:val="14"/>
                <w:szCs w:val="14"/>
              </w:rPr>
              <w:t>Low</w:t>
            </w:r>
          </w:p>
        </w:tc>
        <w:tc>
          <w:tcPr>
            <w:tcW w:w="782" w:type="pct"/>
            <w:tcBorders>
              <w:left w:val="single" w:sz="4" w:space="0" w:color="auto"/>
              <w:right w:val="single" w:sz="4" w:space="0" w:color="auto"/>
            </w:tcBorders>
          </w:tcPr>
          <w:p w14:paraId="49C358FD" w14:textId="77777777" w:rsidR="000F0341" w:rsidRPr="00832E0E" w:rsidRDefault="000F0341" w:rsidP="00E40B0D">
            <w:pPr>
              <w:spacing w:line="240" w:lineRule="auto"/>
              <w:jc w:val="left"/>
              <w:rPr>
                <w:sz w:val="14"/>
                <w:szCs w:val="14"/>
              </w:rPr>
            </w:pPr>
            <w:r w:rsidRPr="00BF62A1">
              <w:rPr>
                <w:sz w:val="14"/>
                <w:szCs w:val="14"/>
              </w:rPr>
              <w:t>10-23</w:t>
            </w:r>
          </w:p>
        </w:tc>
        <w:tc>
          <w:tcPr>
            <w:tcW w:w="739" w:type="pct"/>
            <w:vMerge/>
            <w:tcBorders>
              <w:left w:val="single" w:sz="4" w:space="0" w:color="auto"/>
              <w:right w:val="single" w:sz="4" w:space="0" w:color="auto"/>
            </w:tcBorders>
          </w:tcPr>
          <w:p w14:paraId="6639C6D6" w14:textId="77777777" w:rsidR="000F0341" w:rsidRPr="00832E0E" w:rsidRDefault="000F0341" w:rsidP="00E40B0D">
            <w:pPr>
              <w:spacing w:line="240" w:lineRule="auto"/>
              <w:jc w:val="left"/>
              <w:rPr>
                <w:sz w:val="14"/>
                <w:szCs w:val="14"/>
              </w:rPr>
            </w:pPr>
          </w:p>
        </w:tc>
        <w:tc>
          <w:tcPr>
            <w:tcW w:w="980" w:type="pct"/>
            <w:vMerge/>
            <w:tcBorders>
              <w:left w:val="single" w:sz="4" w:space="0" w:color="auto"/>
              <w:right w:val="single" w:sz="4" w:space="0" w:color="auto"/>
            </w:tcBorders>
          </w:tcPr>
          <w:p w14:paraId="518DF348" w14:textId="77777777" w:rsidR="000F0341" w:rsidRPr="00832E0E" w:rsidRDefault="000F0341" w:rsidP="00E40B0D">
            <w:pPr>
              <w:spacing w:line="240" w:lineRule="auto"/>
              <w:jc w:val="left"/>
              <w:rPr>
                <w:sz w:val="14"/>
                <w:szCs w:val="14"/>
              </w:rPr>
            </w:pPr>
          </w:p>
        </w:tc>
      </w:tr>
      <w:tr w:rsidR="000F0341" w:rsidRPr="00832E0E" w14:paraId="0879B03D" w14:textId="77777777" w:rsidTr="00E40B0D">
        <w:trPr>
          <w:trHeight w:val="20"/>
        </w:trPr>
        <w:tc>
          <w:tcPr>
            <w:tcW w:w="782" w:type="pct"/>
            <w:vMerge/>
            <w:tcBorders>
              <w:left w:val="single" w:sz="4" w:space="0" w:color="auto"/>
              <w:right w:val="single" w:sz="4" w:space="0" w:color="auto"/>
            </w:tcBorders>
          </w:tcPr>
          <w:p w14:paraId="175A445D" w14:textId="77777777" w:rsidR="000F0341" w:rsidRPr="00832E0E"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7CFD590E" w14:textId="77777777" w:rsidR="000F0341" w:rsidRPr="00832E0E"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1E4E73E9" w14:textId="77777777" w:rsidR="000F0341" w:rsidRPr="00832E0E"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42C17501" w14:textId="77777777" w:rsidR="000F0341" w:rsidRPr="00832E0E" w:rsidRDefault="000F0341" w:rsidP="00E40B0D">
            <w:pPr>
              <w:spacing w:line="240" w:lineRule="auto"/>
              <w:jc w:val="left"/>
              <w:rPr>
                <w:sz w:val="14"/>
                <w:szCs w:val="14"/>
              </w:rPr>
            </w:pPr>
            <w:r w:rsidRPr="00BF62A1">
              <w:rPr>
                <w:sz w:val="14"/>
                <w:szCs w:val="14"/>
              </w:rPr>
              <w:t>High</w:t>
            </w:r>
          </w:p>
        </w:tc>
        <w:tc>
          <w:tcPr>
            <w:tcW w:w="782" w:type="pct"/>
            <w:tcBorders>
              <w:left w:val="single" w:sz="4" w:space="0" w:color="auto"/>
              <w:right w:val="single" w:sz="4" w:space="0" w:color="auto"/>
            </w:tcBorders>
          </w:tcPr>
          <w:p w14:paraId="12B28C85" w14:textId="77777777" w:rsidR="000F0341" w:rsidRPr="00832E0E" w:rsidRDefault="000F0341" w:rsidP="00E40B0D">
            <w:pPr>
              <w:spacing w:line="240" w:lineRule="auto"/>
              <w:jc w:val="left"/>
              <w:rPr>
                <w:sz w:val="14"/>
                <w:szCs w:val="14"/>
              </w:rPr>
            </w:pPr>
            <w:r w:rsidRPr="00BF62A1">
              <w:rPr>
                <w:sz w:val="14"/>
                <w:szCs w:val="14"/>
              </w:rPr>
              <w:t>24-51</w:t>
            </w:r>
          </w:p>
        </w:tc>
        <w:tc>
          <w:tcPr>
            <w:tcW w:w="739" w:type="pct"/>
            <w:vMerge/>
            <w:tcBorders>
              <w:left w:val="single" w:sz="4" w:space="0" w:color="auto"/>
              <w:right w:val="single" w:sz="4" w:space="0" w:color="auto"/>
            </w:tcBorders>
          </w:tcPr>
          <w:p w14:paraId="66C58608" w14:textId="77777777" w:rsidR="000F0341" w:rsidRPr="00832E0E" w:rsidRDefault="000F0341" w:rsidP="00E40B0D">
            <w:pPr>
              <w:spacing w:line="240" w:lineRule="auto"/>
              <w:jc w:val="left"/>
              <w:rPr>
                <w:sz w:val="14"/>
                <w:szCs w:val="14"/>
              </w:rPr>
            </w:pPr>
          </w:p>
        </w:tc>
        <w:tc>
          <w:tcPr>
            <w:tcW w:w="980" w:type="pct"/>
            <w:vMerge/>
            <w:tcBorders>
              <w:left w:val="single" w:sz="4" w:space="0" w:color="auto"/>
              <w:right w:val="single" w:sz="4" w:space="0" w:color="auto"/>
            </w:tcBorders>
          </w:tcPr>
          <w:p w14:paraId="42B3D831" w14:textId="77777777" w:rsidR="000F0341" w:rsidRPr="00832E0E" w:rsidRDefault="000F0341" w:rsidP="00E40B0D">
            <w:pPr>
              <w:spacing w:line="240" w:lineRule="auto"/>
              <w:jc w:val="left"/>
              <w:rPr>
                <w:sz w:val="14"/>
                <w:szCs w:val="14"/>
              </w:rPr>
            </w:pPr>
          </w:p>
        </w:tc>
      </w:tr>
      <w:tr w:rsidR="000F0341" w:rsidRPr="00832E0E" w14:paraId="1FA3D2C7" w14:textId="77777777" w:rsidTr="00E40B0D">
        <w:trPr>
          <w:trHeight w:val="20"/>
        </w:trPr>
        <w:tc>
          <w:tcPr>
            <w:tcW w:w="782" w:type="pct"/>
            <w:vMerge/>
            <w:tcBorders>
              <w:left w:val="single" w:sz="4" w:space="0" w:color="auto"/>
              <w:bottom w:val="single" w:sz="8" w:space="0" w:color="auto"/>
              <w:right w:val="single" w:sz="4" w:space="0" w:color="auto"/>
            </w:tcBorders>
          </w:tcPr>
          <w:p w14:paraId="3F6ABEDF" w14:textId="77777777" w:rsidR="000F0341" w:rsidRPr="00832E0E" w:rsidRDefault="000F0341" w:rsidP="00E40B0D">
            <w:pPr>
              <w:spacing w:line="240" w:lineRule="auto"/>
              <w:jc w:val="left"/>
              <w:rPr>
                <w:sz w:val="14"/>
                <w:szCs w:val="14"/>
              </w:rPr>
            </w:pPr>
          </w:p>
        </w:tc>
        <w:tc>
          <w:tcPr>
            <w:tcW w:w="468" w:type="pct"/>
            <w:vMerge/>
            <w:tcBorders>
              <w:left w:val="single" w:sz="4" w:space="0" w:color="auto"/>
              <w:bottom w:val="single" w:sz="8" w:space="0" w:color="auto"/>
              <w:right w:val="single" w:sz="4" w:space="0" w:color="auto"/>
            </w:tcBorders>
          </w:tcPr>
          <w:p w14:paraId="7D293904" w14:textId="77777777" w:rsidR="000F0341" w:rsidRPr="00832E0E" w:rsidRDefault="000F0341" w:rsidP="00E40B0D">
            <w:pPr>
              <w:spacing w:line="240" w:lineRule="auto"/>
              <w:jc w:val="left"/>
              <w:rPr>
                <w:sz w:val="14"/>
                <w:szCs w:val="14"/>
              </w:rPr>
            </w:pPr>
          </w:p>
        </w:tc>
        <w:tc>
          <w:tcPr>
            <w:tcW w:w="626" w:type="pct"/>
            <w:vMerge/>
            <w:tcBorders>
              <w:left w:val="single" w:sz="4" w:space="0" w:color="auto"/>
              <w:bottom w:val="single" w:sz="8" w:space="0" w:color="auto"/>
              <w:right w:val="single" w:sz="4" w:space="0" w:color="auto"/>
            </w:tcBorders>
          </w:tcPr>
          <w:p w14:paraId="317D3DA6" w14:textId="77777777" w:rsidR="000F0341" w:rsidRPr="00832E0E" w:rsidRDefault="000F0341" w:rsidP="00E40B0D">
            <w:pPr>
              <w:spacing w:line="240" w:lineRule="auto"/>
              <w:jc w:val="left"/>
              <w:rPr>
                <w:sz w:val="14"/>
                <w:szCs w:val="14"/>
              </w:rPr>
            </w:pPr>
          </w:p>
        </w:tc>
        <w:tc>
          <w:tcPr>
            <w:tcW w:w="624" w:type="pct"/>
            <w:tcBorders>
              <w:top w:val="single" w:sz="4" w:space="0" w:color="auto"/>
              <w:left w:val="single" w:sz="4" w:space="0" w:color="auto"/>
              <w:bottom w:val="single" w:sz="8" w:space="0" w:color="auto"/>
              <w:right w:val="single" w:sz="4" w:space="0" w:color="auto"/>
            </w:tcBorders>
          </w:tcPr>
          <w:p w14:paraId="2CB2D210" w14:textId="77777777" w:rsidR="000F0341" w:rsidRPr="00832E0E" w:rsidRDefault="000F0341" w:rsidP="00E40B0D">
            <w:pPr>
              <w:spacing w:line="240" w:lineRule="auto"/>
              <w:jc w:val="left"/>
              <w:rPr>
                <w:sz w:val="14"/>
                <w:szCs w:val="14"/>
              </w:rPr>
            </w:pPr>
            <w:r w:rsidRPr="00BF62A1">
              <w:rPr>
                <w:sz w:val="14"/>
                <w:szCs w:val="14"/>
              </w:rPr>
              <w:t>Very high</w:t>
            </w:r>
          </w:p>
        </w:tc>
        <w:tc>
          <w:tcPr>
            <w:tcW w:w="782" w:type="pct"/>
            <w:tcBorders>
              <w:left w:val="single" w:sz="4" w:space="0" w:color="auto"/>
              <w:bottom w:val="single" w:sz="8" w:space="0" w:color="auto"/>
              <w:right w:val="single" w:sz="4" w:space="0" w:color="auto"/>
            </w:tcBorders>
          </w:tcPr>
          <w:p w14:paraId="63317199" w14:textId="77777777" w:rsidR="000F0341" w:rsidRPr="00832E0E" w:rsidRDefault="000F0341" w:rsidP="00E40B0D">
            <w:pPr>
              <w:spacing w:line="240" w:lineRule="auto"/>
              <w:jc w:val="left"/>
              <w:rPr>
                <w:sz w:val="14"/>
                <w:szCs w:val="14"/>
              </w:rPr>
            </w:pPr>
            <w:r w:rsidRPr="00BF62A1">
              <w:rPr>
                <w:sz w:val="14"/>
                <w:szCs w:val="14"/>
              </w:rPr>
              <w:t>&gt; 52</w:t>
            </w:r>
          </w:p>
        </w:tc>
        <w:tc>
          <w:tcPr>
            <w:tcW w:w="739" w:type="pct"/>
            <w:vMerge/>
            <w:tcBorders>
              <w:left w:val="single" w:sz="4" w:space="0" w:color="auto"/>
              <w:bottom w:val="single" w:sz="8" w:space="0" w:color="auto"/>
              <w:right w:val="single" w:sz="4" w:space="0" w:color="auto"/>
            </w:tcBorders>
          </w:tcPr>
          <w:p w14:paraId="7ADFE6DA" w14:textId="77777777" w:rsidR="000F0341" w:rsidRPr="00832E0E" w:rsidRDefault="000F0341" w:rsidP="00E40B0D">
            <w:pPr>
              <w:spacing w:line="240" w:lineRule="auto"/>
              <w:jc w:val="left"/>
              <w:rPr>
                <w:sz w:val="14"/>
                <w:szCs w:val="14"/>
              </w:rPr>
            </w:pPr>
          </w:p>
        </w:tc>
        <w:tc>
          <w:tcPr>
            <w:tcW w:w="980" w:type="pct"/>
            <w:vMerge/>
            <w:tcBorders>
              <w:left w:val="single" w:sz="4" w:space="0" w:color="auto"/>
              <w:bottom w:val="single" w:sz="8" w:space="0" w:color="auto"/>
              <w:right w:val="single" w:sz="4" w:space="0" w:color="auto"/>
            </w:tcBorders>
          </w:tcPr>
          <w:p w14:paraId="7AA82517" w14:textId="77777777" w:rsidR="000F0341" w:rsidRPr="00832E0E" w:rsidRDefault="000F0341" w:rsidP="00E40B0D">
            <w:pPr>
              <w:spacing w:line="240" w:lineRule="auto"/>
              <w:jc w:val="left"/>
              <w:rPr>
                <w:sz w:val="14"/>
                <w:szCs w:val="14"/>
              </w:rPr>
            </w:pPr>
          </w:p>
        </w:tc>
      </w:tr>
      <w:tr w:rsidR="000F0341" w:rsidRPr="00832E0E" w14:paraId="1467A962" w14:textId="77777777" w:rsidTr="00E40B0D">
        <w:trPr>
          <w:trHeight w:val="20"/>
        </w:trPr>
        <w:tc>
          <w:tcPr>
            <w:tcW w:w="782" w:type="pct"/>
            <w:vMerge w:val="restart"/>
            <w:tcBorders>
              <w:top w:val="single" w:sz="8" w:space="0" w:color="auto"/>
              <w:left w:val="single" w:sz="4" w:space="0" w:color="auto"/>
              <w:right w:val="single" w:sz="4" w:space="0" w:color="auto"/>
            </w:tcBorders>
          </w:tcPr>
          <w:p w14:paraId="6AD9D3AA" w14:textId="77777777" w:rsidR="000F0341" w:rsidRPr="00832E0E" w:rsidRDefault="000F0341" w:rsidP="00E40B0D">
            <w:pPr>
              <w:spacing w:line="240" w:lineRule="auto"/>
              <w:jc w:val="left"/>
              <w:rPr>
                <w:color w:val="000000"/>
                <w:sz w:val="14"/>
                <w:szCs w:val="14"/>
              </w:rPr>
            </w:pPr>
            <w:r w:rsidRPr="00BF62A1">
              <w:rPr>
                <w:sz w:val="14"/>
                <w:szCs w:val="14"/>
              </w:rPr>
              <w:t xml:space="preserve">Sato 2012 </w:t>
            </w:r>
            <w:r w:rsidRPr="00832E0E">
              <w:rPr>
                <w:sz w:val="14"/>
                <w:szCs w:val="14"/>
              </w:rPr>
              <w:fldChar w:fldCharType="begin"/>
            </w:r>
            <w:r>
              <w:rPr>
                <w:sz w:val="14"/>
                <w:szCs w:val="14"/>
              </w:rPr>
              <w:instrText xml:space="preserve"> ADDIN ZOTERO_ITEM CSL_CITATION {"citationID":"FZ9DmO5Q","properties":{"formattedCitation":"[57]","plainCitation":"[57]","noteIndex":0},"citationItems":[{"id":14167,"uris":["http://zotero.org/groups/4983919/items/4SPP6UWC"],"itemData":{"id":14167,"type":"article-journal","abstract":"BACKGROUND: Reported mortalities and morbidities of therapeutic procedures for liver tumors vary between studies, because of different designs and small sample sizes. We investigated the mortalities and complication rates for hepatectomy, radiofrequency ablation (RFA), and trans-catheter arterial embolization (TAE) for hepatocellular carcinoma (HCC) in a large sample, using a nationwide Japanese database (the Diagnosis Procedure Combination database). METHODS: Data from the Diagnosis Procedure Combination database were analyzed for July 1 to December 31, 2007 and the same period in 2008. We identified 54,145 patients with HCC who underwent hepatectomy (n = 5,270), RFA (n = 11,688), or TAE (n = 37,187). In-hospital mortality and morbidity were analyzed for each procedure. The relationships between mortality and factors including patient characteristics and procedural backgrounds were assessed. RESULTS: In-hospital mortalities associated with hepatectomy, RFA, and TAE were 2.6 % [95 % confidence interval (CI) 2.2-3.1], 0.3 % (0.2-0.4), and 1.0 % (0.9-1.1), and post-procedural complication rates were 14.5 % (13.5-15.5), 4.5 % (4.2-4.9), and 4.5 % (4.3-4.7), respectively. Increased mortality following hepatectomy was significantly associated with older age, extended lobectomy (vs. partial hepatectomy; odds ratio [OR] 3.80, p &lt; 0.001), lower hospital volume (OR 2.74, p &lt; 0.001), and renal comorbidity (OR 3.01, p = 0.02). Older age and cardiac comorbidity (OR 5.14, p = 0.001) were significantly associated with RFA-related mortality, and lower hospital volume was significantly associated with TAE-related mortality (OR 1.60, p &lt; 0.001). CONCLUSIONS: Mortalities and morbidities associated with therapeutic procedures for liver tumors were acceptably low in Japan, but were affected by patient and institutional characteristics.","container-title":"J Gastroenterol","DOI":"10.1007/s00535-012-0569-0","ISSN":"0944-1174","issue":"10","language":"eng","note":"publisher-place: Department of Gastroenterology, Graduate School of Medicine, The University of Tokyo, 7-3-1 Hongo, Bunkyo-ku, Tokyo 113-8655, Japan.","page":"1125-33","title":"Mortality and morbidity of hepatectomy, radiofrequency ablation, and embolization for hepatocellular carcinoma: a national survey of 54,145 patients","volume":"47","author":[{"family":"Sato","given":"M."},{"family":"Tateishi","given":"R."},{"family":"Yasunaga","given":"H."},{"family":"Horiguchi","given":"H."},{"family":"Yoshida","given":"H."},{"family":"Matsuda","given":"S."},{"family":"Koike","given":"K."}],"issued":{"date-parts":[["2012",10]]}}}],"schema":"https://github.com/citation-style-language/schema/raw/master/csl-citation.json"} </w:instrText>
            </w:r>
            <w:r w:rsidRPr="00832E0E">
              <w:rPr>
                <w:sz w:val="14"/>
                <w:szCs w:val="14"/>
              </w:rPr>
              <w:fldChar w:fldCharType="separate"/>
            </w:r>
            <w:r w:rsidRPr="004125CE">
              <w:rPr>
                <w:sz w:val="14"/>
              </w:rPr>
              <w:t>[57]</w:t>
            </w:r>
            <w:r w:rsidRPr="00832E0E">
              <w:rPr>
                <w:sz w:val="14"/>
                <w:szCs w:val="14"/>
              </w:rPr>
              <w:fldChar w:fldCharType="end"/>
            </w:r>
          </w:p>
        </w:tc>
        <w:tc>
          <w:tcPr>
            <w:tcW w:w="468" w:type="pct"/>
            <w:vMerge w:val="restart"/>
            <w:tcBorders>
              <w:top w:val="single" w:sz="8" w:space="0" w:color="auto"/>
              <w:left w:val="single" w:sz="4" w:space="0" w:color="auto"/>
              <w:right w:val="single" w:sz="4" w:space="0" w:color="auto"/>
            </w:tcBorders>
          </w:tcPr>
          <w:p w14:paraId="419A0383" w14:textId="77777777" w:rsidR="000F0341" w:rsidRPr="00832E0E" w:rsidRDefault="000F0341" w:rsidP="00E40B0D">
            <w:pPr>
              <w:spacing w:line="240" w:lineRule="auto"/>
              <w:jc w:val="left"/>
              <w:rPr>
                <w:sz w:val="14"/>
                <w:szCs w:val="14"/>
              </w:rPr>
            </w:pPr>
            <w:r w:rsidRPr="00BF62A1">
              <w:rPr>
                <w:sz w:val="14"/>
                <w:szCs w:val="14"/>
              </w:rPr>
              <w:t>5270</w:t>
            </w:r>
          </w:p>
        </w:tc>
        <w:tc>
          <w:tcPr>
            <w:tcW w:w="626" w:type="pct"/>
            <w:vMerge w:val="restart"/>
            <w:tcBorders>
              <w:top w:val="single" w:sz="8" w:space="0" w:color="auto"/>
              <w:left w:val="single" w:sz="4" w:space="0" w:color="auto"/>
              <w:right w:val="single" w:sz="4" w:space="0" w:color="auto"/>
            </w:tcBorders>
          </w:tcPr>
          <w:p w14:paraId="4C85A203" w14:textId="77777777" w:rsidR="000F0341" w:rsidRPr="00832E0E" w:rsidRDefault="000F0341" w:rsidP="00E40B0D">
            <w:pPr>
              <w:spacing w:line="240" w:lineRule="auto"/>
              <w:jc w:val="left"/>
              <w:rPr>
                <w:sz w:val="14"/>
                <w:szCs w:val="14"/>
              </w:rPr>
            </w:pPr>
            <w:r w:rsidRPr="00BF62A1">
              <w:rPr>
                <w:sz w:val="14"/>
                <w:szCs w:val="14"/>
              </w:rPr>
              <w:t>-</w:t>
            </w:r>
          </w:p>
        </w:tc>
        <w:tc>
          <w:tcPr>
            <w:tcW w:w="624" w:type="pct"/>
            <w:tcBorders>
              <w:top w:val="single" w:sz="8" w:space="0" w:color="auto"/>
              <w:left w:val="single" w:sz="4" w:space="0" w:color="auto"/>
              <w:bottom w:val="single" w:sz="4" w:space="0" w:color="auto"/>
              <w:right w:val="single" w:sz="4" w:space="0" w:color="auto"/>
            </w:tcBorders>
          </w:tcPr>
          <w:p w14:paraId="3DA53CBC" w14:textId="77777777" w:rsidR="000F0341" w:rsidRPr="00832E0E" w:rsidRDefault="000F0341" w:rsidP="00E40B0D">
            <w:pPr>
              <w:spacing w:line="240" w:lineRule="auto"/>
              <w:jc w:val="left"/>
              <w:rPr>
                <w:sz w:val="14"/>
                <w:szCs w:val="14"/>
              </w:rPr>
            </w:pPr>
            <w:r w:rsidRPr="00BF62A1">
              <w:rPr>
                <w:sz w:val="14"/>
                <w:szCs w:val="14"/>
              </w:rPr>
              <w:t>Low</w:t>
            </w:r>
          </w:p>
        </w:tc>
        <w:tc>
          <w:tcPr>
            <w:tcW w:w="782" w:type="pct"/>
            <w:tcBorders>
              <w:top w:val="single" w:sz="8" w:space="0" w:color="auto"/>
              <w:left w:val="single" w:sz="4" w:space="0" w:color="auto"/>
              <w:right w:val="single" w:sz="4" w:space="0" w:color="auto"/>
            </w:tcBorders>
          </w:tcPr>
          <w:p w14:paraId="0717C481" w14:textId="77777777" w:rsidR="000F0341" w:rsidRPr="00832E0E" w:rsidRDefault="000F0341" w:rsidP="00E40B0D">
            <w:pPr>
              <w:spacing w:line="240" w:lineRule="auto"/>
              <w:jc w:val="left"/>
              <w:rPr>
                <w:sz w:val="14"/>
                <w:szCs w:val="14"/>
              </w:rPr>
            </w:pPr>
            <w:r w:rsidRPr="00BF62A1">
              <w:rPr>
                <w:sz w:val="14"/>
                <w:szCs w:val="14"/>
              </w:rPr>
              <w:t>≤ 21</w:t>
            </w:r>
          </w:p>
        </w:tc>
        <w:tc>
          <w:tcPr>
            <w:tcW w:w="739" w:type="pct"/>
            <w:tcBorders>
              <w:top w:val="single" w:sz="8" w:space="0" w:color="auto"/>
              <w:left w:val="single" w:sz="4" w:space="0" w:color="auto"/>
              <w:right w:val="single" w:sz="4" w:space="0" w:color="auto"/>
            </w:tcBorders>
          </w:tcPr>
          <w:p w14:paraId="35DA31ED" w14:textId="77777777" w:rsidR="000F0341" w:rsidRPr="00832E0E" w:rsidRDefault="000F0341" w:rsidP="00E40B0D">
            <w:pPr>
              <w:spacing w:line="240" w:lineRule="auto"/>
              <w:jc w:val="left"/>
              <w:rPr>
                <w:sz w:val="14"/>
                <w:szCs w:val="14"/>
              </w:rPr>
            </w:pPr>
            <w:r w:rsidRPr="00BF62A1">
              <w:rPr>
                <w:sz w:val="14"/>
                <w:szCs w:val="14"/>
              </w:rPr>
              <w:t>1784</w:t>
            </w:r>
          </w:p>
        </w:tc>
        <w:tc>
          <w:tcPr>
            <w:tcW w:w="980" w:type="pct"/>
            <w:vMerge w:val="restart"/>
            <w:tcBorders>
              <w:top w:val="single" w:sz="8" w:space="0" w:color="auto"/>
              <w:left w:val="single" w:sz="4" w:space="0" w:color="auto"/>
              <w:right w:val="single" w:sz="4" w:space="0" w:color="auto"/>
            </w:tcBorders>
          </w:tcPr>
          <w:p w14:paraId="0EBA1942" w14:textId="77777777" w:rsidR="000F0341" w:rsidRPr="00832E0E" w:rsidRDefault="000F0341" w:rsidP="00E40B0D">
            <w:pPr>
              <w:spacing w:line="240" w:lineRule="auto"/>
              <w:jc w:val="left"/>
              <w:rPr>
                <w:sz w:val="14"/>
                <w:szCs w:val="14"/>
              </w:rPr>
            </w:pPr>
            <w:r w:rsidRPr="00BF62A1">
              <w:rPr>
                <w:sz w:val="14"/>
                <w:szCs w:val="14"/>
              </w:rPr>
              <w:t>-</w:t>
            </w:r>
          </w:p>
        </w:tc>
      </w:tr>
      <w:tr w:rsidR="000F0341" w:rsidRPr="00832E0E" w14:paraId="56334BAA" w14:textId="77777777" w:rsidTr="00E40B0D">
        <w:trPr>
          <w:trHeight w:val="20"/>
        </w:trPr>
        <w:tc>
          <w:tcPr>
            <w:tcW w:w="782" w:type="pct"/>
            <w:vMerge/>
            <w:tcBorders>
              <w:left w:val="single" w:sz="4" w:space="0" w:color="auto"/>
              <w:right w:val="single" w:sz="4" w:space="0" w:color="auto"/>
            </w:tcBorders>
          </w:tcPr>
          <w:p w14:paraId="67D9D51D" w14:textId="77777777" w:rsidR="000F0341" w:rsidRPr="00832E0E"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2AD1A270" w14:textId="77777777" w:rsidR="000F0341" w:rsidRPr="00832E0E"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4751618D" w14:textId="77777777" w:rsidR="000F0341" w:rsidRPr="00832E0E"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18184746" w14:textId="77777777" w:rsidR="000F0341" w:rsidRPr="00832E0E" w:rsidRDefault="000F0341" w:rsidP="00E40B0D">
            <w:pPr>
              <w:spacing w:line="240" w:lineRule="auto"/>
              <w:jc w:val="left"/>
              <w:rPr>
                <w:sz w:val="14"/>
                <w:szCs w:val="14"/>
              </w:rPr>
            </w:pPr>
            <w:r w:rsidRPr="00BF62A1">
              <w:rPr>
                <w:sz w:val="14"/>
                <w:szCs w:val="14"/>
              </w:rPr>
              <w:t>Intermediate</w:t>
            </w:r>
          </w:p>
        </w:tc>
        <w:tc>
          <w:tcPr>
            <w:tcW w:w="782" w:type="pct"/>
            <w:tcBorders>
              <w:left w:val="single" w:sz="4" w:space="0" w:color="auto"/>
              <w:right w:val="single" w:sz="4" w:space="0" w:color="auto"/>
            </w:tcBorders>
          </w:tcPr>
          <w:p w14:paraId="7673153A" w14:textId="77777777" w:rsidR="000F0341" w:rsidRPr="00832E0E" w:rsidRDefault="000F0341" w:rsidP="00E40B0D">
            <w:pPr>
              <w:spacing w:line="240" w:lineRule="auto"/>
              <w:jc w:val="left"/>
              <w:rPr>
                <w:sz w:val="14"/>
                <w:szCs w:val="14"/>
              </w:rPr>
            </w:pPr>
            <w:r w:rsidRPr="00BF62A1">
              <w:rPr>
                <w:sz w:val="14"/>
                <w:szCs w:val="14"/>
              </w:rPr>
              <w:t>20-56</w:t>
            </w:r>
          </w:p>
        </w:tc>
        <w:tc>
          <w:tcPr>
            <w:tcW w:w="739" w:type="pct"/>
            <w:tcBorders>
              <w:left w:val="single" w:sz="4" w:space="0" w:color="auto"/>
              <w:right w:val="single" w:sz="4" w:space="0" w:color="auto"/>
            </w:tcBorders>
          </w:tcPr>
          <w:p w14:paraId="3802593E" w14:textId="77777777" w:rsidR="000F0341" w:rsidRPr="00832E0E" w:rsidRDefault="000F0341" w:rsidP="00E40B0D">
            <w:pPr>
              <w:spacing w:line="240" w:lineRule="auto"/>
              <w:jc w:val="left"/>
              <w:rPr>
                <w:sz w:val="14"/>
                <w:szCs w:val="14"/>
              </w:rPr>
            </w:pPr>
            <w:r w:rsidRPr="00BF62A1">
              <w:rPr>
                <w:sz w:val="14"/>
                <w:szCs w:val="14"/>
              </w:rPr>
              <w:t>1742</w:t>
            </w:r>
          </w:p>
        </w:tc>
        <w:tc>
          <w:tcPr>
            <w:tcW w:w="980" w:type="pct"/>
            <w:vMerge/>
            <w:tcBorders>
              <w:left w:val="single" w:sz="4" w:space="0" w:color="auto"/>
              <w:right w:val="single" w:sz="4" w:space="0" w:color="auto"/>
            </w:tcBorders>
          </w:tcPr>
          <w:p w14:paraId="4D266D13" w14:textId="77777777" w:rsidR="000F0341" w:rsidRPr="00832E0E" w:rsidRDefault="000F0341" w:rsidP="00E40B0D">
            <w:pPr>
              <w:spacing w:line="240" w:lineRule="auto"/>
              <w:jc w:val="left"/>
              <w:rPr>
                <w:sz w:val="14"/>
                <w:szCs w:val="14"/>
              </w:rPr>
            </w:pPr>
          </w:p>
        </w:tc>
      </w:tr>
      <w:tr w:rsidR="000F0341" w:rsidRPr="00832E0E" w14:paraId="2AE6D11F" w14:textId="77777777" w:rsidTr="00E40B0D">
        <w:trPr>
          <w:trHeight w:val="20"/>
        </w:trPr>
        <w:tc>
          <w:tcPr>
            <w:tcW w:w="782" w:type="pct"/>
            <w:vMerge/>
            <w:tcBorders>
              <w:left w:val="single" w:sz="4" w:space="0" w:color="auto"/>
              <w:bottom w:val="single" w:sz="8" w:space="0" w:color="auto"/>
              <w:right w:val="single" w:sz="4" w:space="0" w:color="auto"/>
            </w:tcBorders>
          </w:tcPr>
          <w:p w14:paraId="08EAA9D4" w14:textId="77777777" w:rsidR="000F0341" w:rsidRPr="00832E0E" w:rsidRDefault="000F0341" w:rsidP="00E40B0D">
            <w:pPr>
              <w:spacing w:line="240" w:lineRule="auto"/>
              <w:jc w:val="left"/>
              <w:rPr>
                <w:sz w:val="14"/>
                <w:szCs w:val="14"/>
              </w:rPr>
            </w:pPr>
          </w:p>
        </w:tc>
        <w:tc>
          <w:tcPr>
            <w:tcW w:w="468" w:type="pct"/>
            <w:vMerge/>
            <w:tcBorders>
              <w:left w:val="single" w:sz="4" w:space="0" w:color="auto"/>
              <w:bottom w:val="single" w:sz="8" w:space="0" w:color="auto"/>
              <w:right w:val="single" w:sz="4" w:space="0" w:color="auto"/>
            </w:tcBorders>
          </w:tcPr>
          <w:p w14:paraId="2D81E12A" w14:textId="77777777" w:rsidR="000F0341" w:rsidRPr="00832E0E" w:rsidRDefault="000F0341" w:rsidP="00E40B0D">
            <w:pPr>
              <w:spacing w:line="240" w:lineRule="auto"/>
              <w:jc w:val="left"/>
              <w:rPr>
                <w:sz w:val="14"/>
                <w:szCs w:val="14"/>
              </w:rPr>
            </w:pPr>
          </w:p>
        </w:tc>
        <w:tc>
          <w:tcPr>
            <w:tcW w:w="626" w:type="pct"/>
            <w:vMerge/>
            <w:tcBorders>
              <w:left w:val="single" w:sz="4" w:space="0" w:color="auto"/>
              <w:bottom w:val="single" w:sz="8" w:space="0" w:color="auto"/>
              <w:right w:val="single" w:sz="4" w:space="0" w:color="auto"/>
            </w:tcBorders>
          </w:tcPr>
          <w:p w14:paraId="6AA7D61B" w14:textId="77777777" w:rsidR="000F0341" w:rsidRPr="00832E0E" w:rsidRDefault="000F0341" w:rsidP="00E40B0D">
            <w:pPr>
              <w:spacing w:line="240" w:lineRule="auto"/>
              <w:jc w:val="left"/>
              <w:rPr>
                <w:sz w:val="14"/>
                <w:szCs w:val="14"/>
              </w:rPr>
            </w:pPr>
          </w:p>
        </w:tc>
        <w:tc>
          <w:tcPr>
            <w:tcW w:w="624" w:type="pct"/>
            <w:tcBorders>
              <w:top w:val="single" w:sz="4" w:space="0" w:color="auto"/>
              <w:left w:val="single" w:sz="4" w:space="0" w:color="auto"/>
              <w:bottom w:val="single" w:sz="8" w:space="0" w:color="auto"/>
              <w:right w:val="single" w:sz="4" w:space="0" w:color="auto"/>
            </w:tcBorders>
          </w:tcPr>
          <w:p w14:paraId="43CDBF72" w14:textId="77777777" w:rsidR="000F0341" w:rsidRPr="00832E0E" w:rsidRDefault="000F0341" w:rsidP="00E40B0D">
            <w:pPr>
              <w:spacing w:line="240" w:lineRule="auto"/>
              <w:jc w:val="left"/>
              <w:rPr>
                <w:sz w:val="14"/>
                <w:szCs w:val="14"/>
              </w:rPr>
            </w:pPr>
            <w:r w:rsidRPr="00BF62A1">
              <w:rPr>
                <w:sz w:val="14"/>
                <w:szCs w:val="14"/>
              </w:rPr>
              <w:t>High</w:t>
            </w:r>
          </w:p>
        </w:tc>
        <w:tc>
          <w:tcPr>
            <w:tcW w:w="782" w:type="pct"/>
            <w:tcBorders>
              <w:left w:val="single" w:sz="4" w:space="0" w:color="auto"/>
              <w:bottom w:val="single" w:sz="8" w:space="0" w:color="auto"/>
              <w:right w:val="single" w:sz="4" w:space="0" w:color="auto"/>
            </w:tcBorders>
          </w:tcPr>
          <w:p w14:paraId="473658FF" w14:textId="77777777" w:rsidR="000F0341" w:rsidRPr="00832E0E" w:rsidRDefault="000F0341" w:rsidP="00E40B0D">
            <w:pPr>
              <w:spacing w:line="240" w:lineRule="auto"/>
              <w:jc w:val="left"/>
              <w:rPr>
                <w:sz w:val="14"/>
                <w:szCs w:val="14"/>
              </w:rPr>
            </w:pPr>
            <w:r w:rsidRPr="00BF62A1">
              <w:rPr>
                <w:sz w:val="14"/>
                <w:szCs w:val="14"/>
              </w:rPr>
              <w:t>≥ 57</w:t>
            </w:r>
          </w:p>
        </w:tc>
        <w:tc>
          <w:tcPr>
            <w:tcW w:w="739" w:type="pct"/>
            <w:tcBorders>
              <w:left w:val="single" w:sz="4" w:space="0" w:color="auto"/>
              <w:bottom w:val="single" w:sz="8" w:space="0" w:color="auto"/>
              <w:right w:val="single" w:sz="4" w:space="0" w:color="auto"/>
            </w:tcBorders>
          </w:tcPr>
          <w:p w14:paraId="0B010DA6" w14:textId="77777777" w:rsidR="000F0341" w:rsidRPr="00832E0E" w:rsidRDefault="000F0341" w:rsidP="00E40B0D">
            <w:pPr>
              <w:spacing w:line="240" w:lineRule="auto"/>
              <w:jc w:val="left"/>
              <w:rPr>
                <w:sz w:val="14"/>
                <w:szCs w:val="14"/>
              </w:rPr>
            </w:pPr>
            <w:r w:rsidRPr="00BF62A1">
              <w:rPr>
                <w:sz w:val="14"/>
                <w:szCs w:val="14"/>
              </w:rPr>
              <w:t>1744</w:t>
            </w:r>
          </w:p>
        </w:tc>
        <w:tc>
          <w:tcPr>
            <w:tcW w:w="980" w:type="pct"/>
            <w:vMerge/>
            <w:tcBorders>
              <w:left w:val="single" w:sz="4" w:space="0" w:color="auto"/>
              <w:bottom w:val="single" w:sz="8" w:space="0" w:color="auto"/>
              <w:right w:val="single" w:sz="4" w:space="0" w:color="auto"/>
            </w:tcBorders>
          </w:tcPr>
          <w:p w14:paraId="42755912" w14:textId="77777777" w:rsidR="000F0341" w:rsidRPr="00832E0E" w:rsidRDefault="000F0341" w:rsidP="00E40B0D">
            <w:pPr>
              <w:spacing w:line="240" w:lineRule="auto"/>
              <w:jc w:val="left"/>
              <w:rPr>
                <w:sz w:val="14"/>
                <w:szCs w:val="14"/>
              </w:rPr>
            </w:pPr>
          </w:p>
        </w:tc>
      </w:tr>
      <w:tr w:rsidR="000F0341" w:rsidRPr="00832E0E" w14:paraId="2A62904E" w14:textId="77777777" w:rsidTr="00E40B0D">
        <w:trPr>
          <w:trHeight w:val="20"/>
        </w:trPr>
        <w:tc>
          <w:tcPr>
            <w:tcW w:w="782" w:type="pct"/>
            <w:vMerge w:val="restart"/>
            <w:tcBorders>
              <w:top w:val="single" w:sz="8" w:space="0" w:color="auto"/>
              <w:left w:val="single" w:sz="4" w:space="0" w:color="auto"/>
              <w:right w:val="single" w:sz="4" w:space="0" w:color="auto"/>
            </w:tcBorders>
          </w:tcPr>
          <w:p w14:paraId="73F153F9" w14:textId="77777777" w:rsidR="000F0341" w:rsidRPr="00832E0E" w:rsidRDefault="000F0341" w:rsidP="00E40B0D">
            <w:pPr>
              <w:spacing w:line="240" w:lineRule="auto"/>
              <w:jc w:val="left"/>
              <w:rPr>
                <w:color w:val="000000"/>
                <w:sz w:val="14"/>
                <w:szCs w:val="14"/>
              </w:rPr>
            </w:pPr>
            <w:r w:rsidRPr="00BF62A1">
              <w:rPr>
                <w:sz w:val="14"/>
                <w:szCs w:val="14"/>
              </w:rPr>
              <w:t xml:space="preserve">Yasunaga 2012 </w:t>
            </w:r>
            <w:r w:rsidRPr="00832E0E">
              <w:rPr>
                <w:sz w:val="14"/>
                <w:szCs w:val="14"/>
              </w:rPr>
              <w:fldChar w:fldCharType="begin"/>
            </w:r>
            <w:r>
              <w:rPr>
                <w:sz w:val="14"/>
                <w:szCs w:val="14"/>
              </w:rPr>
              <w:instrText xml:space="preserve"> ADDIN ZOTERO_ITEM CSL_CITATION {"citationID":"ZAcpybbj","properties":{"formattedCitation":"[58]","plainCitation":"[58]","noteIndex":0},"citationItems":[{"id":14144,"uris":["http://zotero.org/groups/4983919/items/H44TK5R6"],"itemData":{"id":14144,"type":"article-journal","abstract":"AIM: The present study aimed to conduct a nationwide investigation on the relationship between hospital volume and outcomes following liver resection in Japan. We also discuss health policy implications of the results. METHODS: Using the Japanese Diagnosis Procedure Combination database, we identified 18 046 patients who underwent hepatic resection between July and December 2007-2009. Patients were subdivided into hospital-volume quartiles: very low- (&lt;18/year), low- (18-35), high- (36-70) and very high-volume groups (&gt;70). Multivariate logistic regression analysis for in-hospital mortality within 30 days of surgery was performed to analyze adjusted effects of various factors. RESULTS: Patients in the very high-volume group had a higher Charlson Comorbidity Index (P &lt; 0.001) than those in the very low-volume group. Very low-volume hospitals were significantly less likely to perform extended lobectomy than very high-volume hospitals (5.4% vs 17.6%, P &lt; 0.001). Crude in-hospital mortality within 30 days of surgery was 1.1% (0.6%, 0.8%, 1.9% and 3.0% for limited resection, segmentectomy, lobectomy and extended lobectomy, respectively). With reference to the very low-volume group, risk-adjusted odds ratios (95% confidence intervals) of low-, high- and very high-volume groups for overall mortality were 0.70 (0.48-1.02; P = 0.060), 0.52 (0.34-0.81; P = 0.004) and 0.16 (0.09-0.30; P &lt; 0.001), respectively. CONCLUSION: There is a linear trend between higher hospital volume and lower in-hospital mortality of liver resection in Japan, particularly for lobectomy and extended lobectomy. Based on these results, regionalization of lobectomy and extended lobectomy in high-volume centers could be effective for reducing postoperative mortality.","container-title":"Hepatol Res","DOI":"10.1111/j.1872-034X.2012.01022.x","ISSN":"1386-6346","issue":"11","language":"eng","note":"publisher-place: Departments of Health Management and Policy Medical Informatics and Economics Department of Surgery, Hepato-Biliary-Pancreatic Surgery Division, Artificial Organ and Transplantation Division, Graduate School of Medicine Department of Health Economics and Epidemiology Research, School of Public Health, The University of Tokyo Department of Health Policy and Informatics, Tokyo Medical and Dental University Graduate School of Medicine, Tokyo Department of Preventive Medicine and Community Health, University of Occupational and Environmental Health, Fukuoka, Japan.","page":"1073-80","title":"Relationship between hospital volume and operative mortality for liver resection: Data from the Japanese Diagnosis Procedure Combination database","volume":"42","author":[{"family":"Yasunaga","given":"H."},{"family":"Horiguchi","given":"H."},{"family":"Matsuda","given":"S."},{"family":"Fushimi","given":"K."},{"family":"Hashimoto","given":"H."},{"family":"Ohe","given":"K."},{"family":"Kokudo","given":"N."}],"issued":{"date-parts":[["2012",11]]}}}],"schema":"https://github.com/citation-style-language/schema/raw/master/csl-citation.json"} </w:instrText>
            </w:r>
            <w:r w:rsidRPr="00832E0E">
              <w:rPr>
                <w:sz w:val="14"/>
                <w:szCs w:val="14"/>
              </w:rPr>
              <w:fldChar w:fldCharType="separate"/>
            </w:r>
            <w:r w:rsidRPr="004125CE">
              <w:rPr>
                <w:sz w:val="14"/>
              </w:rPr>
              <w:t>[58]</w:t>
            </w:r>
            <w:r w:rsidRPr="00832E0E">
              <w:rPr>
                <w:sz w:val="14"/>
                <w:szCs w:val="14"/>
              </w:rPr>
              <w:fldChar w:fldCharType="end"/>
            </w:r>
          </w:p>
        </w:tc>
        <w:tc>
          <w:tcPr>
            <w:tcW w:w="468" w:type="pct"/>
            <w:vMerge w:val="restart"/>
            <w:tcBorders>
              <w:top w:val="single" w:sz="8" w:space="0" w:color="auto"/>
              <w:left w:val="single" w:sz="4" w:space="0" w:color="auto"/>
              <w:right w:val="single" w:sz="4" w:space="0" w:color="auto"/>
            </w:tcBorders>
          </w:tcPr>
          <w:p w14:paraId="0C2F5CC3" w14:textId="77777777" w:rsidR="000F0341" w:rsidRPr="00832E0E" w:rsidRDefault="000F0341" w:rsidP="00E40B0D">
            <w:pPr>
              <w:spacing w:line="240" w:lineRule="auto"/>
              <w:jc w:val="left"/>
              <w:rPr>
                <w:sz w:val="14"/>
                <w:szCs w:val="14"/>
              </w:rPr>
            </w:pPr>
            <w:r w:rsidRPr="00BF62A1">
              <w:rPr>
                <w:sz w:val="14"/>
                <w:szCs w:val="14"/>
              </w:rPr>
              <w:t>18046</w:t>
            </w:r>
          </w:p>
        </w:tc>
        <w:tc>
          <w:tcPr>
            <w:tcW w:w="626" w:type="pct"/>
            <w:vMerge w:val="restart"/>
            <w:tcBorders>
              <w:top w:val="single" w:sz="8" w:space="0" w:color="auto"/>
              <w:left w:val="single" w:sz="4" w:space="0" w:color="auto"/>
              <w:right w:val="single" w:sz="4" w:space="0" w:color="auto"/>
            </w:tcBorders>
          </w:tcPr>
          <w:p w14:paraId="10066E7F" w14:textId="77777777" w:rsidR="000F0341" w:rsidRPr="00832E0E" w:rsidRDefault="000F0341" w:rsidP="00E40B0D">
            <w:pPr>
              <w:spacing w:line="240" w:lineRule="auto"/>
              <w:jc w:val="left"/>
              <w:rPr>
                <w:sz w:val="14"/>
                <w:szCs w:val="14"/>
              </w:rPr>
            </w:pPr>
            <w:r w:rsidRPr="00BF62A1">
              <w:rPr>
                <w:sz w:val="14"/>
                <w:szCs w:val="14"/>
              </w:rPr>
              <w:t>-</w:t>
            </w:r>
          </w:p>
        </w:tc>
        <w:tc>
          <w:tcPr>
            <w:tcW w:w="624" w:type="pct"/>
            <w:tcBorders>
              <w:top w:val="single" w:sz="8" w:space="0" w:color="auto"/>
              <w:left w:val="single" w:sz="4" w:space="0" w:color="auto"/>
              <w:bottom w:val="single" w:sz="4" w:space="0" w:color="auto"/>
              <w:right w:val="single" w:sz="4" w:space="0" w:color="auto"/>
            </w:tcBorders>
          </w:tcPr>
          <w:p w14:paraId="61C9C6D1" w14:textId="77777777" w:rsidR="000F0341" w:rsidRPr="00832E0E" w:rsidRDefault="000F0341" w:rsidP="00E40B0D">
            <w:pPr>
              <w:spacing w:line="240" w:lineRule="auto"/>
              <w:jc w:val="left"/>
              <w:rPr>
                <w:sz w:val="14"/>
                <w:szCs w:val="14"/>
              </w:rPr>
            </w:pPr>
            <w:r w:rsidRPr="00BF62A1">
              <w:rPr>
                <w:sz w:val="14"/>
                <w:szCs w:val="14"/>
              </w:rPr>
              <w:t>Very low</w:t>
            </w:r>
          </w:p>
        </w:tc>
        <w:tc>
          <w:tcPr>
            <w:tcW w:w="782" w:type="pct"/>
            <w:tcBorders>
              <w:top w:val="single" w:sz="8" w:space="0" w:color="auto"/>
              <w:left w:val="single" w:sz="4" w:space="0" w:color="auto"/>
              <w:right w:val="single" w:sz="4" w:space="0" w:color="auto"/>
            </w:tcBorders>
          </w:tcPr>
          <w:p w14:paraId="14DD211C" w14:textId="77777777" w:rsidR="000F0341" w:rsidRPr="00832E0E" w:rsidRDefault="000F0341" w:rsidP="00E40B0D">
            <w:pPr>
              <w:spacing w:line="240" w:lineRule="auto"/>
              <w:jc w:val="left"/>
              <w:rPr>
                <w:sz w:val="14"/>
                <w:szCs w:val="14"/>
              </w:rPr>
            </w:pPr>
            <w:r w:rsidRPr="00BF62A1">
              <w:rPr>
                <w:sz w:val="14"/>
                <w:szCs w:val="14"/>
              </w:rPr>
              <w:t>&lt;18</w:t>
            </w:r>
          </w:p>
        </w:tc>
        <w:tc>
          <w:tcPr>
            <w:tcW w:w="739" w:type="pct"/>
            <w:tcBorders>
              <w:top w:val="single" w:sz="8" w:space="0" w:color="auto"/>
              <w:left w:val="single" w:sz="4" w:space="0" w:color="auto"/>
              <w:right w:val="single" w:sz="4" w:space="0" w:color="auto"/>
            </w:tcBorders>
          </w:tcPr>
          <w:p w14:paraId="024BF935" w14:textId="77777777" w:rsidR="000F0341" w:rsidRPr="00832E0E" w:rsidRDefault="000F0341" w:rsidP="00E40B0D">
            <w:pPr>
              <w:spacing w:line="240" w:lineRule="auto"/>
              <w:jc w:val="left"/>
              <w:rPr>
                <w:sz w:val="14"/>
                <w:szCs w:val="14"/>
              </w:rPr>
            </w:pPr>
            <w:r w:rsidRPr="00BF62A1">
              <w:rPr>
                <w:sz w:val="14"/>
                <w:szCs w:val="14"/>
              </w:rPr>
              <w:t>4674</w:t>
            </w:r>
          </w:p>
        </w:tc>
        <w:tc>
          <w:tcPr>
            <w:tcW w:w="980" w:type="pct"/>
            <w:tcBorders>
              <w:top w:val="single" w:sz="8" w:space="0" w:color="auto"/>
              <w:left w:val="single" w:sz="4" w:space="0" w:color="auto"/>
              <w:right w:val="single" w:sz="4" w:space="0" w:color="auto"/>
            </w:tcBorders>
          </w:tcPr>
          <w:p w14:paraId="37A4050D" w14:textId="77777777" w:rsidR="000F0341" w:rsidRPr="00832E0E" w:rsidRDefault="000F0341" w:rsidP="00E40B0D">
            <w:pPr>
              <w:spacing w:line="240" w:lineRule="auto"/>
              <w:jc w:val="left"/>
              <w:rPr>
                <w:sz w:val="14"/>
                <w:szCs w:val="14"/>
              </w:rPr>
            </w:pPr>
            <w:r w:rsidRPr="00BF62A1">
              <w:rPr>
                <w:sz w:val="14"/>
                <w:szCs w:val="14"/>
              </w:rPr>
              <w:t>596</w:t>
            </w:r>
          </w:p>
        </w:tc>
      </w:tr>
      <w:tr w:rsidR="000F0341" w:rsidRPr="00832E0E" w14:paraId="2DA2D92A" w14:textId="77777777" w:rsidTr="00E40B0D">
        <w:trPr>
          <w:trHeight w:val="20"/>
        </w:trPr>
        <w:tc>
          <w:tcPr>
            <w:tcW w:w="782" w:type="pct"/>
            <w:vMerge/>
            <w:tcBorders>
              <w:left w:val="single" w:sz="4" w:space="0" w:color="auto"/>
              <w:right w:val="single" w:sz="4" w:space="0" w:color="auto"/>
            </w:tcBorders>
          </w:tcPr>
          <w:p w14:paraId="2246BCE1" w14:textId="77777777" w:rsidR="000F0341" w:rsidRPr="00832E0E"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0EC8D497" w14:textId="77777777" w:rsidR="000F0341" w:rsidRPr="00832E0E"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499057F5" w14:textId="77777777" w:rsidR="000F0341" w:rsidRPr="00832E0E"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418B2733" w14:textId="77777777" w:rsidR="000F0341" w:rsidRPr="00832E0E" w:rsidRDefault="000F0341" w:rsidP="00E40B0D">
            <w:pPr>
              <w:spacing w:line="240" w:lineRule="auto"/>
              <w:jc w:val="left"/>
              <w:rPr>
                <w:sz w:val="14"/>
                <w:szCs w:val="14"/>
              </w:rPr>
            </w:pPr>
            <w:r w:rsidRPr="00BF62A1">
              <w:rPr>
                <w:sz w:val="14"/>
                <w:szCs w:val="14"/>
              </w:rPr>
              <w:t>Low</w:t>
            </w:r>
          </w:p>
        </w:tc>
        <w:tc>
          <w:tcPr>
            <w:tcW w:w="782" w:type="pct"/>
            <w:tcBorders>
              <w:left w:val="single" w:sz="4" w:space="0" w:color="auto"/>
              <w:right w:val="single" w:sz="4" w:space="0" w:color="auto"/>
            </w:tcBorders>
          </w:tcPr>
          <w:p w14:paraId="126B9729" w14:textId="77777777" w:rsidR="000F0341" w:rsidRPr="00832E0E" w:rsidRDefault="000F0341" w:rsidP="00E40B0D">
            <w:pPr>
              <w:spacing w:line="240" w:lineRule="auto"/>
              <w:jc w:val="left"/>
              <w:rPr>
                <w:sz w:val="14"/>
                <w:szCs w:val="14"/>
              </w:rPr>
            </w:pPr>
            <w:r w:rsidRPr="00BF62A1">
              <w:rPr>
                <w:sz w:val="14"/>
                <w:szCs w:val="14"/>
              </w:rPr>
              <w:t>18-35</w:t>
            </w:r>
          </w:p>
        </w:tc>
        <w:tc>
          <w:tcPr>
            <w:tcW w:w="739" w:type="pct"/>
            <w:tcBorders>
              <w:left w:val="single" w:sz="4" w:space="0" w:color="auto"/>
              <w:right w:val="single" w:sz="4" w:space="0" w:color="auto"/>
            </w:tcBorders>
          </w:tcPr>
          <w:p w14:paraId="4492CC3F" w14:textId="77777777" w:rsidR="000F0341" w:rsidRPr="00832E0E" w:rsidRDefault="000F0341" w:rsidP="00E40B0D">
            <w:pPr>
              <w:spacing w:line="240" w:lineRule="auto"/>
              <w:jc w:val="left"/>
              <w:rPr>
                <w:sz w:val="14"/>
                <w:szCs w:val="14"/>
              </w:rPr>
            </w:pPr>
            <w:r w:rsidRPr="00BF62A1">
              <w:rPr>
                <w:sz w:val="14"/>
                <w:szCs w:val="14"/>
              </w:rPr>
              <w:t>4396</w:t>
            </w:r>
          </w:p>
        </w:tc>
        <w:tc>
          <w:tcPr>
            <w:tcW w:w="980" w:type="pct"/>
            <w:tcBorders>
              <w:left w:val="single" w:sz="4" w:space="0" w:color="auto"/>
              <w:right w:val="single" w:sz="4" w:space="0" w:color="auto"/>
            </w:tcBorders>
          </w:tcPr>
          <w:p w14:paraId="4EB26A3F" w14:textId="77777777" w:rsidR="000F0341" w:rsidRPr="00832E0E" w:rsidRDefault="000F0341" w:rsidP="00E40B0D">
            <w:pPr>
              <w:spacing w:line="240" w:lineRule="auto"/>
              <w:jc w:val="left"/>
              <w:rPr>
                <w:sz w:val="14"/>
                <w:szCs w:val="14"/>
              </w:rPr>
            </w:pPr>
            <w:r w:rsidRPr="00BF62A1">
              <w:rPr>
                <w:sz w:val="14"/>
                <w:szCs w:val="14"/>
              </w:rPr>
              <w:t>149</w:t>
            </w:r>
          </w:p>
        </w:tc>
      </w:tr>
      <w:tr w:rsidR="000F0341" w:rsidRPr="00832E0E" w14:paraId="3B883404" w14:textId="77777777" w:rsidTr="00E40B0D">
        <w:trPr>
          <w:trHeight w:val="20"/>
        </w:trPr>
        <w:tc>
          <w:tcPr>
            <w:tcW w:w="782" w:type="pct"/>
            <w:vMerge/>
            <w:tcBorders>
              <w:left w:val="single" w:sz="4" w:space="0" w:color="auto"/>
              <w:right w:val="single" w:sz="4" w:space="0" w:color="auto"/>
            </w:tcBorders>
          </w:tcPr>
          <w:p w14:paraId="5B71F7C6" w14:textId="77777777" w:rsidR="000F0341" w:rsidRPr="00832E0E" w:rsidRDefault="000F0341" w:rsidP="00E40B0D">
            <w:pPr>
              <w:spacing w:line="240" w:lineRule="auto"/>
              <w:jc w:val="left"/>
              <w:rPr>
                <w:sz w:val="14"/>
                <w:szCs w:val="14"/>
              </w:rPr>
            </w:pPr>
          </w:p>
        </w:tc>
        <w:tc>
          <w:tcPr>
            <w:tcW w:w="468" w:type="pct"/>
            <w:vMerge/>
            <w:tcBorders>
              <w:left w:val="single" w:sz="4" w:space="0" w:color="auto"/>
              <w:right w:val="single" w:sz="4" w:space="0" w:color="auto"/>
            </w:tcBorders>
          </w:tcPr>
          <w:p w14:paraId="3E3B46C3" w14:textId="77777777" w:rsidR="000F0341" w:rsidRPr="00832E0E"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03168CE5" w14:textId="77777777" w:rsidR="000F0341" w:rsidRPr="00832E0E"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1327EFCE" w14:textId="77777777" w:rsidR="000F0341" w:rsidRPr="00832E0E" w:rsidRDefault="000F0341" w:rsidP="00E40B0D">
            <w:pPr>
              <w:spacing w:line="240" w:lineRule="auto"/>
              <w:jc w:val="left"/>
              <w:rPr>
                <w:sz w:val="14"/>
                <w:szCs w:val="14"/>
              </w:rPr>
            </w:pPr>
            <w:r w:rsidRPr="00BF62A1">
              <w:rPr>
                <w:sz w:val="14"/>
                <w:szCs w:val="14"/>
              </w:rPr>
              <w:t>High</w:t>
            </w:r>
          </w:p>
        </w:tc>
        <w:tc>
          <w:tcPr>
            <w:tcW w:w="782" w:type="pct"/>
            <w:tcBorders>
              <w:left w:val="single" w:sz="4" w:space="0" w:color="auto"/>
              <w:right w:val="single" w:sz="4" w:space="0" w:color="auto"/>
            </w:tcBorders>
          </w:tcPr>
          <w:p w14:paraId="7E2777AB" w14:textId="77777777" w:rsidR="000F0341" w:rsidRPr="00832E0E" w:rsidRDefault="000F0341" w:rsidP="00E40B0D">
            <w:pPr>
              <w:spacing w:line="240" w:lineRule="auto"/>
              <w:jc w:val="left"/>
              <w:rPr>
                <w:sz w:val="14"/>
                <w:szCs w:val="14"/>
              </w:rPr>
            </w:pPr>
            <w:r w:rsidRPr="00BF62A1">
              <w:rPr>
                <w:sz w:val="14"/>
                <w:szCs w:val="14"/>
              </w:rPr>
              <w:t>36-70</w:t>
            </w:r>
          </w:p>
        </w:tc>
        <w:tc>
          <w:tcPr>
            <w:tcW w:w="739" w:type="pct"/>
            <w:tcBorders>
              <w:left w:val="single" w:sz="4" w:space="0" w:color="auto"/>
              <w:right w:val="single" w:sz="4" w:space="0" w:color="auto"/>
            </w:tcBorders>
          </w:tcPr>
          <w:p w14:paraId="4B26D70D" w14:textId="77777777" w:rsidR="000F0341" w:rsidRPr="00832E0E" w:rsidRDefault="000F0341" w:rsidP="00E40B0D">
            <w:pPr>
              <w:spacing w:line="240" w:lineRule="auto"/>
              <w:jc w:val="left"/>
              <w:rPr>
                <w:sz w:val="14"/>
                <w:szCs w:val="14"/>
              </w:rPr>
            </w:pPr>
            <w:r w:rsidRPr="00BF62A1">
              <w:rPr>
                <w:sz w:val="14"/>
                <w:szCs w:val="14"/>
              </w:rPr>
              <w:t>4569</w:t>
            </w:r>
          </w:p>
        </w:tc>
        <w:tc>
          <w:tcPr>
            <w:tcW w:w="980" w:type="pct"/>
            <w:tcBorders>
              <w:left w:val="single" w:sz="4" w:space="0" w:color="auto"/>
              <w:right w:val="single" w:sz="4" w:space="0" w:color="auto"/>
            </w:tcBorders>
          </w:tcPr>
          <w:p w14:paraId="2C14F859" w14:textId="77777777" w:rsidR="000F0341" w:rsidRPr="00832E0E" w:rsidRDefault="000F0341" w:rsidP="00E40B0D">
            <w:pPr>
              <w:spacing w:line="240" w:lineRule="auto"/>
              <w:jc w:val="left"/>
              <w:rPr>
                <w:sz w:val="14"/>
                <w:szCs w:val="14"/>
              </w:rPr>
            </w:pPr>
            <w:r w:rsidRPr="00BF62A1">
              <w:rPr>
                <w:sz w:val="14"/>
                <w:szCs w:val="14"/>
              </w:rPr>
              <w:t>74</w:t>
            </w:r>
          </w:p>
        </w:tc>
      </w:tr>
      <w:tr w:rsidR="000F0341" w:rsidRPr="00832E0E" w14:paraId="2D53D08F" w14:textId="77777777" w:rsidTr="00E40B0D">
        <w:trPr>
          <w:trHeight w:val="20"/>
        </w:trPr>
        <w:tc>
          <w:tcPr>
            <w:tcW w:w="782" w:type="pct"/>
            <w:vMerge/>
            <w:tcBorders>
              <w:left w:val="single" w:sz="4" w:space="0" w:color="auto"/>
              <w:bottom w:val="single" w:sz="8" w:space="0" w:color="auto"/>
              <w:right w:val="single" w:sz="4" w:space="0" w:color="auto"/>
            </w:tcBorders>
          </w:tcPr>
          <w:p w14:paraId="73405471" w14:textId="77777777" w:rsidR="000F0341" w:rsidRPr="00832E0E" w:rsidRDefault="000F0341" w:rsidP="00E40B0D">
            <w:pPr>
              <w:spacing w:line="240" w:lineRule="auto"/>
              <w:jc w:val="left"/>
              <w:rPr>
                <w:sz w:val="14"/>
                <w:szCs w:val="14"/>
              </w:rPr>
            </w:pPr>
          </w:p>
        </w:tc>
        <w:tc>
          <w:tcPr>
            <w:tcW w:w="468" w:type="pct"/>
            <w:vMerge/>
            <w:tcBorders>
              <w:left w:val="single" w:sz="4" w:space="0" w:color="auto"/>
              <w:bottom w:val="single" w:sz="8" w:space="0" w:color="auto"/>
              <w:right w:val="single" w:sz="4" w:space="0" w:color="auto"/>
            </w:tcBorders>
          </w:tcPr>
          <w:p w14:paraId="05F46ED6" w14:textId="77777777" w:rsidR="000F0341" w:rsidRPr="00832E0E" w:rsidRDefault="000F0341" w:rsidP="00E40B0D">
            <w:pPr>
              <w:spacing w:line="240" w:lineRule="auto"/>
              <w:jc w:val="left"/>
              <w:rPr>
                <w:sz w:val="14"/>
                <w:szCs w:val="14"/>
              </w:rPr>
            </w:pPr>
          </w:p>
        </w:tc>
        <w:tc>
          <w:tcPr>
            <w:tcW w:w="626" w:type="pct"/>
            <w:vMerge/>
            <w:tcBorders>
              <w:left w:val="single" w:sz="4" w:space="0" w:color="auto"/>
              <w:bottom w:val="single" w:sz="8" w:space="0" w:color="auto"/>
              <w:right w:val="single" w:sz="4" w:space="0" w:color="auto"/>
            </w:tcBorders>
          </w:tcPr>
          <w:p w14:paraId="0D4CBDEB" w14:textId="77777777" w:rsidR="000F0341" w:rsidRPr="00832E0E" w:rsidRDefault="000F0341" w:rsidP="00E40B0D">
            <w:pPr>
              <w:spacing w:line="240" w:lineRule="auto"/>
              <w:jc w:val="left"/>
              <w:rPr>
                <w:sz w:val="14"/>
                <w:szCs w:val="14"/>
              </w:rPr>
            </w:pPr>
          </w:p>
        </w:tc>
        <w:tc>
          <w:tcPr>
            <w:tcW w:w="624" w:type="pct"/>
            <w:tcBorders>
              <w:top w:val="single" w:sz="4" w:space="0" w:color="auto"/>
              <w:left w:val="single" w:sz="4" w:space="0" w:color="auto"/>
              <w:bottom w:val="single" w:sz="8" w:space="0" w:color="auto"/>
              <w:right w:val="single" w:sz="4" w:space="0" w:color="auto"/>
            </w:tcBorders>
          </w:tcPr>
          <w:p w14:paraId="541EA05C" w14:textId="77777777" w:rsidR="000F0341" w:rsidRPr="00832E0E" w:rsidRDefault="000F0341" w:rsidP="00E40B0D">
            <w:pPr>
              <w:spacing w:line="240" w:lineRule="auto"/>
              <w:jc w:val="left"/>
              <w:rPr>
                <w:sz w:val="14"/>
                <w:szCs w:val="14"/>
              </w:rPr>
            </w:pPr>
            <w:r w:rsidRPr="00BF62A1">
              <w:rPr>
                <w:sz w:val="14"/>
                <w:szCs w:val="14"/>
              </w:rPr>
              <w:t>Very high</w:t>
            </w:r>
          </w:p>
        </w:tc>
        <w:tc>
          <w:tcPr>
            <w:tcW w:w="782" w:type="pct"/>
            <w:tcBorders>
              <w:left w:val="single" w:sz="4" w:space="0" w:color="auto"/>
              <w:bottom w:val="single" w:sz="8" w:space="0" w:color="auto"/>
              <w:right w:val="single" w:sz="4" w:space="0" w:color="auto"/>
            </w:tcBorders>
          </w:tcPr>
          <w:p w14:paraId="35FAC7E8" w14:textId="77777777" w:rsidR="000F0341" w:rsidRPr="00832E0E" w:rsidRDefault="000F0341" w:rsidP="00E40B0D">
            <w:pPr>
              <w:spacing w:line="240" w:lineRule="auto"/>
              <w:jc w:val="left"/>
              <w:rPr>
                <w:sz w:val="14"/>
                <w:szCs w:val="14"/>
              </w:rPr>
            </w:pPr>
            <w:r w:rsidRPr="00BF62A1">
              <w:rPr>
                <w:sz w:val="14"/>
                <w:szCs w:val="14"/>
              </w:rPr>
              <w:t>&gt;70</w:t>
            </w:r>
          </w:p>
        </w:tc>
        <w:tc>
          <w:tcPr>
            <w:tcW w:w="739" w:type="pct"/>
            <w:tcBorders>
              <w:left w:val="single" w:sz="4" w:space="0" w:color="auto"/>
              <w:bottom w:val="single" w:sz="8" w:space="0" w:color="auto"/>
              <w:right w:val="single" w:sz="4" w:space="0" w:color="auto"/>
            </w:tcBorders>
          </w:tcPr>
          <w:p w14:paraId="70D3EAFE" w14:textId="77777777" w:rsidR="000F0341" w:rsidRPr="00832E0E" w:rsidRDefault="000F0341" w:rsidP="00E40B0D">
            <w:pPr>
              <w:spacing w:line="240" w:lineRule="auto"/>
              <w:jc w:val="left"/>
              <w:rPr>
                <w:sz w:val="14"/>
                <w:szCs w:val="14"/>
              </w:rPr>
            </w:pPr>
            <w:r w:rsidRPr="00BF62A1">
              <w:rPr>
                <w:sz w:val="14"/>
                <w:szCs w:val="14"/>
              </w:rPr>
              <w:t>4407</w:t>
            </w:r>
          </w:p>
        </w:tc>
        <w:tc>
          <w:tcPr>
            <w:tcW w:w="980" w:type="pct"/>
            <w:tcBorders>
              <w:left w:val="single" w:sz="4" w:space="0" w:color="auto"/>
              <w:bottom w:val="single" w:sz="8" w:space="0" w:color="auto"/>
              <w:right w:val="single" w:sz="4" w:space="0" w:color="auto"/>
            </w:tcBorders>
          </w:tcPr>
          <w:p w14:paraId="0CEAF8B4" w14:textId="77777777" w:rsidR="000F0341" w:rsidRPr="00832E0E" w:rsidRDefault="000F0341" w:rsidP="00E40B0D">
            <w:pPr>
              <w:spacing w:line="240" w:lineRule="auto"/>
              <w:jc w:val="left"/>
              <w:rPr>
                <w:sz w:val="14"/>
                <w:szCs w:val="14"/>
              </w:rPr>
            </w:pPr>
            <w:r w:rsidRPr="00BF62A1">
              <w:rPr>
                <w:sz w:val="14"/>
                <w:szCs w:val="14"/>
              </w:rPr>
              <w:t>36</w:t>
            </w:r>
          </w:p>
        </w:tc>
      </w:tr>
      <w:tr w:rsidR="000F0341" w:rsidRPr="00832E0E" w14:paraId="499EEC81" w14:textId="77777777" w:rsidTr="00E40B0D">
        <w:trPr>
          <w:trHeight w:val="20"/>
        </w:trPr>
        <w:tc>
          <w:tcPr>
            <w:tcW w:w="782" w:type="pct"/>
            <w:vMerge w:val="restart"/>
            <w:tcBorders>
              <w:top w:val="single" w:sz="8" w:space="0" w:color="auto"/>
              <w:left w:val="single" w:sz="4" w:space="0" w:color="auto"/>
              <w:right w:val="single" w:sz="4" w:space="0" w:color="auto"/>
            </w:tcBorders>
          </w:tcPr>
          <w:p w14:paraId="0374B626" w14:textId="77777777" w:rsidR="000F0341" w:rsidRPr="00832E0E" w:rsidRDefault="000F0341" w:rsidP="00E40B0D">
            <w:pPr>
              <w:spacing w:line="240" w:lineRule="auto"/>
              <w:jc w:val="left"/>
              <w:rPr>
                <w:color w:val="000000"/>
                <w:sz w:val="14"/>
                <w:szCs w:val="14"/>
              </w:rPr>
            </w:pPr>
            <w:r w:rsidRPr="00BF62A1">
              <w:rPr>
                <w:color w:val="000000"/>
                <w:sz w:val="14"/>
                <w:szCs w:val="14"/>
              </w:rPr>
              <w:t>Siegel 2021</w:t>
            </w:r>
            <w:r w:rsidRPr="00832E0E">
              <w:rPr>
                <w:color w:val="000000"/>
                <w:sz w:val="14"/>
                <w:szCs w:val="14"/>
                <w:vertAlign w:val="superscript"/>
              </w:rPr>
              <w:t xml:space="preserve">2 </w:t>
            </w:r>
            <w:r w:rsidRPr="00832E0E">
              <w:rPr>
                <w:color w:val="000000"/>
                <w:sz w:val="14"/>
                <w:szCs w:val="14"/>
                <w:vertAlign w:val="superscript"/>
              </w:rPr>
              <w:fldChar w:fldCharType="begin"/>
            </w:r>
            <w:r>
              <w:rPr>
                <w:color w:val="000000"/>
                <w:sz w:val="14"/>
                <w:szCs w:val="14"/>
                <w:vertAlign w:val="superscript"/>
              </w:rPr>
              <w:instrText xml:space="preserve"> ADDIN ZOTERO_ITEM CSL_CITATION {"citationID":"o9jzlpV5","properties":{"formattedCitation":"[68]","plainCitation":"[68]","noteIndex":0},"citationItems":[{"id":14337,"uris":["http://zotero.org/groups/4983919/items/ALX4CSRJ"],"itemData":{"id":14337,"type":"article-journal","abstract":"BACKGROUND: Our objective was to assess the relationship between overall survival (OS) and distance travelled to the treating facility for patients undergoing liver resection for hepatocellular carcinoma and to determine whether this relationship was dependent upon the structural factors of the treating facility. METHODS: Using National Cancer Database, we focused on extremes of travel: Local (&lt;12.5 miles to treating facility) and Travel (≥50 miles). We analyzed OS with Cox models; we estimated stratified models to assess interaction between distance and facility characteristics (volume, academic status). RESULTS: We included 6860 patients. After correction for confounding, distance travelled was not associated with OS (p = 0.444). However, Travel patients treated at high-volume, academic centers had worse OS compared to Local patients (HR 1.54, 95%CI 1.07-2.21); this association was not seen for patients treated at low volume, academic centers (p = 0.708) high volume non-academic centers (p = 0.174) or low volume non-academic centers (p = 515). CONCLUSION: For those patients treated at high-volume, academic centers, living far from the facility was associated with worse OS. The reasons for this association should be investigated further.","container-title":"Am J Surg","DOI":"10.1016/j.amjsurg.2020.12.052","ISSN":"0002-9610","issue":"3","language":"eng","page":"584-593","title":"Travel distance and overall survival in hepatocellular cancer care","volume":"222","author":[{"family":"Siegel","given":"J. B."},{"family":"Allen","given":"S."},{"family":"Engelhardt","given":"K. E."},{"family":"Morgan","given":"K. A."},{"family":"Lancaster","given":"W. P."}],"issued":{"date-parts":[["2021",9]]}}}],"schema":"https://github.com/citation-style-language/schema/raw/master/csl-citation.json"} </w:instrText>
            </w:r>
            <w:r w:rsidRPr="00832E0E">
              <w:rPr>
                <w:color w:val="000000"/>
                <w:sz w:val="14"/>
                <w:szCs w:val="14"/>
                <w:vertAlign w:val="superscript"/>
              </w:rPr>
              <w:fldChar w:fldCharType="separate"/>
            </w:r>
            <w:r w:rsidRPr="004125CE">
              <w:rPr>
                <w:sz w:val="14"/>
              </w:rPr>
              <w:t>[68]</w:t>
            </w:r>
            <w:r w:rsidRPr="00832E0E">
              <w:rPr>
                <w:color w:val="000000"/>
                <w:sz w:val="14"/>
                <w:szCs w:val="14"/>
                <w:vertAlign w:val="superscript"/>
              </w:rPr>
              <w:fldChar w:fldCharType="end"/>
            </w:r>
          </w:p>
        </w:tc>
        <w:tc>
          <w:tcPr>
            <w:tcW w:w="468" w:type="pct"/>
            <w:vMerge w:val="restart"/>
            <w:tcBorders>
              <w:top w:val="single" w:sz="8" w:space="0" w:color="auto"/>
              <w:left w:val="single" w:sz="4" w:space="0" w:color="auto"/>
              <w:right w:val="single" w:sz="4" w:space="0" w:color="auto"/>
            </w:tcBorders>
          </w:tcPr>
          <w:p w14:paraId="2F7C8C20" w14:textId="77777777" w:rsidR="000F0341" w:rsidRPr="00832E0E" w:rsidRDefault="000F0341" w:rsidP="00E40B0D">
            <w:pPr>
              <w:spacing w:line="240" w:lineRule="auto"/>
              <w:jc w:val="left"/>
              <w:rPr>
                <w:sz w:val="14"/>
                <w:szCs w:val="14"/>
              </w:rPr>
            </w:pPr>
            <w:r w:rsidRPr="00BF62A1">
              <w:rPr>
                <w:color w:val="000000" w:themeColor="text1"/>
                <w:sz w:val="14"/>
                <w:szCs w:val="14"/>
              </w:rPr>
              <w:t>4359</w:t>
            </w:r>
          </w:p>
        </w:tc>
        <w:tc>
          <w:tcPr>
            <w:tcW w:w="626" w:type="pct"/>
            <w:vMerge w:val="restart"/>
            <w:tcBorders>
              <w:top w:val="single" w:sz="8" w:space="0" w:color="auto"/>
              <w:left w:val="single" w:sz="4" w:space="0" w:color="auto"/>
              <w:right w:val="single" w:sz="4" w:space="0" w:color="auto"/>
            </w:tcBorders>
          </w:tcPr>
          <w:p w14:paraId="58186391" w14:textId="77777777" w:rsidR="000F0341" w:rsidRPr="00832E0E" w:rsidRDefault="000F0341" w:rsidP="00E40B0D">
            <w:pPr>
              <w:spacing w:line="240" w:lineRule="auto"/>
              <w:jc w:val="left"/>
              <w:rPr>
                <w:sz w:val="14"/>
                <w:szCs w:val="14"/>
              </w:rPr>
            </w:pPr>
            <w:r w:rsidRPr="00BF62A1">
              <w:rPr>
                <w:sz w:val="14"/>
                <w:szCs w:val="14"/>
              </w:rPr>
              <w:t>-</w:t>
            </w:r>
          </w:p>
        </w:tc>
        <w:tc>
          <w:tcPr>
            <w:tcW w:w="624" w:type="pct"/>
            <w:tcBorders>
              <w:top w:val="single" w:sz="8" w:space="0" w:color="auto"/>
              <w:left w:val="single" w:sz="4" w:space="0" w:color="auto"/>
              <w:bottom w:val="single" w:sz="4" w:space="0" w:color="auto"/>
              <w:right w:val="single" w:sz="4" w:space="0" w:color="auto"/>
            </w:tcBorders>
          </w:tcPr>
          <w:p w14:paraId="3AB09781" w14:textId="77777777" w:rsidR="000F0341" w:rsidRPr="00832E0E" w:rsidRDefault="000F0341" w:rsidP="00E40B0D">
            <w:pPr>
              <w:spacing w:line="240" w:lineRule="auto"/>
              <w:jc w:val="left"/>
              <w:rPr>
                <w:sz w:val="14"/>
                <w:szCs w:val="14"/>
              </w:rPr>
            </w:pPr>
            <w:r w:rsidRPr="00BF62A1">
              <w:rPr>
                <w:sz w:val="14"/>
                <w:szCs w:val="14"/>
              </w:rPr>
              <w:t>Low</w:t>
            </w:r>
          </w:p>
        </w:tc>
        <w:tc>
          <w:tcPr>
            <w:tcW w:w="782" w:type="pct"/>
            <w:tcBorders>
              <w:top w:val="single" w:sz="8" w:space="0" w:color="auto"/>
              <w:left w:val="single" w:sz="4" w:space="0" w:color="auto"/>
              <w:right w:val="single" w:sz="4" w:space="0" w:color="auto"/>
            </w:tcBorders>
          </w:tcPr>
          <w:p w14:paraId="23B103EF" w14:textId="77777777" w:rsidR="000F0341" w:rsidRPr="00832E0E" w:rsidRDefault="000F0341" w:rsidP="00E40B0D">
            <w:pPr>
              <w:spacing w:line="240" w:lineRule="auto"/>
              <w:jc w:val="left"/>
              <w:rPr>
                <w:color w:val="000000"/>
                <w:sz w:val="14"/>
                <w:szCs w:val="14"/>
              </w:rPr>
            </w:pPr>
            <w:r w:rsidRPr="00BF62A1">
              <w:rPr>
                <w:color w:val="000000"/>
                <w:sz w:val="14"/>
                <w:szCs w:val="14"/>
              </w:rPr>
              <w:t>&lt;153</w:t>
            </w:r>
          </w:p>
        </w:tc>
        <w:tc>
          <w:tcPr>
            <w:tcW w:w="739" w:type="pct"/>
            <w:vMerge w:val="restart"/>
            <w:tcBorders>
              <w:top w:val="single" w:sz="8" w:space="0" w:color="auto"/>
              <w:left w:val="single" w:sz="4" w:space="0" w:color="auto"/>
              <w:right w:val="single" w:sz="4" w:space="0" w:color="auto"/>
            </w:tcBorders>
          </w:tcPr>
          <w:p w14:paraId="58F0BA05" w14:textId="77777777" w:rsidR="000F0341" w:rsidRPr="00832E0E" w:rsidRDefault="000F0341" w:rsidP="00E40B0D">
            <w:pPr>
              <w:spacing w:line="240" w:lineRule="auto"/>
              <w:jc w:val="left"/>
              <w:rPr>
                <w:sz w:val="14"/>
                <w:szCs w:val="14"/>
              </w:rPr>
            </w:pPr>
            <w:r w:rsidRPr="00BF62A1">
              <w:rPr>
                <w:sz w:val="14"/>
                <w:szCs w:val="14"/>
              </w:rPr>
              <w:t>-</w:t>
            </w:r>
          </w:p>
        </w:tc>
        <w:tc>
          <w:tcPr>
            <w:tcW w:w="980" w:type="pct"/>
            <w:vMerge w:val="restart"/>
            <w:tcBorders>
              <w:top w:val="single" w:sz="8" w:space="0" w:color="auto"/>
              <w:left w:val="single" w:sz="4" w:space="0" w:color="auto"/>
              <w:right w:val="single" w:sz="4" w:space="0" w:color="auto"/>
            </w:tcBorders>
          </w:tcPr>
          <w:p w14:paraId="261D359F" w14:textId="77777777" w:rsidR="000F0341" w:rsidRPr="00832E0E" w:rsidRDefault="000F0341" w:rsidP="00E40B0D">
            <w:pPr>
              <w:spacing w:line="240" w:lineRule="auto"/>
              <w:jc w:val="left"/>
              <w:rPr>
                <w:sz w:val="14"/>
                <w:szCs w:val="14"/>
              </w:rPr>
            </w:pPr>
            <w:r w:rsidRPr="00BF62A1">
              <w:rPr>
                <w:sz w:val="14"/>
                <w:szCs w:val="14"/>
              </w:rPr>
              <w:t>-</w:t>
            </w:r>
          </w:p>
        </w:tc>
      </w:tr>
      <w:tr w:rsidR="000F0341" w:rsidRPr="00832E0E" w14:paraId="16050B6B" w14:textId="77777777" w:rsidTr="00E40B0D">
        <w:trPr>
          <w:trHeight w:val="20"/>
        </w:trPr>
        <w:tc>
          <w:tcPr>
            <w:tcW w:w="782" w:type="pct"/>
            <w:vMerge/>
            <w:tcBorders>
              <w:left w:val="single" w:sz="4" w:space="0" w:color="auto"/>
              <w:bottom w:val="single" w:sz="8" w:space="0" w:color="auto"/>
              <w:right w:val="single" w:sz="4" w:space="0" w:color="auto"/>
            </w:tcBorders>
          </w:tcPr>
          <w:p w14:paraId="70E3DF3C" w14:textId="77777777" w:rsidR="000F0341" w:rsidRPr="00832E0E" w:rsidRDefault="000F0341" w:rsidP="00E40B0D">
            <w:pPr>
              <w:spacing w:line="240" w:lineRule="auto"/>
              <w:jc w:val="left"/>
              <w:rPr>
                <w:color w:val="000000"/>
                <w:sz w:val="14"/>
                <w:szCs w:val="14"/>
              </w:rPr>
            </w:pPr>
          </w:p>
        </w:tc>
        <w:tc>
          <w:tcPr>
            <w:tcW w:w="468" w:type="pct"/>
            <w:vMerge/>
            <w:tcBorders>
              <w:left w:val="single" w:sz="4" w:space="0" w:color="auto"/>
              <w:bottom w:val="single" w:sz="8" w:space="0" w:color="auto"/>
              <w:right w:val="single" w:sz="4" w:space="0" w:color="auto"/>
            </w:tcBorders>
          </w:tcPr>
          <w:p w14:paraId="70F800D9" w14:textId="77777777" w:rsidR="000F0341" w:rsidRPr="00832E0E" w:rsidRDefault="000F0341" w:rsidP="00E40B0D">
            <w:pPr>
              <w:spacing w:line="240" w:lineRule="auto"/>
              <w:jc w:val="left"/>
              <w:rPr>
                <w:color w:val="000000" w:themeColor="text1"/>
                <w:sz w:val="14"/>
                <w:szCs w:val="14"/>
              </w:rPr>
            </w:pPr>
          </w:p>
        </w:tc>
        <w:tc>
          <w:tcPr>
            <w:tcW w:w="626" w:type="pct"/>
            <w:vMerge/>
            <w:tcBorders>
              <w:left w:val="single" w:sz="4" w:space="0" w:color="auto"/>
              <w:bottom w:val="single" w:sz="8" w:space="0" w:color="auto"/>
              <w:right w:val="single" w:sz="4" w:space="0" w:color="auto"/>
            </w:tcBorders>
          </w:tcPr>
          <w:p w14:paraId="75456F01" w14:textId="77777777" w:rsidR="000F0341" w:rsidRPr="00832E0E" w:rsidRDefault="000F0341" w:rsidP="00E40B0D">
            <w:pPr>
              <w:spacing w:line="240" w:lineRule="auto"/>
              <w:jc w:val="left"/>
              <w:rPr>
                <w:sz w:val="14"/>
                <w:szCs w:val="14"/>
              </w:rPr>
            </w:pPr>
          </w:p>
        </w:tc>
        <w:tc>
          <w:tcPr>
            <w:tcW w:w="624" w:type="pct"/>
            <w:tcBorders>
              <w:top w:val="single" w:sz="4" w:space="0" w:color="auto"/>
              <w:left w:val="single" w:sz="4" w:space="0" w:color="auto"/>
              <w:bottom w:val="single" w:sz="8" w:space="0" w:color="auto"/>
              <w:right w:val="single" w:sz="4" w:space="0" w:color="auto"/>
            </w:tcBorders>
          </w:tcPr>
          <w:p w14:paraId="03C0620B" w14:textId="77777777" w:rsidR="000F0341" w:rsidRPr="00832E0E" w:rsidRDefault="000F0341" w:rsidP="00E40B0D">
            <w:pPr>
              <w:spacing w:line="240" w:lineRule="auto"/>
              <w:jc w:val="left"/>
              <w:rPr>
                <w:sz w:val="14"/>
                <w:szCs w:val="14"/>
              </w:rPr>
            </w:pPr>
            <w:r w:rsidRPr="00BF62A1">
              <w:rPr>
                <w:sz w:val="14"/>
                <w:szCs w:val="14"/>
              </w:rPr>
              <w:t>High</w:t>
            </w:r>
          </w:p>
        </w:tc>
        <w:tc>
          <w:tcPr>
            <w:tcW w:w="782" w:type="pct"/>
            <w:tcBorders>
              <w:left w:val="single" w:sz="4" w:space="0" w:color="auto"/>
              <w:bottom w:val="single" w:sz="8" w:space="0" w:color="auto"/>
              <w:right w:val="single" w:sz="4" w:space="0" w:color="auto"/>
            </w:tcBorders>
          </w:tcPr>
          <w:p w14:paraId="067DEA09" w14:textId="77777777" w:rsidR="000F0341" w:rsidRPr="00832E0E" w:rsidRDefault="000F0341" w:rsidP="00E40B0D">
            <w:pPr>
              <w:spacing w:line="240" w:lineRule="auto"/>
              <w:jc w:val="left"/>
              <w:rPr>
                <w:color w:val="000000"/>
                <w:sz w:val="14"/>
                <w:szCs w:val="14"/>
              </w:rPr>
            </w:pPr>
            <w:r w:rsidRPr="00BF62A1">
              <w:rPr>
                <w:color w:val="000000"/>
                <w:sz w:val="14"/>
                <w:szCs w:val="14"/>
              </w:rPr>
              <w:t>&gt;466</w:t>
            </w:r>
          </w:p>
        </w:tc>
        <w:tc>
          <w:tcPr>
            <w:tcW w:w="739" w:type="pct"/>
            <w:vMerge/>
            <w:tcBorders>
              <w:left w:val="single" w:sz="4" w:space="0" w:color="auto"/>
              <w:bottom w:val="single" w:sz="8" w:space="0" w:color="auto"/>
              <w:right w:val="single" w:sz="4" w:space="0" w:color="auto"/>
            </w:tcBorders>
          </w:tcPr>
          <w:p w14:paraId="27880AED" w14:textId="77777777" w:rsidR="000F0341" w:rsidRPr="00832E0E" w:rsidRDefault="000F0341" w:rsidP="00E40B0D">
            <w:pPr>
              <w:spacing w:line="240" w:lineRule="auto"/>
              <w:jc w:val="left"/>
              <w:rPr>
                <w:sz w:val="14"/>
                <w:szCs w:val="14"/>
              </w:rPr>
            </w:pPr>
          </w:p>
        </w:tc>
        <w:tc>
          <w:tcPr>
            <w:tcW w:w="980" w:type="pct"/>
            <w:vMerge/>
            <w:tcBorders>
              <w:left w:val="single" w:sz="4" w:space="0" w:color="auto"/>
              <w:bottom w:val="single" w:sz="8" w:space="0" w:color="auto"/>
              <w:right w:val="single" w:sz="4" w:space="0" w:color="auto"/>
            </w:tcBorders>
          </w:tcPr>
          <w:p w14:paraId="2917EDA8" w14:textId="77777777" w:rsidR="000F0341" w:rsidRPr="00832E0E" w:rsidRDefault="000F0341" w:rsidP="00E40B0D">
            <w:pPr>
              <w:spacing w:line="240" w:lineRule="auto"/>
              <w:jc w:val="left"/>
              <w:rPr>
                <w:sz w:val="14"/>
                <w:szCs w:val="14"/>
              </w:rPr>
            </w:pPr>
          </w:p>
        </w:tc>
      </w:tr>
      <w:tr w:rsidR="000F0341" w:rsidRPr="00832E0E" w14:paraId="2CD17A7A" w14:textId="77777777" w:rsidTr="00E40B0D">
        <w:trPr>
          <w:trHeight w:val="20"/>
        </w:trPr>
        <w:tc>
          <w:tcPr>
            <w:tcW w:w="782" w:type="pct"/>
            <w:vMerge w:val="restart"/>
            <w:tcBorders>
              <w:top w:val="single" w:sz="8" w:space="0" w:color="auto"/>
              <w:left w:val="single" w:sz="4" w:space="0" w:color="auto"/>
              <w:right w:val="single" w:sz="4" w:space="0" w:color="auto"/>
            </w:tcBorders>
          </w:tcPr>
          <w:p w14:paraId="5A93C2FD" w14:textId="70C03075" w:rsidR="000F0341" w:rsidRPr="00832E0E" w:rsidRDefault="000F0341" w:rsidP="00E40B0D">
            <w:pPr>
              <w:spacing w:line="240" w:lineRule="auto"/>
              <w:jc w:val="left"/>
              <w:rPr>
                <w:color w:val="000000"/>
                <w:sz w:val="14"/>
                <w:szCs w:val="14"/>
              </w:rPr>
            </w:pPr>
            <w:r w:rsidRPr="00BF62A1">
              <w:rPr>
                <w:color w:val="000000"/>
                <w:sz w:val="14"/>
                <w:szCs w:val="14"/>
              </w:rPr>
              <w:t xml:space="preserve">Spolverato 2014 </w:t>
            </w:r>
            <w:r w:rsidRPr="00832E0E">
              <w:rPr>
                <w:color w:val="000000"/>
                <w:sz w:val="14"/>
                <w:szCs w:val="14"/>
              </w:rPr>
              <w:fldChar w:fldCharType="begin"/>
            </w:r>
            <w:r>
              <w:rPr>
                <w:color w:val="000000"/>
                <w:sz w:val="14"/>
                <w:szCs w:val="14"/>
              </w:rPr>
              <w:instrText xml:space="preserve"> ADDIN ZOTERO_ITEM CSL_CITATION {"citationID":"FKMhVsgh","properties":{"formattedCitation":"[91]","plainCitation":"[91]","noteIndex":0},"citationItems":[{"id":14153,"uris":["http://zotero.org/groups/4983919/items/BVMJ69S8"],"itemData":{"id":14153,"type":"article-journal","abstract":"BACKGROUND: The mechanisms that underlie the association between high surgical volume and improved outcomes remain uncertain. This study examined the impact of complications and failure to rescue patients from these complications on mortality following hepatic resection. METHODS: The Nationwide Inpatient Sample was used to identify patients who had liver surgery between 2000 and 2010. Hospital volume was stratified into tertiles (low, intermediate and high). Rates of major complications, failure to rescue and mortality following hepatic surgery were compared. RESULTS: Some 9874 patients were identified. The major complication rate was 19.6 per cent in low-volume, 19.3 per cent in intermediate-volume and 16.6 per cent in high-volume hospitals (P &lt; 0.001). Most common major complications included respiratory insufficiency or failure (8.8 per cent), acute renal failure (4.2 per cent) and gastrointestinal bleeding (3.9 per cent), with each of these complications being less common in high-volume hospitals (P &lt; 0.050). The incidence of major morbidity following hepatectomy remained the same over the past decade, but failure to rescue patients from these complications decreased (P = 0.011). The overall inpatient mortality rate following liver surgery was 3.2 per cent (3.8, 3.6 and 2.3 per cent for low-, intermediate- and high-volume hospitals respectively; P &lt; 0.001). The rate of failure to rescue (death after a complication) was higher at low- and intermediate-volume hospitals (16.8 and 16.1 per cent respectively) compared with high-volume hospitals (11.8 per cent) (P = 0.032). After accounting for patient and hospital characteristics, patients treated at low-volume hospitals who had a complication were 40 per cent more likely to die than patients with a complication in a high-volume hospital (odds ratio 1.40, 95 per cent confidence interval 1.02 to 1.93). CONCLUSION: The risk of death following hepatic surgery is lower at high-volume hospitals. The reduction in mortality appears to be the result of both lower complication rates and a better ability in high-volume hospitals to rescue patients with major complications.","container-title":"Br J Surg","DOI":"10.1002/bjs.9492","ISSN":"0007-1323","issue":"7","language":"eng","note":"publisher-place: Department of Surgery, The Johns Hopkins University School of Medicine, Baltimore, Maryland, USA.","page":"836-46","title":"Failure to rescue as a source of variation in hospital mortality after hepatic surgery","volume":"101","author":[{"family":"Spolverato","given":"G."},{"family":"Ejaz","given":"A."},{"family":"Hyder","given":"O."},{"family":"Kim","given":"Y."},{"family":"Pawlik","given":"T. M."}],"issued":{"date-parts":[["2014",6]]}}}],"schema":"https://github.com/citation-style-language/schema/raw/master/csl-citation.json"} </w:instrText>
            </w:r>
            <w:r w:rsidRPr="00832E0E">
              <w:rPr>
                <w:color w:val="000000"/>
                <w:sz w:val="14"/>
                <w:szCs w:val="14"/>
              </w:rPr>
              <w:fldChar w:fldCharType="separate"/>
            </w:r>
            <w:r w:rsidRPr="004125CE">
              <w:rPr>
                <w:sz w:val="14"/>
              </w:rPr>
              <w:t>[</w:t>
            </w:r>
            <w:r w:rsidR="00D03F0D">
              <w:rPr>
                <w:sz w:val="14"/>
              </w:rPr>
              <w:t>83</w:t>
            </w:r>
            <w:r w:rsidRPr="004125CE">
              <w:rPr>
                <w:sz w:val="14"/>
              </w:rPr>
              <w:t>]</w:t>
            </w:r>
            <w:r w:rsidRPr="00832E0E">
              <w:rPr>
                <w:color w:val="000000"/>
                <w:sz w:val="14"/>
                <w:szCs w:val="14"/>
              </w:rPr>
              <w:fldChar w:fldCharType="end"/>
            </w:r>
          </w:p>
        </w:tc>
        <w:tc>
          <w:tcPr>
            <w:tcW w:w="468" w:type="pct"/>
            <w:vMerge w:val="restart"/>
            <w:tcBorders>
              <w:top w:val="single" w:sz="8" w:space="0" w:color="auto"/>
              <w:left w:val="single" w:sz="4" w:space="0" w:color="auto"/>
              <w:right w:val="single" w:sz="4" w:space="0" w:color="auto"/>
            </w:tcBorders>
          </w:tcPr>
          <w:p w14:paraId="71AC49CF" w14:textId="77777777" w:rsidR="000F0341" w:rsidRPr="00832E0E" w:rsidRDefault="000F0341" w:rsidP="00E40B0D">
            <w:pPr>
              <w:spacing w:line="240" w:lineRule="auto"/>
              <w:jc w:val="left"/>
              <w:rPr>
                <w:color w:val="000000" w:themeColor="text1"/>
                <w:sz w:val="14"/>
                <w:szCs w:val="14"/>
              </w:rPr>
            </w:pPr>
            <w:r w:rsidRPr="00BF62A1">
              <w:rPr>
                <w:sz w:val="14"/>
                <w:szCs w:val="14"/>
              </w:rPr>
              <w:t>9874</w:t>
            </w:r>
          </w:p>
        </w:tc>
        <w:tc>
          <w:tcPr>
            <w:tcW w:w="626" w:type="pct"/>
            <w:vMerge w:val="restart"/>
            <w:tcBorders>
              <w:top w:val="single" w:sz="8" w:space="0" w:color="auto"/>
              <w:left w:val="single" w:sz="4" w:space="0" w:color="auto"/>
              <w:right w:val="single" w:sz="4" w:space="0" w:color="auto"/>
            </w:tcBorders>
          </w:tcPr>
          <w:p w14:paraId="79988B99" w14:textId="77777777" w:rsidR="000F0341" w:rsidRPr="00832E0E" w:rsidRDefault="000F0341" w:rsidP="00E40B0D">
            <w:pPr>
              <w:spacing w:line="240" w:lineRule="auto"/>
              <w:jc w:val="left"/>
              <w:rPr>
                <w:sz w:val="14"/>
                <w:szCs w:val="14"/>
              </w:rPr>
            </w:pPr>
            <w:r w:rsidRPr="00BF62A1">
              <w:rPr>
                <w:sz w:val="14"/>
                <w:szCs w:val="14"/>
              </w:rPr>
              <w:t>-</w:t>
            </w:r>
          </w:p>
        </w:tc>
        <w:tc>
          <w:tcPr>
            <w:tcW w:w="624" w:type="pct"/>
            <w:tcBorders>
              <w:top w:val="single" w:sz="8" w:space="0" w:color="auto"/>
              <w:left w:val="single" w:sz="4" w:space="0" w:color="auto"/>
              <w:bottom w:val="single" w:sz="4" w:space="0" w:color="auto"/>
              <w:right w:val="single" w:sz="4" w:space="0" w:color="auto"/>
            </w:tcBorders>
          </w:tcPr>
          <w:p w14:paraId="6C306118" w14:textId="77777777" w:rsidR="000F0341" w:rsidRPr="00832E0E" w:rsidRDefault="000F0341" w:rsidP="00E40B0D">
            <w:pPr>
              <w:spacing w:line="240" w:lineRule="auto"/>
              <w:jc w:val="left"/>
              <w:rPr>
                <w:sz w:val="14"/>
                <w:szCs w:val="14"/>
              </w:rPr>
            </w:pPr>
            <w:r w:rsidRPr="00BF62A1">
              <w:rPr>
                <w:sz w:val="14"/>
                <w:szCs w:val="14"/>
              </w:rPr>
              <w:t>Low</w:t>
            </w:r>
          </w:p>
        </w:tc>
        <w:tc>
          <w:tcPr>
            <w:tcW w:w="782" w:type="pct"/>
            <w:tcBorders>
              <w:top w:val="single" w:sz="8" w:space="0" w:color="auto"/>
              <w:left w:val="single" w:sz="4" w:space="0" w:color="auto"/>
              <w:right w:val="single" w:sz="4" w:space="0" w:color="auto"/>
            </w:tcBorders>
          </w:tcPr>
          <w:p w14:paraId="1709C0F2" w14:textId="77777777" w:rsidR="000F0341" w:rsidRPr="00832E0E" w:rsidRDefault="000F0341" w:rsidP="00E40B0D">
            <w:pPr>
              <w:spacing w:line="240" w:lineRule="auto"/>
              <w:jc w:val="left"/>
              <w:rPr>
                <w:sz w:val="14"/>
                <w:szCs w:val="14"/>
              </w:rPr>
            </w:pPr>
            <w:r w:rsidRPr="00BF62A1">
              <w:rPr>
                <w:sz w:val="14"/>
                <w:szCs w:val="14"/>
              </w:rPr>
              <w:t>&lt;21</w:t>
            </w:r>
          </w:p>
        </w:tc>
        <w:tc>
          <w:tcPr>
            <w:tcW w:w="739" w:type="pct"/>
            <w:tcBorders>
              <w:top w:val="single" w:sz="8" w:space="0" w:color="auto"/>
              <w:left w:val="single" w:sz="4" w:space="0" w:color="auto"/>
              <w:right w:val="single" w:sz="4" w:space="0" w:color="auto"/>
            </w:tcBorders>
          </w:tcPr>
          <w:p w14:paraId="6C3BB4B1" w14:textId="77777777" w:rsidR="000F0341" w:rsidRPr="00832E0E" w:rsidRDefault="000F0341" w:rsidP="00E40B0D">
            <w:pPr>
              <w:spacing w:line="240" w:lineRule="auto"/>
              <w:jc w:val="left"/>
              <w:rPr>
                <w:sz w:val="14"/>
                <w:szCs w:val="14"/>
              </w:rPr>
            </w:pPr>
            <w:r w:rsidRPr="00BF62A1">
              <w:rPr>
                <w:sz w:val="14"/>
                <w:szCs w:val="14"/>
              </w:rPr>
              <w:t>3950</w:t>
            </w:r>
          </w:p>
        </w:tc>
        <w:tc>
          <w:tcPr>
            <w:tcW w:w="980" w:type="pct"/>
            <w:tcBorders>
              <w:top w:val="single" w:sz="8" w:space="0" w:color="auto"/>
              <w:left w:val="single" w:sz="4" w:space="0" w:color="auto"/>
              <w:right w:val="single" w:sz="4" w:space="0" w:color="auto"/>
            </w:tcBorders>
          </w:tcPr>
          <w:p w14:paraId="498FCDA8" w14:textId="77777777" w:rsidR="000F0341" w:rsidRPr="00832E0E" w:rsidRDefault="000F0341" w:rsidP="00E40B0D">
            <w:pPr>
              <w:spacing w:line="240" w:lineRule="auto"/>
              <w:jc w:val="left"/>
              <w:rPr>
                <w:sz w:val="14"/>
                <w:szCs w:val="14"/>
              </w:rPr>
            </w:pPr>
            <w:r w:rsidRPr="00BF62A1">
              <w:rPr>
                <w:sz w:val="14"/>
                <w:szCs w:val="14"/>
              </w:rPr>
              <w:t>147</w:t>
            </w:r>
          </w:p>
        </w:tc>
      </w:tr>
      <w:tr w:rsidR="000F0341" w:rsidRPr="00832E0E" w14:paraId="4C1DD080" w14:textId="77777777" w:rsidTr="00E40B0D">
        <w:trPr>
          <w:trHeight w:val="20"/>
        </w:trPr>
        <w:tc>
          <w:tcPr>
            <w:tcW w:w="782" w:type="pct"/>
            <w:vMerge/>
            <w:tcBorders>
              <w:left w:val="single" w:sz="4" w:space="0" w:color="auto"/>
              <w:right w:val="single" w:sz="4" w:space="0" w:color="auto"/>
            </w:tcBorders>
          </w:tcPr>
          <w:p w14:paraId="7B5468FE" w14:textId="77777777" w:rsidR="000F0341" w:rsidRPr="00832E0E" w:rsidRDefault="000F0341" w:rsidP="00E40B0D">
            <w:pPr>
              <w:spacing w:line="240" w:lineRule="auto"/>
              <w:jc w:val="left"/>
              <w:rPr>
                <w:color w:val="000000"/>
                <w:sz w:val="14"/>
                <w:szCs w:val="14"/>
              </w:rPr>
            </w:pPr>
          </w:p>
        </w:tc>
        <w:tc>
          <w:tcPr>
            <w:tcW w:w="468" w:type="pct"/>
            <w:vMerge/>
            <w:tcBorders>
              <w:left w:val="single" w:sz="4" w:space="0" w:color="auto"/>
              <w:right w:val="single" w:sz="4" w:space="0" w:color="auto"/>
            </w:tcBorders>
          </w:tcPr>
          <w:p w14:paraId="704CCDD5" w14:textId="77777777" w:rsidR="000F0341" w:rsidRPr="00832E0E"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4D81646E" w14:textId="77777777" w:rsidR="000F0341" w:rsidRPr="00832E0E"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77F6BA22" w14:textId="77777777" w:rsidR="000F0341" w:rsidRPr="00832E0E" w:rsidRDefault="000F0341" w:rsidP="00E40B0D">
            <w:pPr>
              <w:spacing w:line="240" w:lineRule="auto"/>
              <w:jc w:val="left"/>
              <w:rPr>
                <w:sz w:val="14"/>
                <w:szCs w:val="14"/>
              </w:rPr>
            </w:pPr>
            <w:r w:rsidRPr="00BF62A1">
              <w:rPr>
                <w:sz w:val="14"/>
                <w:szCs w:val="14"/>
              </w:rPr>
              <w:t>Intermediate</w:t>
            </w:r>
          </w:p>
        </w:tc>
        <w:tc>
          <w:tcPr>
            <w:tcW w:w="782" w:type="pct"/>
            <w:tcBorders>
              <w:left w:val="single" w:sz="4" w:space="0" w:color="auto"/>
              <w:right w:val="single" w:sz="4" w:space="0" w:color="auto"/>
            </w:tcBorders>
          </w:tcPr>
          <w:p w14:paraId="4F4F92F3" w14:textId="77777777" w:rsidR="000F0341" w:rsidRPr="00832E0E" w:rsidRDefault="000F0341" w:rsidP="00E40B0D">
            <w:pPr>
              <w:spacing w:line="240" w:lineRule="auto"/>
              <w:jc w:val="left"/>
              <w:rPr>
                <w:sz w:val="14"/>
                <w:szCs w:val="14"/>
              </w:rPr>
            </w:pPr>
            <w:r w:rsidRPr="00BF62A1">
              <w:rPr>
                <w:sz w:val="14"/>
                <w:szCs w:val="14"/>
              </w:rPr>
              <w:t>21-43</w:t>
            </w:r>
          </w:p>
        </w:tc>
        <w:tc>
          <w:tcPr>
            <w:tcW w:w="739" w:type="pct"/>
            <w:tcBorders>
              <w:left w:val="single" w:sz="4" w:space="0" w:color="auto"/>
              <w:right w:val="single" w:sz="4" w:space="0" w:color="auto"/>
            </w:tcBorders>
          </w:tcPr>
          <w:p w14:paraId="3AC563FF" w14:textId="77777777" w:rsidR="000F0341" w:rsidRPr="00832E0E" w:rsidRDefault="000F0341" w:rsidP="00E40B0D">
            <w:pPr>
              <w:spacing w:line="240" w:lineRule="auto"/>
              <w:jc w:val="left"/>
              <w:rPr>
                <w:sz w:val="14"/>
                <w:szCs w:val="14"/>
              </w:rPr>
            </w:pPr>
            <w:r w:rsidRPr="00BF62A1">
              <w:rPr>
                <w:sz w:val="14"/>
                <w:szCs w:val="14"/>
              </w:rPr>
              <w:t>2161</w:t>
            </w:r>
          </w:p>
        </w:tc>
        <w:tc>
          <w:tcPr>
            <w:tcW w:w="980" w:type="pct"/>
            <w:tcBorders>
              <w:left w:val="single" w:sz="4" w:space="0" w:color="auto"/>
              <w:right w:val="single" w:sz="4" w:space="0" w:color="auto"/>
            </w:tcBorders>
          </w:tcPr>
          <w:p w14:paraId="419A00CF" w14:textId="77777777" w:rsidR="000F0341" w:rsidRPr="00832E0E" w:rsidRDefault="000F0341" w:rsidP="00E40B0D">
            <w:pPr>
              <w:spacing w:line="240" w:lineRule="auto"/>
              <w:jc w:val="left"/>
              <w:rPr>
                <w:sz w:val="14"/>
                <w:szCs w:val="14"/>
              </w:rPr>
            </w:pPr>
            <w:r w:rsidRPr="00BF62A1">
              <w:rPr>
                <w:sz w:val="14"/>
                <w:szCs w:val="14"/>
              </w:rPr>
              <w:t>28</w:t>
            </w:r>
          </w:p>
        </w:tc>
      </w:tr>
      <w:tr w:rsidR="000F0341" w:rsidRPr="00832E0E" w14:paraId="4E64A536" w14:textId="77777777" w:rsidTr="00E40B0D">
        <w:trPr>
          <w:trHeight w:val="20"/>
        </w:trPr>
        <w:tc>
          <w:tcPr>
            <w:tcW w:w="782" w:type="pct"/>
            <w:vMerge/>
            <w:tcBorders>
              <w:left w:val="single" w:sz="4" w:space="0" w:color="auto"/>
              <w:bottom w:val="single" w:sz="8" w:space="0" w:color="auto"/>
              <w:right w:val="single" w:sz="4" w:space="0" w:color="auto"/>
            </w:tcBorders>
          </w:tcPr>
          <w:p w14:paraId="2ED4AD65" w14:textId="77777777" w:rsidR="000F0341" w:rsidRPr="00832E0E" w:rsidRDefault="000F0341" w:rsidP="00E40B0D">
            <w:pPr>
              <w:spacing w:line="240" w:lineRule="auto"/>
              <w:jc w:val="left"/>
              <w:rPr>
                <w:color w:val="000000"/>
                <w:sz w:val="14"/>
                <w:szCs w:val="14"/>
              </w:rPr>
            </w:pPr>
          </w:p>
        </w:tc>
        <w:tc>
          <w:tcPr>
            <w:tcW w:w="468" w:type="pct"/>
            <w:vMerge/>
            <w:tcBorders>
              <w:left w:val="single" w:sz="4" w:space="0" w:color="auto"/>
              <w:bottom w:val="single" w:sz="8" w:space="0" w:color="auto"/>
              <w:right w:val="single" w:sz="4" w:space="0" w:color="auto"/>
            </w:tcBorders>
          </w:tcPr>
          <w:p w14:paraId="300CCEF0" w14:textId="77777777" w:rsidR="000F0341" w:rsidRPr="00832E0E" w:rsidRDefault="000F0341" w:rsidP="00E40B0D">
            <w:pPr>
              <w:spacing w:line="240" w:lineRule="auto"/>
              <w:jc w:val="left"/>
              <w:rPr>
                <w:sz w:val="14"/>
                <w:szCs w:val="14"/>
              </w:rPr>
            </w:pPr>
          </w:p>
        </w:tc>
        <w:tc>
          <w:tcPr>
            <w:tcW w:w="626" w:type="pct"/>
            <w:vMerge/>
            <w:tcBorders>
              <w:left w:val="single" w:sz="4" w:space="0" w:color="auto"/>
              <w:bottom w:val="single" w:sz="8" w:space="0" w:color="auto"/>
              <w:right w:val="single" w:sz="4" w:space="0" w:color="auto"/>
            </w:tcBorders>
          </w:tcPr>
          <w:p w14:paraId="766B9F75" w14:textId="77777777" w:rsidR="000F0341" w:rsidRPr="00832E0E" w:rsidRDefault="000F0341" w:rsidP="00E40B0D">
            <w:pPr>
              <w:spacing w:line="240" w:lineRule="auto"/>
              <w:jc w:val="left"/>
              <w:rPr>
                <w:sz w:val="14"/>
                <w:szCs w:val="14"/>
              </w:rPr>
            </w:pPr>
          </w:p>
        </w:tc>
        <w:tc>
          <w:tcPr>
            <w:tcW w:w="624" w:type="pct"/>
            <w:tcBorders>
              <w:top w:val="single" w:sz="4" w:space="0" w:color="auto"/>
              <w:left w:val="single" w:sz="4" w:space="0" w:color="auto"/>
              <w:bottom w:val="single" w:sz="8" w:space="0" w:color="auto"/>
              <w:right w:val="single" w:sz="4" w:space="0" w:color="auto"/>
            </w:tcBorders>
          </w:tcPr>
          <w:p w14:paraId="19D13648" w14:textId="77777777" w:rsidR="000F0341" w:rsidRPr="00832E0E" w:rsidRDefault="000F0341" w:rsidP="00E40B0D">
            <w:pPr>
              <w:spacing w:line="240" w:lineRule="auto"/>
              <w:jc w:val="left"/>
              <w:rPr>
                <w:sz w:val="14"/>
                <w:szCs w:val="14"/>
              </w:rPr>
            </w:pPr>
            <w:r w:rsidRPr="00BF62A1">
              <w:rPr>
                <w:sz w:val="14"/>
                <w:szCs w:val="14"/>
              </w:rPr>
              <w:t>High</w:t>
            </w:r>
          </w:p>
        </w:tc>
        <w:tc>
          <w:tcPr>
            <w:tcW w:w="782" w:type="pct"/>
            <w:tcBorders>
              <w:left w:val="single" w:sz="4" w:space="0" w:color="auto"/>
              <w:bottom w:val="single" w:sz="8" w:space="0" w:color="auto"/>
              <w:right w:val="single" w:sz="4" w:space="0" w:color="auto"/>
            </w:tcBorders>
          </w:tcPr>
          <w:p w14:paraId="0A1C157E" w14:textId="77777777" w:rsidR="000F0341" w:rsidRPr="00832E0E" w:rsidRDefault="000F0341" w:rsidP="00E40B0D">
            <w:pPr>
              <w:spacing w:line="240" w:lineRule="auto"/>
              <w:jc w:val="left"/>
              <w:rPr>
                <w:sz w:val="14"/>
                <w:szCs w:val="14"/>
              </w:rPr>
            </w:pPr>
            <w:r w:rsidRPr="00BF62A1">
              <w:rPr>
                <w:sz w:val="14"/>
                <w:szCs w:val="14"/>
              </w:rPr>
              <w:t>&gt;43</w:t>
            </w:r>
          </w:p>
        </w:tc>
        <w:tc>
          <w:tcPr>
            <w:tcW w:w="739" w:type="pct"/>
            <w:tcBorders>
              <w:left w:val="single" w:sz="4" w:space="0" w:color="auto"/>
              <w:bottom w:val="single" w:sz="8" w:space="0" w:color="auto"/>
              <w:right w:val="single" w:sz="4" w:space="0" w:color="auto"/>
            </w:tcBorders>
          </w:tcPr>
          <w:p w14:paraId="72713220" w14:textId="77777777" w:rsidR="000F0341" w:rsidRPr="00832E0E" w:rsidRDefault="000F0341" w:rsidP="00E40B0D">
            <w:pPr>
              <w:spacing w:line="240" w:lineRule="auto"/>
              <w:jc w:val="left"/>
              <w:rPr>
                <w:sz w:val="14"/>
                <w:szCs w:val="14"/>
              </w:rPr>
            </w:pPr>
            <w:r w:rsidRPr="00BF62A1">
              <w:rPr>
                <w:sz w:val="14"/>
                <w:szCs w:val="14"/>
              </w:rPr>
              <w:t>3763</w:t>
            </w:r>
          </w:p>
        </w:tc>
        <w:tc>
          <w:tcPr>
            <w:tcW w:w="980" w:type="pct"/>
            <w:tcBorders>
              <w:left w:val="single" w:sz="4" w:space="0" w:color="auto"/>
              <w:bottom w:val="single" w:sz="8" w:space="0" w:color="auto"/>
              <w:right w:val="single" w:sz="4" w:space="0" w:color="auto"/>
            </w:tcBorders>
          </w:tcPr>
          <w:p w14:paraId="7B9CEE08" w14:textId="77777777" w:rsidR="000F0341" w:rsidRPr="00832E0E" w:rsidRDefault="000F0341" w:rsidP="00E40B0D">
            <w:pPr>
              <w:spacing w:line="240" w:lineRule="auto"/>
              <w:jc w:val="left"/>
              <w:rPr>
                <w:sz w:val="14"/>
                <w:szCs w:val="14"/>
              </w:rPr>
            </w:pPr>
            <w:r w:rsidRPr="00BF62A1">
              <w:rPr>
                <w:sz w:val="14"/>
                <w:szCs w:val="14"/>
              </w:rPr>
              <w:t>20</w:t>
            </w:r>
          </w:p>
        </w:tc>
      </w:tr>
      <w:tr w:rsidR="000F0341" w:rsidRPr="00832E0E" w14:paraId="30F5BE79" w14:textId="77777777" w:rsidTr="00E40B0D">
        <w:trPr>
          <w:trHeight w:val="20"/>
        </w:trPr>
        <w:tc>
          <w:tcPr>
            <w:tcW w:w="782" w:type="pct"/>
            <w:vMerge w:val="restart"/>
            <w:tcBorders>
              <w:top w:val="single" w:sz="8" w:space="0" w:color="auto"/>
              <w:left w:val="single" w:sz="4" w:space="0" w:color="auto"/>
              <w:right w:val="single" w:sz="4" w:space="0" w:color="auto"/>
            </w:tcBorders>
          </w:tcPr>
          <w:p w14:paraId="0622EFA6" w14:textId="33137F8F" w:rsidR="000F0341" w:rsidRPr="00832E0E" w:rsidRDefault="000F0341" w:rsidP="00E40B0D">
            <w:pPr>
              <w:spacing w:line="240" w:lineRule="auto"/>
              <w:jc w:val="left"/>
              <w:rPr>
                <w:color w:val="000000"/>
                <w:sz w:val="14"/>
                <w:szCs w:val="14"/>
              </w:rPr>
            </w:pPr>
            <w:r w:rsidRPr="00BF62A1">
              <w:rPr>
                <w:color w:val="000000"/>
                <w:sz w:val="14"/>
                <w:szCs w:val="14"/>
              </w:rPr>
              <w:t xml:space="preserve">Sutton 2016 </w:t>
            </w:r>
            <w:r w:rsidRPr="00832E0E">
              <w:rPr>
                <w:color w:val="000000"/>
                <w:sz w:val="14"/>
                <w:szCs w:val="14"/>
              </w:rPr>
              <w:fldChar w:fldCharType="begin"/>
            </w:r>
            <w:r>
              <w:rPr>
                <w:color w:val="000000"/>
                <w:sz w:val="14"/>
                <w:szCs w:val="14"/>
              </w:rPr>
              <w:instrText xml:space="preserve"> ADDIN ZOTERO_ITEM CSL_CITATION {"citationID":"gudfXQBh","properties":{"formattedCitation":"[76]","plainCitation":"[76]","noteIndex":0},"citationItems":[{"id":14152,"uris":["http://zotero.org/groups/4983919/items/T3H2U3YG"],"itemData":{"id":14152,"type":"article-journal","abstract":"OBJECTIVE(S): Higher-volume centers demonstrate better perioperative outcomes for complex surgical interventions, though resource utilization implications of this hospital-level variation are unclear. We hypothesized that for hepatic lobectomy, higher operative volume correlates with better outcomes and lower costs. METHODS: From 2009 to 2011, 4163 patients undergoing hepatic lobectomy were identified from the University HealthSystems Consortium database. Univariate, multivariate logistic regression, and decision analytic models were constructed to identify differences in hospital utilization and cost. Cost included both index and readmission hospitalizations, when applicable. RESULTS: The annual number of hepatic lobectomies performed by the institutions within the study ranged from 1 to 86. The median age of the 4163 patients was 58 years with a roughly equal gender split (M/F 49 %:51 %) and a racial breakdown which reflected that of the general US population. For all patients, the overall perioperative mortality rate was 2.3 % and the 30-day readmission rate was 13.4 %. Hospitals performing &gt;30 hepatic lobectomies per year had significantly lower mortality and readmission rates than those hospitals performing ≤15 lobectomies annually (both p &lt; 0.05). On multivariate analysis, higher severity of illness (odd ratio (OR) 2.13, 95 % confidence interval (CI) [1.48-3.07], p &lt; 0.001), discharge to rehab (OR 1.84, [1.28-2.64], p &lt; 0.001), home with home health care (OR 1.38, [1.08-1.76], p = 0.01), and surgery at a low-volume hospital (OR 1.49, [1.18-1.88], p &lt; 0.001) were significant predictors of readmission. Conversely, surgical intervention at high-volume centers was associated with decreased risk of readmission (OR 0.67, [0.53-0.85], p &lt; 0.001). When both index and readmission costs were considered, per-patient cost at low-volume centers was 21.9 % higher than at high-volume centers ($19,669 vs. $16,137). Sensitivity analyses adjusting for perioperative mortality and readmission at all centers did not significantly change the analysis. CONCLUSIONS: These data, for the first time, demonstrate that hospital volume in hepatic lobectomy is an important, modifiable risk factor for readmission and cost. To optimize resource utilization, patients undergoing complex hepatic surgery should be directed to higher-volume surgical institutions.","container-title":"J Gastrointest Surg","DOI":"10.1007/s11605-015-2964-3","ISSN":"1091-255x","issue":"2","language":"eng","note":"publisher-place: Department of Surgery, University of Cincinnati Medical Center, Cincinnati, OH, USA. Division of Surgical Oncology, Department of Surgery, University of Cincinnati Medical Center, 234 Goodman Street, ML 0772, Cincinnati, OH, 45219, USA. Department of Surgery, University of Cincinnati Medical Center, Cincinnati, OH, USA. abbottdl@uc.edu. Division of Surgical Oncology, Department of Surgery, University of Cincinnati Medical Center, 234 Goodman Street, ML 0772, Cincinnati, OH, 45219, USA. abbottdl@uc.edu.","page":"253-61","title":"Cost-Effectiveness in Hepatic Lobectomy: the Effect of Case Volume on Mortality, Readmission, and Cost of Care","volume":"20","author":[{"family":"Sutton","given":"J. M."},{"family":"Hoehn","given":"R. S."},{"family":"Ertel","given":"A. E."},{"family":"Wilson","given":"G. C."},{"family":"Hanseman","given":"D. J."},{"family":"Wima","given":"K."},{"family":"Sussman","given":"J. J."},{"family":"Ahmad","given":"S. A."},{"family":"Shah","given":"S. A."},{"family":"Abbott","given":"D. E."}],"issued":{"date-parts":[["2016",2]]}}}],"schema":"https://github.com/citation-style-language/schema/raw/master/csl-citation.json"} </w:instrText>
            </w:r>
            <w:r w:rsidRPr="00832E0E">
              <w:rPr>
                <w:color w:val="000000"/>
                <w:sz w:val="14"/>
                <w:szCs w:val="14"/>
              </w:rPr>
              <w:fldChar w:fldCharType="separate"/>
            </w:r>
            <w:r w:rsidRPr="004125CE">
              <w:rPr>
                <w:sz w:val="14"/>
              </w:rPr>
              <w:t>[7</w:t>
            </w:r>
            <w:r w:rsidR="00D03F0D">
              <w:rPr>
                <w:sz w:val="14"/>
              </w:rPr>
              <w:t>5</w:t>
            </w:r>
            <w:r w:rsidRPr="004125CE">
              <w:rPr>
                <w:sz w:val="14"/>
              </w:rPr>
              <w:t>]</w:t>
            </w:r>
            <w:r w:rsidRPr="00832E0E">
              <w:rPr>
                <w:color w:val="000000"/>
                <w:sz w:val="14"/>
                <w:szCs w:val="14"/>
              </w:rPr>
              <w:fldChar w:fldCharType="end"/>
            </w:r>
          </w:p>
        </w:tc>
        <w:tc>
          <w:tcPr>
            <w:tcW w:w="468" w:type="pct"/>
            <w:vMerge w:val="restart"/>
            <w:tcBorders>
              <w:top w:val="single" w:sz="8" w:space="0" w:color="auto"/>
              <w:left w:val="single" w:sz="4" w:space="0" w:color="auto"/>
              <w:right w:val="single" w:sz="4" w:space="0" w:color="auto"/>
            </w:tcBorders>
          </w:tcPr>
          <w:p w14:paraId="05505D6B" w14:textId="77777777" w:rsidR="000F0341" w:rsidRPr="00832E0E" w:rsidRDefault="000F0341" w:rsidP="00E40B0D">
            <w:pPr>
              <w:spacing w:line="240" w:lineRule="auto"/>
              <w:jc w:val="left"/>
              <w:rPr>
                <w:sz w:val="14"/>
                <w:szCs w:val="14"/>
              </w:rPr>
            </w:pPr>
            <w:r w:rsidRPr="00BF62A1">
              <w:rPr>
                <w:color w:val="000000"/>
                <w:sz w:val="14"/>
                <w:szCs w:val="14"/>
              </w:rPr>
              <w:t>4163</w:t>
            </w:r>
            <w:r w:rsidRPr="00832E0E">
              <w:rPr>
                <w:color w:val="000000"/>
                <w:sz w:val="14"/>
                <w:szCs w:val="14"/>
                <w:vertAlign w:val="superscript"/>
              </w:rPr>
              <w:t>a</w:t>
            </w:r>
          </w:p>
        </w:tc>
        <w:tc>
          <w:tcPr>
            <w:tcW w:w="626" w:type="pct"/>
            <w:vMerge w:val="restart"/>
            <w:tcBorders>
              <w:top w:val="single" w:sz="8" w:space="0" w:color="auto"/>
              <w:left w:val="single" w:sz="4" w:space="0" w:color="auto"/>
              <w:right w:val="single" w:sz="4" w:space="0" w:color="auto"/>
            </w:tcBorders>
          </w:tcPr>
          <w:p w14:paraId="771C887E" w14:textId="77777777" w:rsidR="000F0341" w:rsidRPr="00832E0E" w:rsidRDefault="000F0341" w:rsidP="00E40B0D">
            <w:pPr>
              <w:spacing w:line="240" w:lineRule="auto"/>
              <w:jc w:val="left"/>
              <w:rPr>
                <w:sz w:val="14"/>
                <w:szCs w:val="14"/>
              </w:rPr>
            </w:pPr>
            <w:r w:rsidRPr="00BF62A1">
              <w:rPr>
                <w:sz w:val="14"/>
                <w:szCs w:val="14"/>
              </w:rPr>
              <w:t>-</w:t>
            </w:r>
          </w:p>
        </w:tc>
        <w:tc>
          <w:tcPr>
            <w:tcW w:w="624" w:type="pct"/>
            <w:tcBorders>
              <w:top w:val="single" w:sz="8" w:space="0" w:color="auto"/>
              <w:left w:val="single" w:sz="4" w:space="0" w:color="auto"/>
              <w:bottom w:val="single" w:sz="4" w:space="0" w:color="auto"/>
              <w:right w:val="single" w:sz="4" w:space="0" w:color="auto"/>
            </w:tcBorders>
          </w:tcPr>
          <w:p w14:paraId="1CAD3393" w14:textId="77777777" w:rsidR="000F0341" w:rsidRPr="00832E0E" w:rsidRDefault="000F0341" w:rsidP="00E40B0D">
            <w:pPr>
              <w:spacing w:line="240" w:lineRule="auto"/>
              <w:jc w:val="left"/>
              <w:rPr>
                <w:sz w:val="14"/>
                <w:szCs w:val="14"/>
              </w:rPr>
            </w:pPr>
            <w:r w:rsidRPr="00BF62A1">
              <w:rPr>
                <w:sz w:val="14"/>
                <w:szCs w:val="14"/>
              </w:rPr>
              <w:t>Low</w:t>
            </w:r>
          </w:p>
        </w:tc>
        <w:tc>
          <w:tcPr>
            <w:tcW w:w="782" w:type="pct"/>
            <w:tcBorders>
              <w:top w:val="single" w:sz="8" w:space="0" w:color="auto"/>
              <w:left w:val="single" w:sz="4" w:space="0" w:color="auto"/>
              <w:right w:val="single" w:sz="4" w:space="0" w:color="auto"/>
            </w:tcBorders>
          </w:tcPr>
          <w:p w14:paraId="3BA05429" w14:textId="77777777" w:rsidR="000F0341" w:rsidRPr="00832E0E" w:rsidRDefault="000F0341" w:rsidP="00E40B0D">
            <w:pPr>
              <w:spacing w:line="240" w:lineRule="auto"/>
              <w:jc w:val="left"/>
              <w:rPr>
                <w:sz w:val="14"/>
                <w:szCs w:val="14"/>
              </w:rPr>
            </w:pPr>
            <w:r w:rsidRPr="00BF62A1">
              <w:rPr>
                <w:sz w:val="14"/>
                <w:szCs w:val="14"/>
              </w:rPr>
              <w:t>1-15</w:t>
            </w:r>
          </w:p>
        </w:tc>
        <w:tc>
          <w:tcPr>
            <w:tcW w:w="739" w:type="pct"/>
            <w:tcBorders>
              <w:top w:val="single" w:sz="8" w:space="0" w:color="auto"/>
              <w:left w:val="single" w:sz="4" w:space="0" w:color="auto"/>
              <w:right w:val="single" w:sz="4" w:space="0" w:color="auto"/>
            </w:tcBorders>
          </w:tcPr>
          <w:p w14:paraId="10C986DC" w14:textId="77777777" w:rsidR="000F0341" w:rsidRPr="00832E0E" w:rsidRDefault="000F0341" w:rsidP="00E40B0D">
            <w:pPr>
              <w:spacing w:line="240" w:lineRule="auto"/>
              <w:jc w:val="left"/>
              <w:rPr>
                <w:sz w:val="14"/>
                <w:szCs w:val="14"/>
              </w:rPr>
            </w:pPr>
            <w:r w:rsidRPr="00BF62A1">
              <w:rPr>
                <w:sz w:val="14"/>
                <w:szCs w:val="14"/>
              </w:rPr>
              <w:t>1-16</w:t>
            </w:r>
          </w:p>
        </w:tc>
        <w:tc>
          <w:tcPr>
            <w:tcW w:w="980" w:type="pct"/>
            <w:tcBorders>
              <w:top w:val="single" w:sz="8" w:space="0" w:color="auto"/>
              <w:left w:val="single" w:sz="4" w:space="0" w:color="auto"/>
              <w:right w:val="single" w:sz="4" w:space="0" w:color="auto"/>
            </w:tcBorders>
          </w:tcPr>
          <w:p w14:paraId="1E4750DC" w14:textId="77777777" w:rsidR="000F0341" w:rsidRPr="00832E0E" w:rsidRDefault="000F0341" w:rsidP="00E40B0D">
            <w:pPr>
              <w:spacing w:line="240" w:lineRule="auto"/>
              <w:jc w:val="left"/>
              <w:rPr>
                <w:sz w:val="14"/>
                <w:szCs w:val="14"/>
              </w:rPr>
            </w:pPr>
            <w:r w:rsidRPr="00BF62A1">
              <w:rPr>
                <w:sz w:val="14"/>
                <w:szCs w:val="14"/>
              </w:rPr>
              <w:t>1-16</w:t>
            </w:r>
          </w:p>
        </w:tc>
      </w:tr>
      <w:tr w:rsidR="000F0341" w:rsidRPr="00832E0E" w14:paraId="760A7D5B" w14:textId="77777777" w:rsidTr="00E40B0D">
        <w:trPr>
          <w:trHeight w:val="20"/>
        </w:trPr>
        <w:tc>
          <w:tcPr>
            <w:tcW w:w="782" w:type="pct"/>
            <w:vMerge/>
            <w:tcBorders>
              <w:left w:val="single" w:sz="4" w:space="0" w:color="auto"/>
              <w:right w:val="single" w:sz="4" w:space="0" w:color="auto"/>
            </w:tcBorders>
          </w:tcPr>
          <w:p w14:paraId="5E98E46C" w14:textId="77777777" w:rsidR="000F0341" w:rsidRPr="00832E0E" w:rsidRDefault="000F0341" w:rsidP="00E40B0D">
            <w:pPr>
              <w:spacing w:line="240" w:lineRule="auto"/>
              <w:jc w:val="left"/>
              <w:rPr>
                <w:color w:val="000000"/>
                <w:sz w:val="14"/>
                <w:szCs w:val="14"/>
              </w:rPr>
            </w:pPr>
          </w:p>
        </w:tc>
        <w:tc>
          <w:tcPr>
            <w:tcW w:w="468" w:type="pct"/>
            <w:vMerge/>
            <w:tcBorders>
              <w:left w:val="single" w:sz="4" w:space="0" w:color="auto"/>
              <w:right w:val="single" w:sz="4" w:space="0" w:color="auto"/>
            </w:tcBorders>
          </w:tcPr>
          <w:p w14:paraId="2A7FF37B" w14:textId="77777777" w:rsidR="000F0341" w:rsidRPr="00832E0E" w:rsidRDefault="000F0341" w:rsidP="00E40B0D">
            <w:pPr>
              <w:spacing w:line="240" w:lineRule="auto"/>
              <w:jc w:val="left"/>
              <w:rPr>
                <w:color w:val="000000"/>
                <w:sz w:val="14"/>
                <w:szCs w:val="14"/>
              </w:rPr>
            </w:pPr>
          </w:p>
        </w:tc>
        <w:tc>
          <w:tcPr>
            <w:tcW w:w="626" w:type="pct"/>
            <w:vMerge/>
            <w:tcBorders>
              <w:left w:val="single" w:sz="4" w:space="0" w:color="auto"/>
              <w:right w:val="single" w:sz="4" w:space="0" w:color="auto"/>
            </w:tcBorders>
          </w:tcPr>
          <w:p w14:paraId="09AC6CE9" w14:textId="77777777" w:rsidR="000F0341" w:rsidRPr="00832E0E"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36DAD51A" w14:textId="77777777" w:rsidR="000F0341" w:rsidRPr="00832E0E" w:rsidRDefault="000F0341" w:rsidP="00E40B0D">
            <w:pPr>
              <w:spacing w:line="240" w:lineRule="auto"/>
              <w:jc w:val="left"/>
              <w:rPr>
                <w:sz w:val="14"/>
                <w:szCs w:val="14"/>
              </w:rPr>
            </w:pPr>
            <w:r w:rsidRPr="00BF62A1">
              <w:rPr>
                <w:sz w:val="14"/>
                <w:szCs w:val="14"/>
              </w:rPr>
              <w:t>Medium</w:t>
            </w:r>
          </w:p>
        </w:tc>
        <w:tc>
          <w:tcPr>
            <w:tcW w:w="782" w:type="pct"/>
            <w:tcBorders>
              <w:left w:val="single" w:sz="4" w:space="0" w:color="auto"/>
              <w:right w:val="single" w:sz="4" w:space="0" w:color="auto"/>
            </w:tcBorders>
          </w:tcPr>
          <w:p w14:paraId="042E119A" w14:textId="77777777" w:rsidR="000F0341" w:rsidRPr="00832E0E" w:rsidRDefault="000F0341" w:rsidP="00E40B0D">
            <w:pPr>
              <w:spacing w:line="240" w:lineRule="auto"/>
              <w:jc w:val="left"/>
              <w:rPr>
                <w:sz w:val="14"/>
                <w:szCs w:val="14"/>
              </w:rPr>
            </w:pPr>
            <w:r w:rsidRPr="00BF62A1">
              <w:rPr>
                <w:sz w:val="14"/>
                <w:szCs w:val="14"/>
              </w:rPr>
              <w:t>16-31</w:t>
            </w:r>
          </w:p>
        </w:tc>
        <w:tc>
          <w:tcPr>
            <w:tcW w:w="739" w:type="pct"/>
            <w:tcBorders>
              <w:left w:val="single" w:sz="4" w:space="0" w:color="auto"/>
              <w:right w:val="single" w:sz="4" w:space="0" w:color="auto"/>
            </w:tcBorders>
          </w:tcPr>
          <w:p w14:paraId="7665FB89" w14:textId="77777777" w:rsidR="000F0341" w:rsidRPr="00832E0E" w:rsidRDefault="000F0341" w:rsidP="00E40B0D">
            <w:pPr>
              <w:spacing w:line="240" w:lineRule="auto"/>
              <w:jc w:val="left"/>
              <w:rPr>
                <w:sz w:val="14"/>
                <w:szCs w:val="14"/>
              </w:rPr>
            </w:pPr>
            <w:r w:rsidRPr="00BF62A1">
              <w:rPr>
                <w:sz w:val="14"/>
                <w:szCs w:val="14"/>
              </w:rPr>
              <w:t>17-29</w:t>
            </w:r>
          </w:p>
        </w:tc>
        <w:tc>
          <w:tcPr>
            <w:tcW w:w="980" w:type="pct"/>
            <w:tcBorders>
              <w:left w:val="single" w:sz="4" w:space="0" w:color="auto"/>
              <w:right w:val="single" w:sz="4" w:space="0" w:color="auto"/>
            </w:tcBorders>
          </w:tcPr>
          <w:p w14:paraId="416FB89F" w14:textId="77777777" w:rsidR="000F0341" w:rsidRPr="00832E0E" w:rsidRDefault="000F0341" w:rsidP="00E40B0D">
            <w:pPr>
              <w:spacing w:line="240" w:lineRule="auto"/>
              <w:jc w:val="left"/>
              <w:rPr>
                <w:sz w:val="14"/>
                <w:szCs w:val="14"/>
              </w:rPr>
            </w:pPr>
            <w:r w:rsidRPr="00BF62A1">
              <w:rPr>
                <w:sz w:val="14"/>
                <w:szCs w:val="14"/>
              </w:rPr>
              <w:t>17-26</w:t>
            </w:r>
          </w:p>
        </w:tc>
      </w:tr>
      <w:tr w:rsidR="000F0341" w:rsidRPr="00832E0E" w14:paraId="2C01FCAB" w14:textId="77777777" w:rsidTr="00E40B0D">
        <w:trPr>
          <w:trHeight w:val="20"/>
        </w:trPr>
        <w:tc>
          <w:tcPr>
            <w:tcW w:w="782" w:type="pct"/>
            <w:vMerge/>
            <w:tcBorders>
              <w:left w:val="single" w:sz="4" w:space="0" w:color="auto"/>
              <w:bottom w:val="single" w:sz="4" w:space="0" w:color="auto"/>
              <w:right w:val="single" w:sz="4" w:space="0" w:color="auto"/>
            </w:tcBorders>
          </w:tcPr>
          <w:p w14:paraId="0B7804D9" w14:textId="77777777" w:rsidR="000F0341" w:rsidRPr="00832E0E" w:rsidRDefault="000F0341" w:rsidP="00E40B0D">
            <w:pPr>
              <w:spacing w:line="240" w:lineRule="auto"/>
              <w:jc w:val="left"/>
              <w:rPr>
                <w:color w:val="000000"/>
                <w:sz w:val="14"/>
                <w:szCs w:val="14"/>
              </w:rPr>
            </w:pPr>
          </w:p>
        </w:tc>
        <w:tc>
          <w:tcPr>
            <w:tcW w:w="468" w:type="pct"/>
            <w:vMerge/>
            <w:tcBorders>
              <w:left w:val="single" w:sz="4" w:space="0" w:color="auto"/>
              <w:bottom w:val="single" w:sz="4" w:space="0" w:color="auto"/>
              <w:right w:val="single" w:sz="4" w:space="0" w:color="auto"/>
            </w:tcBorders>
          </w:tcPr>
          <w:p w14:paraId="165EA4D1" w14:textId="77777777" w:rsidR="000F0341" w:rsidRPr="00832E0E" w:rsidRDefault="000F0341" w:rsidP="00E40B0D">
            <w:pPr>
              <w:spacing w:line="240" w:lineRule="auto"/>
              <w:jc w:val="left"/>
              <w:rPr>
                <w:color w:val="000000"/>
                <w:sz w:val="14"/>
                <w:szCs w:val="14"/>
              </w:rPr>
            </w:pPr>
          </w:p>
        </w:tc>
        <w:tc>
          <w:tcPr>
            <w:tcW w:w="626" w:type="pct"/>
            <w:vMerge/>
            <w:tcBorders>
              <w:left w:val="single" w:sz="4" w:space="0" w:color="auto"/>
              <w:bottom w:val="single" w:sz="4" w:space="0" w:color="auto"/>
              <w:right w:val="single" w:sz="4" w:space="0" w:color="auto"/>
            </w:tcBorders>
          </w:tcPr>
          <w:p w14:paraId="47E5B14E" w14:textId="77777777" w:rsidR="000F0341" w:rsidRPr="00832E0E"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51CFCCD6" w14:textId="77777777" w:rsidR="000F0341" w:rsidRPr="00832E0E" w:rsidRDefault="000F0341" w:rsidP="00E40B0D">
            <w:pPr>
              <w:spacing w:line="240" w:lineRule="auto"/>
              <w:jc w:val="left"/>
              <w:rPr>
                <w:sz w:val="14"/>
                <w:szCs w:val="14"/>
              </w:rPr>
            </w:pPr>
            <w:r w:rsidRPr="00BF62A1">
              <w:rPr>
                <w:sz w:val="14"/>
                <w:szCs w:val="14"/>
              </w:rPr>
              <w:t>High</w:t>
            </w:r>
          </w:p>
        </w:tc>
        <w:tc>
          <w:tcPr>
            <w:tcW w:w="782" w:type="pct"/>
            <w:tcBorders>
              <w:left w:val="single" w:sz="4" w:space="0" w:color="auto"/>
              <w:bottom w:val="single" w:sz="4" w:space="0" w:color="auto"/>
              <w:right w:val="single" w:sz="4" w:space="0" w:color="auto"/>
            </w:tcBorders>
          </w:tcPr>
          <w:p w14:paraId="2BF1FCDE" w14:textId="77777777" w:rsidR="000F0341" w:rsidRPr="00832E0E" w:rsidRDefault="000F0341" w:rsidP="00E40B0D">
            <w:pPr>
              <w:spacing w:line="240" w:lineRule="auto"/>
              <w:jc w:val="left"/>
              <w:rPr>
                <w:sz w:val="14"/>
                <w:szCs w:val="14"/>
              </w:rPr>
            </w:pPr>
            <w:r w:rsidRPr="00BF62A1">
              <w:rPr>
                <w:sz w:val="14"/>
                <w:szCs w:val="14"/>
              </w:rPr>
              <w:t>34-58</w:t>
            </w:r>
          </w:p>
        </w:tc>
        <w:tc>
          <w:tcPr>
            <w:tcW w:w="739" w:type="pct"/>
            <w:tcBorders>
              <w:left w:val="single" w:sz="4" w:space="0" w:color="auto"/>
              <w:bottom w:val="single" w:sz="4" w:space="0" w:color="auto"/>
              <w:right w:val="single" w:sz="4" w:space="0" w:color="auto"/>
            </w:tcBorders>
          </w:tcPr>
          <w:p w14:paraId="7D7EA34A" w14:textId="77777777" w:rsidR="000F0341" w:rsidRPr="00832E0E" w:rsidRDefault="000F0341" w:rsidP="00E40B0D">
            <w:pPr>
              <w:spacing w:line="240" w:lineRule="auto"/>
              <w:jc w:val="left"/>
              <w:rPr>
                <w:sz w:val="14"/>
                <w:szCs w:val="14"/>
              </w:rPr>
            </w:pPr>
            <w:r w:rsidRPr="00BF62A1">
              <w:rPr>
                <w:sz w:val="14"/>
                <w:szCs w:val="14"/>
              </w:rPr>
              <w:t>30-86</w:t>
            </w:r>
          </w:p>
        </w:tc>
        <w:tc>
          <w:tcPr>
            <w:tcW w:w="980" w:type="pct"/>
            <w:tcBorders>
              <w:left w:val="single" w:sz="4" w:space="0" w:color="auto"/>
              <w:bottom w:val="single" w:sz="4" w:space="0" w:color="auto"/>
              <w:right w:val="single" w:sz="4" w:space="0" w:color="auto"/>
            </w:tcBorders>
          </w:tcPr>
          <w:p w14:paraId="7E4B5B7E" w14:textId="77777777" w:rsidR="000F0341" w:rsidRPr="00832E0E" w:rsidRDefault="000F0341" w:rsidP="00E40B0D">
            <w:pPr>
              <w:spacing w:line="240" w:lineRule="auto"/>
              <w:jc w:val="left"/>
              <w:rPr>
                <w:sz w:val="14"/>
                <w:szCs w:val="14"/>
              </w:rPr>
            </w:pPr>
            <w:r w:rsidRPr="00BF62A1">
              <w:rPr>
                <w:sz w:val="14"/>
                <w:szCs w:val="14"/>
              </w:rPr>
              <w:t>27-78</w:t>
            </w:r>
          </w:p>
        </w:tc>
      </w:tr>
      <w:tr w:rsidR="000F0341" w:rsidRPr="00832E0E" w14:paraId="5D7540CC" w14:textId="77777777" w:rsidTr="00E40B0D">
        <w:trPr>
          <w:trHeight w:val="20"/>
        </w:trPr>
        <w:tc>
          <w:tcPr>
            <w:tcW w:w="782" w:type="pct"/>
            <w:vMerge w:val="restart"/>
            <w:tcBorders>
              <w:top w:val="single" w:sz="8" w:space="0" w:color="auto"/>
              <w:left w:val="single" w:sz="4" w:space="0" w:color="auto"/>
              <w:right w:val="single" w:sz="4" w:space="0" w:color="auto"/>
            </w:tcBorders>
          </w:tcPr>
          <w:p w14:paraId="6346E464" w14:textId="4DA4F445" w:rsidR="000F0341" w:rsidRPr="00832E0E" w:rsidRDefault="000F0341" w:rsidP="00E40B0D">
            <w:pPr>
              <w:spacing w:line="240" w:lineRule="auto"/>
              <w:jc w:val="left"/>
              <w:rPr>
                <w:color w:val="000000"/>
                <w:sz w:val="14"/>
                <w:szCs w:val="14"/>
              </w:rPr>
            </w:pPr>
            <w:r w:rsidRPr="00BF62A1">
              <w:rPr>
                <w:color w:val="000000"/>
                <w:sz w:val="14"/>
                <w:szCs w:val="14"/>
              </w:rPr>
              <w:t>Tislimigras 2020</w:t>
            </w:r>
            <w:r w:rsidRPr="00832E0E">
              <w:rPr>
                <w:color w:val="000000"/>
                <w:sz w:val="14"/>
                <w:szCs w:val="14"/>
                <w:vertAlign w:val="superscript"/>
              </w:rPr>
              <w:t xml:space="preserve">5 </w:t>
            </w:r>
            <w:r w:rsidRPr="00832E0E">
              <w:rPr>
                <w:color w:val="000000"/>
                <w:sz w:val="14"/>
                <w:szCs w:val="14"/>
                <w:vertAlign w:val="superscript"/>
              </w:rPr>
              <w:fldChar w:fldCharType="begin"/>
            </w:r>
            <w:r>
              <w:rPr>
                <w:color w:val="000000"/>
                <w:sz w:val="14"/>
                <w:szCs w:val="14"/>
                <w:vertAlign w:val="superscript"/>
              </w:rPr>
              <w:instrText xml:space="preserve"> ADDIN ZOTERO_ITEM CSL_CITATION {"citationID":"MdtRTZip","properties":{"formattedCitation":"[79]","plainCitation":"[79]","noteIndex":0},"citationItems":[{"id":14156,"uris":["http://zotero.org/groups/4983919/items/QM7IMTCE"],"itemData":{"id":14156,"type":"article-journal","abstract":"INTRODUCTION: Minimally invasive liver surgery (MILS) has been increasingly adopted in clinical practice; yet, inter-surgeon variability in operative approach (MILS vs. open), as well as the impact of providers on the likelihood of undergoing MILS have not been well characterized. METHODS: The Medicare 100% Standard Analytic Files were reviewed to identify Medicare beneficiaries who underwent hepatectomy between 2013 - 2017. The impact of patient- and procedure- related factors on the likelihood of MILS was investigated. RESULTS: Overall 12,110 (91.6%) patients underwent open liver resection, while 1,112 (8.4%) patients had MILS. Based on total MILS volume, surgeons were categorized into average (1-3 cases), above average (4-7 cases) and high (&gt;8 or more cases) MILS volume surgeons. While male patients (OR = 0.85, 95%CI 0.75-0.97) were less likely to undergo MILS, patients operated on more recently (year 2017; OR = 1.72, 95%CI 1.38-2.14) for a cancer indication (OR = 1.23, 95%CI 1.05-1.42) had a higher chance of MILS. After controlling for patient- and procedure-related characteristics, there was almost a two-fold variation in the odds that a patient underwent MILS versus open hepatectomy based on the individual surgeon provider (MOR = 1.75, 95%CI 1.48-1.99). Patients who had a MILS performed by a high-volume MILS surgeon had 36% lower odds of death within 90-days (OR = 0.64, 95%CI 0.51-0.79). CONCLUSION: The likelihood of undergoing MILS, as well as post-operative mortality, was heavily influenced by the individual surgeon provider rather than patient- or procedure-related factors.","container-title":"HPB (Oxford)","DOI":"10.1016/j.hpb.2020.11.003","ISSN":"1365-182x","issue":"6","language":"eng","note":"publisher-place: Department of Surgery, Division of Surgical Oncology, The Ohio State University Wexner Medical Center and James Comprehensive Cancer Center, Columbus, OH, USA. Department of Surgery, Duke University Medical Center, Durham, NC, USA. Department of Surgery, Division of Surgical Oncology, The Ohio State University Wexner Medical Center and James Comprehensive Cancer Center, Columbus, OH, USA. Electronic address: tim.pawlik@osumc.edu.","page":"840-846","title":"Inter-surgeon variability is associated with likelihood to undergo minimally invasive hepatectomy and postoperative mortality","volume":"23","author":[{"family":"Tsilimigras","given":"D. I."},{"family":"Hyer","given":"J. M."},{"family":"Chen","given":"Q."},{"family":"Diaz","given":"A."},{"family":"Paredes","given":"A. Z."},{"family":"Moris","given":"D."},{"family":"Dillhoff","given":"M."},{"family":"Cloyd","given":"J. M."},{"family":"Beane","given":"J. D."},{"family":"Tsung","given":"A."},{"family":"Ejaz","given":"A."},{"family":"Pawlik","given":"T. M."}],"issued":{"date-parts":[["2021",6]]}}}],"schema":"https://github.com/citation-style-language/schema/raw/master/csl-citation.json"} </w:instrText>
            </w:r>
            <w:r w:rsidRPr="00832E0E">
              <w:rPr>
                <w:color w:val="000000"/>
                <w:sz w:val="14"/>
                <w:szCs w:val="14"/>
                <w:vertAlign w:val="superscript"/>
              </w:rPr>
              <w:fldChar w:fldCharType="separate"/>
            </w:r>
            <w:r w:rsidRPr="004125CE">
              <w:rPr>
                <w:sz w:val="14"/>
              </w:rPr>
              <w:t>[7</w:t>
            </w:r>
            <w:r w:rsidR="00D03F0D">
              <w:rPr>
                <w:sz w:val="14"/>
              </w:rPr>
              <w:t>7</w:t>
            </w:r>
            <w:r w:rsidRPr="004125CE">
              <w:rPr>
                <w:sz w:val="14"/>
              </w:rPr>
              <w:t>]</w:t>
            </w:r>
            <w:r w:rsidRPr="00832E0E">
              <w:rPr>
                <w:color w:val="000000"/>
                <w:sz w:val="14"/>
                <w:szCs w:val="14"/>
                <w:vertAlign w:val="superscript"/>
              </w:rPr>
              <w:fldChar w:fldCharType="end"/>
            </w:r>
          </w:p>
        </w:tc>
        <w:tc>
          <w:tcPr>
            <w:tcW w:w="468" w:type="pct"/>
            <w:vMerge w:val="restart"/>
            <w:tcBorders>
              <w:top w:val="single" w:sz="8" w:space="0" w:color="auto"/>
              <w:left w:val="single" w:sz="4" w:space="0" w:color="auto"/>
              <w:right w:val="single" w:sz="4" w:space="0" w:color="auto"/>
            </w:tcBorders>
          </w:tcPr>
          <w:p w14:paraId="31B4B9FA" w14:textId="77777777" w:rsidR="000F0341" w:rsidRPr="00832E0E" w:rsidRDefault="000F0341" w:rsidP="00E40B0D">
            <w:pPr>
              <w:spacing w:line="240" w:lineRule="auto"/>
              <w:jc w:val="left"/>
              <w:rPr>
                <w:sz w:val="14"/>
                <w:szCs w:val="14"/>
              </w:rPr>
            </w:pPr>
            <w:r w:rsidRPr="00BF62A1">
              <w:rPr>
                <w:sz w:val="14"/>
                <w:szCs w:val="14"/>
              </w:rPr>
              <w:t>1112</w:t>
            </w:r>
          </w:p>
        </w:tc>
        <w:tc>
          <w:tcPr>
            <w:tcW w:w="626" w:type="pct"/>
            <w:vMerge w:val="restart"/>
            <w:tcBorders>
              <w:top w:val="single" w:sz="8" w:space="0" w:color="auto"/>
              <w:left w:val="single" w:sz="4" w:space="0" w:color="auto"/>
              <w:right w:val="single" w:sz="4" w:space="0" w:color="auto"/>
            </w:tcBorders>
          </w:tcPr>
          <w:p w14:paraId="7D4F8A00" w14:textId="77777777" w:rsidR="000F0341" w:rsidRPr="00832E0E" w:rsidRDefault="000F0341" w:rsidP="00E40B0D">
            <w:pPr>
              <w:spacing w:line="240" w:lineRule="auto"/>
              <w:jc w:val="left"/>
              <w:rPr>
                <w:sz w:val="14"/>
                <w:szCs w:val="14"/>
              </w:rPr>
            </w:pPr>
            <w:r w:rsidRPr="00BF62A1">
              <w:rPr>
                <w:sz w:val="14"/>
                <w:szCs w:val="14"/>
              </w:rPr>
              <w:t>-</w:t>
            </w:r>
          </w:p>
        </w:tc>
        <w:tc>
          <w:tcPr>
            <w:tcW w:w="624" w:type="pct"/>
            <w:tcBorders>
              <w:top w:val="single" w:sz="8" w:space="0" w:color="auto"/>
              <w:left w:val="single" w:sz="4" w:space="0" w:color="auto"/>
              <w:bottom w:val="single" w:sz="4" w:space="0" w:color="auto"/>
              <w:right w:val="single" w:sz="4" w:space="0" w:color="auto"/>
            </w:tcBorders>
          </w:tcPr>
          <w:p w14:paraId="6F6E2E90" w14:textId="77777777" w:rsidR="000F0341" w:rsidRPr="00832E0E" w:rsidRDefault="000F0341" w:rsidP="00E40B0D">
            <w:pPr>
              <w:spacing w:line="240" w:lineRule="auto"/>
              <w:jc w:val="left"/>
              <w:rPr>
                <w:sz w:val="14"/>
                <w:szCs w:val="14"/>
              </w:rPr>
            </w:pPr>
            <w:r w:rsidRPr="00BF62A1">
              <w:rPr>
                <w:sz w:val="14"/>
                <w:szCs w:val="14"/>
              </w:rPr>
              <w:t>Average</w:t>
            </w:r>
          </w:p>
        </w:tc>
        <w:tc>
          <w:tcPr>
            <w:tcW w:w="782" w:type="pct"/>
            <w:tcBorders>
              <w:top w:val="single" w:sz="8" w:space="0" w:color="auto"/>
              <w:left w:val="single" w:sz="4" w:space="0" w:color="auto"/>
              <w:right w:val="single" w:sz="4" w:space="0" w:color="auto"/>
            </w:tcBorders>
          </w:tcPr>
          <w:p w14:paraId="70FD4139" w14:textId="77777777" w:rsidR="000F0341" w:rsidRPr="00832E0E" w:rsidRDefault="000F0341" w:rsidP="00E40B0D">
            <w:pPr>
              <w:spacing w:line="240" w:lineRule="auto"/>
              <w:jc w:val="left"/>
              <w:rPr>
                <w:sz w:val="14"/>
                <w:szCs w:val="14"/>
              </w:rPr>
            </w:pPr>
            <w:r w:rsidRPr="00BF62A1">
              <w:rPr>
                <w:sz w:val="14"/>
                <w:szCs w:val="14"/>
              </w:rPr>
              <w:t>1-3</w:t>
            </w:r>
          </w:p>
        </w:tc>
        <w:tc>
          <w:tcPr>
            <w:tcW w:w="739" w:type="pct"/>
            <w:tcBorders>
              <w:top w:val="single" w:sz="8" w:space="0" w:color="auto"/>
              <w:left w:val="single" w:sz="4" w:space="0" w:color="auto"/>
              <w:right w:val="single" w:sz="4" w:space="0" w:color="auto"/>
            </w:tcBorders>
          </w:tcPr>
          <w:p w14:paraId="3EBC0BBD" w14:textId="77777777" w:rsidR="000F0341" w:rsidRPr="00832E0E" w:rsidRDefault="000F0341" w:rsidP="00E40B0D">
            <w:pPr>
              <w:spacing w:line="240" w:lineRule="auto"/>
              <w:jc w:val="left"/>
              <w:rPr>
                <w:sz w:val="14"/>
                <w:szCs w:val="14"/>
              </w:rPr>
            </w:pPr>
            <w:r w:rsidRPr="00BF62A1">
              <w:rPr>
                <w:sz w:val="14"/>
                <w:szCs w:val="14"/>
              </w:rPr>
              <w:t>421 / 468 / 461</w:t>
            </w:r>
          </w:p>
        </w:tc>
        <w:tc>
          <w:tcPr>
            <w:tcW w:w="980" w:type="pct"/>
            <w:tcBorders>
              <w:top w:val="single" w:sz="8" w:space="0" w:color="auto"/>
              <w:left w:val="single" w:sz="4" w:space="0" w:color="auto"/>
              <w:right w:val="single" w:sz="4" w:space="0" w:color="auto"/>
            </w:tcBorders>
          </w:tcPr>
          <w:p w14:paraId="4F1B1804" w14:textId="77777777" w:rsidR="000F0341" w:rsidRPr="00832E0E" w:rsidRDefault="000F0341" w:rsidP="00E40B0D">
            <w:pPr>
              <w:spacing w:line="240" w:lineRule="auto"/>
              <w:jc w:val="left"/>
              <w:rPr>
                <w:sz w:val="14"/>
                <w:szCs w:val="14"/>
              </w:rPr>
            </w:pPr>
            <w:r w:rsidRPr="00BF62A1">
              <w:rPr>
                <w:sz w:val="14"/>
                <w:szCs w:val="14"/>
              </w:rPr>
              <w:t>77 / 78 / 74</w:t>
            </w:r>
          </w:p>
        </w:tc>
      </w:tr>
      <w:tr w:rsidR="000F0341" w:rsidRPr="00832E0E" w14:paraId="037AE693" w14:textId="77777777" w:rsidTr="00E40B0D">
        <w:trPr>
          <w:trHeight w:val="20"/>
        </w:trPr>
        <w:tc>
          <w:tcPr>
            <w:tcW w:w="782" w:type="pct"/>
            <w:vMerge/>
            <w:tcBorders>
              <w:left w:val="single" w:sz="4" w:space="0" w:color="auto"/>
              <w:right w:val="single" w:sz="4" w:space="0" w:color="auto"/>
            </w:tcBorders>
          </w:tcPr>
          <w:p w14:paraId="7643A8CC" w14:textId="77777777" w:rsidR="000F0341" w:rsidRPr="00832E0E" w:rsidRDefault="000F0341" w:rsidP="00E40B0D">
            <w:pPr>
              <w:spacing w:line="240" w:lineRule="auto"/>
              <w:jc w:val="left"/>
              <w:rPr>
                <w:color w:val="000000"/>
                <w:sz w:val="14"/>
                <w:szCs w:val="14"/>
              </w:rPr>
            </w:pPr>
          </w:p>
        </w:tc>
        <w:tc>
          <w:tcPr>
            <w:tcW w:w="468" w:type="pct"/>
            <w:vMerge/>
            <w:tcBorders>
              <w:left w:val="single" w:sz="4" w:space="0" w:color="auto"/>
              <w:right w:val="single" w:sz="4" w:space="0" w:color="auto"/>
            </w:tcBorders>
          </w:tcPr>
          <w:p w14:paraId="1CAFA062" w14:textId="77777777" w:rsidR="000F0341" w:rsidRPr="00832E0E" w:rsidRDefault="000F0341" w:rsidP="00E40B0D">
            <w:pPr>
              <w:spacing w:line="240" w:lineRule="auto"/>
              <w:jc w:val="left"/>
              <w:rPr>
                <w:sz w:val="14"/>
                <w:szCs w:val="14"/>
              </w:rPr>
            </w:pPr>
          </w:p>
        </w:tc>
        <w:tc>
          <w:tcPr>
            <w:tcW w:w="626" w:type="pct"/>
            <w:vMerge/>
            <w:tcBorders>
              <w:left w:val="single" w:sz="4" w:space="0" w:color="auto"/>
              <w:right w:val="single" w:sz="4" w:space="0" w:color="auto"/>
            </w:tcBorders>
          </w:tcPr>
          <w:p w14:paraId="18A89643" w14:textId="77777777" w:rsidR="000F0341" w:rsidRPr="00832E0E"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169946D5" w14:textId="77777777" w:rsidR="000F0341" w:rsidRPr="00832E0E" w:rsidRDefault="000F0341" w:rsidP="00E40B0D">
            <w:pPr>
              <w:spacing w:line="240" w:lineRule="auto"/>
              <w:jc w:val="left"/>
              <w:rPr>
                <w:sz w:val="14"/>
                <w:szCs w:val="14"/>
              </w:rPr>
            </w:pPr>
            <w:r w:rsidRPr="00BF62A1">
              <w:rPr>
                <w:sz w:val="14"/>
                <w:szCs w:val="14"/>
              </w:rPr>
              <w:t>Above average</w:t>
            </w:r>
          </w:p>
        </w:tc>
        <w:tc>
          <w:tcPr>
            <w:tcW w:w="782" w:type="pct"/>
            <w:tcBorders>
              <w:left w:val="single" w:sz="4" w:space="0" w:color="auto"/>
              <w:right w:val="single" w:sz="4" w:space="0" w:color="auto"/>
            </w:tcBorders>
          </w:tcPr>
          <w:p w14:paraId="113F1F97" w14:textId="77777777" w:rsidR="000F0341" w:rsidRPr="00832E0E" w:rsidRDefault="000F0341" w:rsidP="00E40B0D">
            <w:pPr>
              <w:spacing w:line="240" w:lineRule="auto"/>
              <w:jc w:val="left"/>
              <w:rPr>
                <w:sz w:val="14"/>
                <w:szCs w:val="14"/>
              </w:rPr>
            </w:pPr>
            <w:r w:rsidRPr="00BF62A1">
              <w:rPr>
                <w:sz w:val="14"/>
                <w:szCs w:val="14"/>
              </w:rPr>
              <w:t>4-7</w:t>
            </w:r>
          </w:p>
        </w:tc>
        <w:tc>
          <w:tcPr>
            <w:tcW w:w="739" w:type="pct"/>
            <w:tcBorders>
              <w:left w:val="single" w:sz="4" w:space="0" w:color="auto"/>
              <w:right w:val="single" w:sz="4" w:space="0" w:color="auto"/>
            </w:tcBorders>
          </w:tcPr>
          <w:p w14:paraId="3DAB9EE6" w14:textId="77777777" w:rsidR="000F0341" w:rsidRPr="00832E0E" w:rsidRDefault="000F0341" w:rsidP="00E40B0D">
            <w:pPr>
              <w:spacing w:line="240" w:lineRule="auto"/>
              <w:jc w:val="left"/>
              <w:rPr>
                <w:sz w:val="14"/>
                <w:szCs w:val="14"/>
              </w:rPr>
            </w:pPr>
            <w:r w:rsidRPr="00BF62A1">
              <w:rPr>
                <w:sz w:val="14"/>
                <w:szCs w:val="14"/>
              </w:rPr>
              <w:t>453 / 455 / 464</w:t>
            </w:r>
          </w:p>
        </w:tc>
        <w:tc>
          <w:tcPr>
            <w:tcW w:w="980" w:type="pct"/>
            <w:tcBorders>
              <w:left w:val="single" w:sz="4" w:space="0" w:color="auto"/>
              <w:right w:val="single" w:sz="4" w:space="0" w:color="auto"/>
            </w:tcBorders>
          </w:tcPr>
          <w:p w14:paraId="7BFBBC7C" w14:textId="77777777" w:rsidR="000F0341" w:rsidRPr="00832E0E" w:rsidRDefault="000F0341" w:rsidP="00E40B0D">
            <w:pPr>
              <w:spacing w:line="240" w:lineRule="auto"/>
              <w:jc w:val="left"/>
              <w:rPr>
                <w:sz w:val="14"/>
                <w:szCs w:val="14"/>
              </w:rPr>
            </w:pPr>
            <w:r w:rsidRPr="00BF62A1">
              <w:rPr>
                <w:sz w:val="14"/>
                <w:szCs w:val="14"/>
              </w:rPr>
              <w:t>20 / 20 / 22</w:t>
            </w:r>
          </w:p>
        </w:tc>
      </w:tr>
      <w:tr w:rsidR="000F0341" w:rsidRPr="00832E0E" w14:paraId="3383832B" w14:textId="77777777" w:rsidTr="00E40B0D">
        <w:trPr>
          <w:trHeight w:val="20"/>
        </w:trPr>
        <w:tc>
          <w:tcPr>
            <w:tcW w:w="782" w:type="pct"/>
            <w:vMerge/>
            <w:tcBorders>
              <w:left w:val="single" w:sz="4" w:space="0" w:color="auto"/>
              <w:bottom w:val="single" w:sz="8" w:space="0" w:color="auto"/>
              <w:right w:val="single" w:sz="4" w:space="0" w:color="auto"/>
            </w:tcBorders>
          </w:tcPr>
          <w:p w14:paraId="1CEC3CE4" w14:textId="77777777" w:rsidR="000F0341" w:rsidRPr="00832E0E" w:rsidRDefault="000F0341" w:rsidP="00E40B0D">
            <w:pPr>
              <w:spacing w:line="240" w:lineRule="auto"/>
              <w:jc w:val="left"/>
              <w:rPr>
                <w:color w:val="000000"/>
                <w:sz w:val="14"/>
                <w:szCs w:val="14"/>
              </w:rPr>
            </w:pPr>
          </w:p>
        </w:tc>
        <w:tc>
          <w:tcPr>
            <w:tcW w:w="468" w:type="pct"/>
            <w:vMerge/>
            <w:tcBorders>
              <w:left w:val="single" w:sz="4" w:space="0" w:color="auto"/>
              <w:bottom w:val="single" w:sz="8" w:space="0" w:color="auto"/>
              <w:right w:val="single" w:sz="4" w:space="0" w:color="auto"/>
            </w:tcBorders>
          </w:tcPr>
          <w:p w14:paraId="2DE8C61B" w14:textId="77777777" w:rsidR="000F0341" w:rsidRPr="00832E0E" w:rsidRDefault="000F0341" w:rsidP="00E40B0D">
            <w:pPr>
              <w:spacing w:line="240" w:lineRule="auto"/>
              <w:jc w:val="left"/>
              <w:rPr>
                <w:sz w:val="14"/>
                <w:szCs w:val="14"/>
              </w:rPr>
            </w:pPr>
          </w:p>
        </w:tc>
        <w:tc>
          <w:tcPr>
            <w:tcW w:w="626" w:type="pct"/>
            <w:vMerge/>
            <w:tcBorders>
              <w:left w:val="single" w:sz="4" w:space="0" w:color="auto"/>
              <w:bottom w:val="single" w:sz="8" w:space="0" w:color="auto"/>
              <w:right w:val="single" w:sz="4" w:space="0" w:color="auto"/>
            </w:tcBorders>
          </w:tcPr>
          <w:p w14:paraId="5604B407" w14:textId="77777777" w:rsidR="000F0341" w:rsidRPr="00832E0E" w:rsidRDefault="000F0341" w:rsidP="00E40B0D">
            <w:pPr>
              <w:spacing w:line="240" w:lineRule="auto"/>
              <w:jc w:val="left"/>
              <w:rPr>
                <w:sz w:val="14"/>
                <w:szCs w:val="14"/>
              </w:rPr>
            </w:pPr>
          </w:p>
        </w:tc>
        <w:tc>
          <w:tcPr>
            <w:tcW w:w="624" w:type="pct"/>
            <w:tcBorders>
              <w:top w:val="single" w:sz="4" w:space="0" w:color="auto"/>
              <w:left w:val="single" w:sz="4" w:space="0" w:color="auto"/>
              <w:bottom w:val="single" w:sz="8" w:space="0" w:color="auto"/>
              <w:right w:val="single" w:sz="4" w:space="0" w:color="auto"/>
            </w:tcBorders>
          </w:tcPr>
          <w:p w14:paraId="0D7B4F8E" w14:textId="77777777" w:rsidR="000F0341" w:rsidRPr="00832E0E" w:rsidRDefault="000F0341" w:rsidP="00E40B0D">
            <w:pPr>
              <w:spacing w:line="240" w:lineRule="auto"/>
              <w:jc w:val="left"/>
              <w:rPr>
                <w:sz w:val="14"/>
                <w:szCs w:val="14"/>
              </w:rPr>
            </w:pPr>
            <w:r w:rsidRPr="00BF62A1">
              <w:rPr>
                <w:sz w:val="14"/>
                <w:szCs w:val="14"/>
              </w:rPr>
              <w:t>High</w:t>
            </w:r>
          </w:p>
        </w:tc>
        <w:tc>
          <w:tcPr>
            <w:tcW w:w="782" w:type="pct"/>
            <w:tcBorders>
              <w:left w:val="single" w:sz="4" w:space="0" w:color="auto"/>
              <w:bottom w:val="single" w:sz="8" w:space="0" w:color="auto"/>
              <w:right w:val="single" w:sz="4" w:space="0" w:color="auto"/>
            </w:tcBorders>
          </w:tcPr>
          <w:p w14:paraId="4EA7BA59" w14:textId="77777777" w:rsidR="000F0341" w:rsidRPr="00832E0E" w:rsidRDefault="000F0341" w:rsidP="00E40B0D">
            <w:pPr>
              <w:spacing w:line="240" w:lineRule="auto"/>
              <w:jc w:val="left"/>
              <w:rPr>
                <w:sz w:val="14"/>
                <w:szCs w:val="14"/>
              </w:rPr>
            </w:pPr>
            <w:r w:rsidRPr="00BF62A1">
              <w:rPr>
                <w:sz w:val="14"/>
                <w:szCs w:val="14"/>
              </w:rPr>
              <w:t>≥8</w:t>
            </w:r>
          </w:p>
        </w:tc>
        <w:tc>
          <w:tcPr>
            <w:tcW w:w="739" w:type="pct"/>
            <w:tcBorders>
              <w:left w:val="single" w:sz="4" w:space="0" w:color="auto"/>
              <w:bottom w:val="single" w:sz="8" w:space="0" w:color="auto"/>
              <w:right w:val="single" w:sz="4" w:space="0" w:color="auto"/>
            </w:tcBorders>
          </w:tcPr>
          <w:p w14:paraId="13A4D847" w14:textId="77777777" w:rsidR="000F0341" w:rsidRPr="00832E0E" w:rsidRDefault="000F0341" w:rsidP="00E40B0D">
            <w:pPr>
              <w:spacing w:line="240" w:lineRule="auto"/>
              <w:jc w:val="left"/>
              <w:rPr>
                <w:sz w:val="14"/>
                <w:szCs w:val="14"/>
              </w:rPr>
            </w:pPr>
            <w:r w:rsidRPr="00BF62A1">
              <w:rPr>
                <w:sz w:val="14"/>
                <w:szCs w:val="14"/>
              </w:rPr>
              <w:t>472 / 474 / 496</w:t>
            </w:r>
          </w:p>
        </w:tc>
        <w:tc>
          <w:tcPr>
            <w:tcW w:w="980" w:type="pct"/>
            <w:tcBorders>
              <w:left w:val="single" w:sz="4" w:space="0" w:color="auto"/>
              <w:bottom w:val="single" w:sz="8" w:space="0" w:color="auto"/>
              <w:right w:val="single" w:sz="4" w:space="0" w:color="auto"/>
            </w:tcBorders>
          </w:tcPr>
          <w:p w14:paraId="3609DD82" w14:textId="77777777" w:rsidR="000F0341" w:rsidRPr="00832E0E" w:rsidRDefault="000F0341" w:rsidP="00E40B0D">
            <w:pPr>
              <w:spacing w:line="240" w:lineRule="auto"/>
              <w:jc w:val="left"/>
              <w:rPr>
                <w:sz w:val="14"/>
                <w:szCs w:val="14"/>
              </w:rPr>
            </w:pPr>
            <w:r w:rsidRPr="00BF62A1">
              <w:rPr>
                <w:sz w:val="14"/>
                <w:szCs w:val="14"/>
              </w:rPr>
              <w:t xml:space="preserve">11 </w:t>
            </w:r>
            <w:r w:rsidRPr="00832E0E">
              <w:rPr>
                <w:sz w:val="14"/>
                <w:szCs w:val="14"/>
              </w:rPr>
              <w:t>/ 11 / 13</w:t>
            </w:r>
          </w:p>
        </w:tc>
      </w:tr>
      <w:tr w:rsidR="000F0341" w:rsidRPr="00832E0E" w14:paraId="39D80370" w14:textId="77777777" w:rsidTr="00E40B0D">
        <w:trPr>
          <w:trHeight w:val="20"/>
        </w:trPr>
        <w:tc>
          <w:tcPr>
            <w:tcW w:w="782" w:type="pct"/>
            <w:vMerge w:val="restart"/>
            <w:tcBorders>
              <w:top w:val="single" w:sz="8" w:space="0" w:color="auto"/>
              <w:left w:val="single" w:sz="4" w:space="0" w:color="auto"/>
              <w:right w:val="single" w:sz="4" w:space="0" w:color="auto"/>
            </w:tcBorders>
          </w:tcPr>
          <w:p w14:paraId="574BD246" w14:textId="77777777" w:rsidR="000F0341" w:rsidRPr="00832E0E" w:rsidRDefault="000F0341" w:rsidP="00E40B0D">
            <w:pPr>
              <w:spacing w:line="240" w:lineRule="auto"/>
              <w:jc w:val="left"/>
              <w:rPr>
                <w:color w:val="000000"/>
                <w:sz w:val="14"/>
                <w:szCs w:val="14"/>
              </w:rPr>
            </w:pPr>
            <w:r w:rsidRPr="00BF62A1">
              <w:rPr>
                <w:color w:val="000000"/>
                <w:sz w:val="14"/>
                <w:szCs w:val="14"/>
              </w:rPr>
              <w:t xml:space="preserve">Viganó 2020 </w:t>
            </w:r>
            <w:r w:rsidRPr="00832E0E">
              <w:rPr>
                <w:color w:val="000000"/>
                <w:sz w:val="14"/>
                <w:szCs w:val="14"/>
              </w:rPr>
              <w:fldChar w:fldCharType="begin"/>
            </w:r>
            <w:r>
              <w:rPr>
                <w:color w:val="000000"/>
                <w:sz w:val="14"/>
                <w:szCs w:val="14"/>
              </w:rPr>
              <w:instrText xml:space="preserve"> ADDIN ZOTERO_ITEM CSL_CITATION {"citationID":"SDdGZjAf","properties":{"formattedCitation":"[66]","plainCitation":"[66]","noteIndex":0},"citationItems":[{"id":14146,"uris":["http://zotero.org/groups/4983919/items/NNQAN5ZK"],"itemData":{"id":14146,"type":"article-journal","abstract":"BACKGROUND: Surgical outcomes may be associated with hospital volume and the influence of volume on minimally invasive liver surgery (MILS) is not known. METHODS: Patients entered into the prospective registry of the Italian Group of MILS from 2014 to 2018 were considered. Only centres with an accrual period of at least 12 months and stable MILS activity during the enrolment period were included. Case volume was defined by the mean number of minimally invasive liver resections performed per month (MILS/month). RESULTS: A total of 2225 MILS operations were undertaken by 46 centres; nine centres performed more than two MILS/month (1376 patients) and 37 centres carried out two or fewer MILS/month (849 patients). The proportion of resections of anterolateral segments decreased with case volume, whereas that of major hepatectomies increased. Left lateral sectionectomies and resections of anterolateral segments had similar outcome in the two groups. Resections of posterosuperior segments and major hepatectomies had higher overall and severe morbidity rates in centres performing two or fewer MILS/month than in those undertaking a larger number (posterosuperior segments resections: overall morbidity 30·4 versus 18·7 per cent respectively, and severe morbidity 9·9 versus 4·0 per cent; left hepatectomy: 46 versus 22 per cent, and 19 versus 5 per cent; right hepatectomy: 42 versus 34 per cent, and 25 versus 15 per cent). CONCLUSION: A volume-outcome association existed for minimally invasive hepatectomy. Complex and major resections may be best managed in high-volume centres.","container-title":"Br J Surg","DOI":"10.1002/bjs.11369","ISSN":"0007-1323","issue":"4","language":"eng","note":"publisher-place: Department of Hepatobiliary and General Surgery, Humanitas Clinical and Research Centre, Humanitas University, Rozzano, Italy. Department of Surgery, Ospedale San Raffaele, Milan, Italy. Department of Digestive and Hepatobiliary Surgery, Mauriziano Umberto I Hospital, Turin, Italy. Hepato-Biliary and Liver Transplantation Unit, University of Padua, Padua, Italy. Department of Surgery, Division of General and Hepatobiliary Surgery, G.B. Rossi University Hospital, University of Verona, Verona, Italy. Division of General Surgery and Liver Transplantation, San Camillo Hospital, Rome, Italy. Hepatobiliary Surgery Unit, A. Gemelli Hospital, Università Cattolica del Sacro Cuore, Rome, Italy. Department of Surgery, University Hospital of Parma, Parma, Italy. Department of Gastrointestinal Surgery and Liver Transplantation, Fondazione IRCCS Istituto Nazionale Tumori, University of Milan, Milan, Italy. Department of Surgery, Maggiore Hospital, Bologna, Italy. Department of General Surgery and Transplantation, ASST Grande Ospedale Metropolitano Niguarda, Milan, Italy. Department of Hepatopancreatobiliary Surgery, Pinetagrande Hospital, Castelvolturno, Italy.","page":"443-451","title":"Multicentre evaluation of case volume in minimally invasive hepatectomy","volume":"107","author":[{"family":"Viganò","given":"L."},{"family":"Cimino","given":"M."},{"family":"Aldrighetti","given":"L."},{"family":"Ferrero","given":"A."},{"family":"Cillo","given":"U."},{"family":"Guglielmi","given":"A."},{"family":"Ettorre","given":"G. M."},{"family":"Giuliante","given":"F."},{"family":"Dalla Valle","given":"R."},{"family":"Mazzaferro","given":"V."},{"family":"Jovine","given":"E."},{"family":"De Carlis","given":"L."},{"family":"Calise","given":"F."},{"family":"Torzilli","given":"G."}],"issued":{"date-parts":[["2020",3]]}}}],"schema":"https://github.com/citation-style-language/schema/raw/master/csl-citation.json"} </w:instrText>
            </w:r>
            <w:r w:rsidRPr="00832E0E">
              <w:rPr>
                <w:color w:val="000000"/>
                <w:sz w:val="14"/>
                <w:szCs w:val="14"/>
              </w:rPr>
              <w:fldChar w:fldCharType="separate"/>
            </w:r>
            <w:r w:rsidRPr="004125CE">
              <w:rPr>
                <w:sz w:val="14"/>
              </w:rPr>
              <w:t>[66]</w:t>
            </w:r>
            <w:r w:rsidRPr="00832E0E">
              <w:rPr>
                <w:color w:val="000000"/>
                <w:sz w:val="14"/>
                <w:szCs w:val="14"/>
              </w:rPr>
              <w:fldChar w:fldCharType="end"/>
            </w:r>
          </w:p>
        </w:tc>
        <w:tc>
          <w:tcPr>
            <w:tcW w:w="468" w:type="pct"/>
            <w:vMerge w:val="restart"/>
            <w:tcBorders>
              <w:top w:val="single" w:sz="8" w:space="0" w:color="auto"/>
              <w:left w:val="single" w:sz="4" w:space="0" w:color="auto"/>
              <w:right w:val="single" w:sz="4" w:space="0" w:color="auto"/>
            </w:tcBorders>
          </w:tcPr>
          <w:p w14:paraId="12CEB67A" w14:textId="77777777" w:rsidR="000F0341" w:rsidRPr="00832E0E" w:rsidRDefault="000F0341" w:rsidP="00E40B0D">
            <w:pPr>
              <w:spacing w:line="240" w:lineRule="auto"/>
              <w:jc w:val="left"/>
              <w:rPr>
                <w:sz w:val="14"/>
                <w:szCs w:val="14"/>
              </w:rPr>
            </w:pPr>
            <w:r w:rsidRPr="00BF62A1">
              <w:rPr>
                <w:sz w:val="14"/>
                <w:szCs w:val="14"/>
              </w:rPr>
              <w:t>2225</w:t>
            </w:r>
          </w:p>
        </w:tc>
        <w:tc>
          <w:tcPr>
            <w:tcW w:w="626" w:type="pct"/>
            <w:vMerge w:val="restart"/>
            <w:tcBorders>
              <w:top w:val="single" w:sz="8" w:space="0" w:color="auto"/>
              <w:left w:val="single" w:sz="4" w:space="0" w:color="auto"/>
              <w:right w:val="single" w:sz="4" w:space="0" w:color="auto"/>
            </w:tcBorders>
          </w:tcPr>
          <w:p w14:paraId="1F3B2124" w14:textId="77777777" w:rsidR="000F0341" w:rsidRPr="00832E0E" w:rsidRDefault="000F0341" w:rsidP="00E40B0D">
            <w:pPr>
              <w:spacing w:line="240" w:lineRule="auto"/>
              <w:jc w:val="left"/>
              <w:rPr>
                <w:sz w:val="14"/>
                <w:szCs w:val="14"/>
              </w:rPr>
            </w:pPr>
            <w:r w:rsidRPr="00BF62A1">
              <w:rPr>
                <w:sz w:val="14"/>
                <w:szCs w:val="14"/>
              </w:rPr>
              <w:t>-</w:t>
            </w:r>
          </w:p>
        </w:tc>
        <w:tc>
          <w:tcPr>
            <w:tcW w:w="624" w:type="pct"/>
            <w:tcBorders>
              <w:top w:val="single" w:sz="8" w:space="0" w:color="auto"/>
              <w:left w:val="single" w:sz="4" w:space="0" w:color="auto"/>
              <w:bottom w:val="single" w:sz="4" w:space="0" w:color="auto"/>
              <w:right w:val="single" w:sz="4" w:space="0" w:color="auto"/>
            </w:tcBorders>
          </w:tcPr>
          <w:p w14:paraId="3A732C1C" w14:textId="77777777" w:rsidR="000F0341" w:rsidRPr="00832E0E" w:rsidRDefault="000F0341" w:rsidP="00E40B0D">
            <w:pPr>
              <w:spacing w:line="240" w:lineRule="auto"/>
              <w:jc w:val="left"/>
              <w:rPr>
                <w:sz w:val="14"/>
                <w:szCs w:val="14"/>
              </w:rPr>
            </w:pPr>
            <w:r w:rsidRPr="00BF62A1">
              <w:rPr>
                <w:sz w:val="14"/>
                <w:szCs w:val="14"/>
              </w:rPr>
              <w:t>Low / low</w:t>
            </w:r>
          </w:p>
        </w:tc>
        <w:tc>
          <w:tcPr>
            <w:tcW w:w="782" w:type="pct"/>
            <w:tcBorders>
              <w:top w:val="single" w:sz="8" w:space="0" w:color="auto"/>
              <w:left w:val="single" w:sz="4" w:space="0" w:color="auto"/>
              <w:right w:val="single" w:sz="4" w:space="0" w:color="auto"/>
            </w:tcBorders>
          </w:tcPr>
          <w:p w14:paraId="6F6FF354" w14:textId="77777777" w:rsidR="000F0341" w:rsidRPr="00832E0E" w:rsidRDefault="000F0341" w:rsidP="00E40B0D">
            <w:pPr>
              <w:spacing w:line="240" w:lineRule="auto"/>
              <w:jc w:val="left"/>
              <w:rPr>
                <w:sz w:val="14"/>
                <w:szCs w:val="14"/>
                <w:vertAlign w:val="superscript"/>
              </w:rPr>
            </w:pPr>
            <w:r w:rsidRPr="00BF62A1">
              <w:rPr>
                <w:sz w:val="14"/>
                <w:szCs w:val="14"/>
              </w:rPr>
              <w:t>≤2</w:t>
            </w:r>
            <w:r w:rsidRPr="00832E0E">
              <w:rPr>
                <w:sz w:val="14"/>
                <w:szCs w:val="14"/>
                <w:vertAlign w:val="superscript"/>
              </w:rPr>
              <w:t xml:space="preserve">3 </w:t>
            </w:r>
            <w:r w:rsidRPr="00832E0E">
              <w:rPr>
                <w:sz w:val="14"/>
                <w:szCs w:val="14"/>
              </w:rPr>
              <w:t>/ ≤50</w:t>
            </w:r>
            <w:r w:rsidRPr="00832E0E">
              <w:rPr>
                <w:sz w:val="14"/>
                <w:szCs w:val="14"/>
                <w:vertAlign w:val="superscript"/>
              </w:rPr>
              <w:t>4</w:t>
            </w:r>
          </w:p>
        </w:tc>
        <w:tc>
          <w:tcPr>
            <w:tcW w:w="739" w:type="pct"/>
            <w:tcBorders>
              <w:top w:val="single" w:sz="8" w:space="0" w:color="auto"/>
              <w:left w:val="single" w:sz="4" w:space="0" w:color="auto"/>
              <w:right w:val="single" w:sz="4" w:space="0" w:color="auto"/>
            </w:tcBorders>
          </w:tcPr>
          <w:p w14:paraId="34D6D075" w14:textId="77777777" w:rsidR="000F0341" w:rsidRPr="00832E0E" w:rsidRDefault="000F0341" w:rsidP="00E40B0D">
            <w:pPr>
              <w:spacing w:line="240" w:lineRule="auto"/>
              <w:jc w:val="left"/>
              <w:rPr>
                <w:sz w:val="14"/>
                <w:szCs w:val="14"/>
              </w:rPr>
            </w:pPr>
            <w:r w:rsidRPr="00BF62A1">
              <w:rPr>
                <w:sz w:val="14"/>
                <w:szCs w:val="14"/>
              </w:rPr>
              <w:t>849 / 442</w:t>
            </w:r>
          </w:p>
        </w:tc>
        <w:tc>
          <w:tcPr>
            <w:tcW w:w="980" w:type="pct"/>
            <w:tcBorders>
              <w:top w:val="single" w:sz="8" w:space="0" w:color="auto"/>
              <w:left w:val="single" w:sz="4" w:space="0" w:color="auto"/>
              <w:right w:val="single" w:sz="4" w:space="0" w:color="auto"/>
            </w:tcBorders>
          </w:tcPr>
          <w:p w14:paraId="3007E48F" w14:textId="77777777" w:rsidR="000F0341" w:rsidRPr="00832E0E" w:rsidRDefault="000F0341" w:rsidP="00E40B0D">
            <w:pPr>
              <w:spacing w:line="240" w:lineRule="auto"/>
              <w:jc w:val="left"/>
              <w:rPr>
                <w:sz w:val="14"/>
                <w:szCs w:val="14"/>
                <w:vertAlign w:val="superscript"/>
              </w:rPr>
            </w:pPr>
            <w:r w:rsidRPr="00BF62A1">
              <w:rPr>
                <w:sz w:val="14"/>
                <w:szCs w:val="14"/>
              </w:rPr>
              <w:t>37 / 23</w:t>
            </w:r>
            <w:r w:rsidRPr="00832E0E">
              <w:rPr>
                <w:sz w:val="14"/>
                <w:szCs w:val="14"/>
                <w:vertAlign w:val="superscript"/>
              </w:rPr>
              <w:t>a</w:t>
            </w:r>
          </w:p>
        </w:tc>
      </w:tr>
      <w:tr w:rsidR="000F0341" w:rsidRPr="00832E0E" w14:paraId="619E19D0" w14:textId="77777777" w:rsidTr="00E40B0D">
        <w:trPr>
          <w:trHeight w:val="20"/>
        </w:trPr>
        <w:tc>
          <w:tcPr>
            <w:tcW w:w="782" w:type="pct"/>
            <w:vMerge/>
            <w:tcBorders>
              <w:left w:val="single" w:sz="4" w:space="0" w:color="auto"/>
              <w:bottom w:val="single" w:sz="4" w:space="0" w:color="auto"/>
              <w:right w:val="single" w:sz="4" w:space="0" w:color="auto"/>
            </w:tcBorders>
          </w:tcPr>
          <w:p w14:paraId="2F08B016" w14:textId="77777777" w:rsidR="000F0341" w:rsidRPr="00832E0E" w:rsidRDefault="000F0341" w:rsidP="00E40B0D">
            <w:pPr>
              <w:spacing w:line="240" w:lineRule="auto"/>
              <w:jc w:val="left"/>
              <w:rPr>
                <w:color w:val="000000"/>
                <w:sz w:val="14"/>
                <w:szCs w:val="14"/>
              </w:rPr>
            </w:pPr>
          </w:p>
        </w:tc>
        <w:tc>
          <w:tcPr>
            <w:tcW w:w="468" w:type="pct"/>
            <w:vMerge/>
            <w:tcBorders>
              <w:left w:val="single" w:sz="4" w:space="0" w:color="auto"/>
              <w:bottom w:val="single" w:sz="4" w:space="0" w:color="auto"/>
              <w:right w:val="single" w:sz="4" w:space="0" w:color="auto"/>
            </w:tcBorders>
          </w:tcPr>
          <w:p w14:paraId="7B581202" w14:textId="77777777" w:rsidR="000F0341" w:rsidRPr="00832E0E" w:rsidRDefault="000F0341" w:rsidP="00E40B0D">
            <w:pPr>
              <w:spacing w:line="240" w:lineRule="auto"/>
              <w:jc w:val="left"/>
              <w:rPr>
                <w:sz w:val="14"/>
                <w:szCs w:val="14"/>
              </w:rPr>
            </w:pPr>
          </w:p>
        </w:tc>
        <w:tc>
          <w:tcPr>
            <w:tcW w:w="626" w:type="pct"/>
            <w:vMerge/>
            <w:tcBorders>
              <w:left w:val="single" w:sz="4" w:space="0" w:color="auto"/>
              <w:bottom w:val="single" w:sz="4" w:space="0" w:color="auto"/>
              <w:right w:val="single" w:sz="4" w:space="0" w:color="auto"/>
            </w:tcBorders>
          </w:tcPr>
          <w:p w14:paraId="7CB7C4A5" w14:textId="77777777" w:rsidR="000F0341" w:rsidRPr="00832E0E" w:rsidRDefault="000F0341" w:rsidP="00E40B0D">
            <w:pPr>
              <w:spacing w:line="240" w:lineRule="auto"/>
              <w:jc w:val="left"/>
              <w:rPr>
                <w:sz w:val="14"/>
                <w:szCs w:val="14"/>
              </w:rPr>
            </w:pPr>
          </w:p>
        </w:tc>
        <w:tc>
          <w:tcPr>
            <w:tcW w:w="624" w:type="pct"/>
            <w:tcBorders>
              <w:top w:val="single" w:sz="4" w:space="0" w:color="auto"/>
              <w:left w:val="single" w:sz="4" w:space="0" w:color="auto"/>
              <w:bottom w:val="single" w:sz="4" w:space="0" w:color="auto"/>
              <w:right w:val="single" w:sz="4" w:space="0" w:color="auto"/>
            </w:tcBorders>
          </w:tcPr>
          <w:p w14:paraId="30FFD9C4" w14:textId="77777777" w:rsidR="000F0341" w:rsidRPr="00832E0E" w:rsidRDefault="000F0341" w:rsidP="00E40B0D">
            <w:pPr>
              <w:spacing w:line="240" w:lineRule="auto"/>
              <w:jc w:val="left"/>
              <w:rPr>
                <w:sz w:val="14"/>
                <w:szCs w:val="14"/>
              </w:rPr>
            </w:pPr>
            <w:r w:rsidRPr="00BF62A1">
              <w:rPr>
                <w:sz w:val="14"/>
                <w:szCs w:val="14"/>
              </w:rPr>
              <w:t>High / intermediate/high</w:t>
            </w:r>
          </w:p>
        </w:tc>
        <w:tc>
          <w:tcPr>
            <w:tcW w:w="782" w:type="pct"/>
            <w:tcBorders>
              <w:left w:val="single" w:sz="4" w:space="0" w:color="auto"/>
              <w:bottom w:val="single" w:sz="4" w:space="0" w:color="auto"/>
              <w:right w:val="single" w:sz="4" w:space="0" w:color="auto"/>
            </w:tcBorders>
          </w:tcPr>
          <w:p w14:paraId="6251F65D" w14:textId="77777777" w:rsidR="000F0341" w:rsidRPr="00832E0E" w:rsidRDefault="000F0341" w:rsidP="00E40B0D">
            <w:pPr>
              <w:spacing w:line="240" w:lineRule="auto"/>
              <w:jc w:val="left"/>
              <w:rPr>
                <w:sz w:val="14"/>
                <w:szCs w:val="14"/>
              </w:rPr>
            </w:pPr>
            <w:r w:rsidRPr="00BF62A1">
              <w:rPr>
                <w:sz w:val="14"/>
                <w:szCs w:val="14"/>
              </w:rPr>
              <w:sym w:font="Symbol" w:char="F03E"/>
            </w:r>
            <w:r w:rsidRPr="00832E0E">
              <w:rPr>
                <w:sz w:val="14"/>
                <w:szCs w:val="14"/>
              </w:rPr>
              <w:t>2 / &gt;50</w:t>
            </w:r>
          </w:p>
        </w:tc>
        <w:tc>
          <w:tcPr>
            <w:tcW w:w="739" w:type="pct"/>
            <w:tcBorders>
              <w:left w:val="single" w:sz="4" w:space="0" w:color="auto"/>
              <w:bottom w:val="single" w:sz="4" w:space="0" w:color="auto"/>
              <w:right w:val="single" w:sz="4" w:space="0" w:color="auto"/>
            </w:tcBorders>
          </w:tcPr>
          <w:p w14:paraId="7D653688" w14:textId="77777777" w:rsidR="000F0341" w:rsidRPr="00832E0E" w:rsidRDefault="000F0341" w:rsidP="00E40B0D">
            <w:pPr>
              <w:spacing w:line="240" w:lineRule="auto"/>
              <w:jc w:val="left"/>
              <w:rPr>
                <w:sz w:val="14"/>
                <w:szCs w:val="14"/>
              </w:rPr>
            </w:pPr>
            <w:r w:rsidRPr="00BF62A1">
              <w:rPr>
                <w:sz w:val="14"/>
                <w:szCs w:val="14"/>
              </w:rPr>
              <w:t>1376 / 407</w:t>
            </w:r>
          </w:p>
        </w:tc>
        <w:tc>
          <w:tcPr>
            <w:tcW w:w="980" w:type="pct"/>
            <w:tcBorders>
              <w:left w:val="single" w:sz="4" w:space="0" w:color="auto"/>
              <w:bottom w:val="single" w:sz="4" w:space="0" w:color="auto"/>
              <w:right w:val="single" w:sz="4" w:space="0" w:color="auto"/>
            </w:tcBorders>
          </w:tcPr>
          <w:p w14:paraId="2EE9FD10" w14:textId="77777777" w:rsidR="000F0341" w:rsidRPr="00832E0E" w:rsidRDefault="000F0341" w:rsidP="00E40B0D">
            <w:pPr>
              <w:spacing w:line="240" w:lineRule="auto"/>
              <w:jc w:val="left"/>
              <w:rPr>
                <w:sz w:val="14"/>
                <w:szCs w:val="14"/>
              </w:rPr>
            </w:pPr>
            <w:r w:rsidRPr="00BF62A1">
              <w:rPr>
                <w:sz w:val="14"/>
                <w:szCs w:val="14"/>
              </w:rPr>
              <w:t>9 / 23</w:t>
            </w:r>
          </w:p>
        </w:tc>
      </w:tr>
    </w:tbl>
    <w:p w14:paraId="095139F3" w14:textId="77777777" w:rsidR="000F0341" w:rsidRPr="00BF62A1" w:rsidRDefault="000F0341" w:rsidP="000F0341"/>
    <w:tbl>
      <w:tblPr>
        <w:tblStyle w:val="TableGrid"/>
        <w:tblW w:w="5341" w:type="pct"/>
        <w:tblInd w:w="-572" w:type="dxa"/>
        <w:tblLook w:val="04A0" w:firstRow="1" w:lastRow="0" w:firstColumn="1" w:lastColumn="0" w:noHBand="0" w:noVBand="1"/>
      </w:tblPr>
      <w:tblGrid>
        <w:gridCol w:w="1321"/>
        <w:gridCol w:w="793"/>
        <w:gridCol w:w="823"/>
        <w:gridCol w:w="1290"/>
        <w:gridCol w:w="1463"/>
        <w:gridCol w:w="1321"/>
        <w:gridCol w:w="1456"/>
      </w:tblGrid>
      <w:tr w:rsidR="000F0341" w:rsidRPr="00832E0E" w14:paraId="16A576B8" w14:textId="77777777" w:rsidTr="00E40B0D">
        <w:trPr>
          <w:trHeight w:val="34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0C28DCA6" w14:textId="77777777" w:rsidR="000F0341" w:rsidRPr="00832E0E" w:rsidRDefault="000F0341" w:rsidP="00E40B0D">
            <w:pPr>
              <w:spacing w:line="240" w:lineRule="auto"/>
              <w:jc w:val="center"/>
              <w:rPr>
                <w:b/>
                <w:bCs/>
                <w:sz w:val="14"/>
                <w:szCs w:val="14"/>
              </w:rPr>
            </w:pPr>
            <w:r w:rsidRPr="00BF62A1">
              <w:rPr>
                <w:b/>
                <w:bCs/>
                <w:sz w:val="14"/>
                <w:szCs w:val="14"/>
              </w:rPr>
              <w:t>Surgeon volume</w:t>
            </w:r>
          </w:p>
        </w:tc>
      </w:tr>
      <w:tr w:rsidR="000F0341" w:rsidRPr="00832E0E" w14:paraId="3CD5F552" w14:textId="77777777" w:rsidTr="00E40B0D">
        <w:trPr>
          <w:trHeight w:val="20"/>
        </w:trPr>
        <w:tc>
          <w:tcPr>
            <w:tcW w:w="780" w:type="pct"/>
            <w:tcBorders>
              <w:top w:val="single" w:sz="4" w:space="0" w:color="auto"/>
              <w:left w:val="single" w:sz="4" w:space="0" w:color="auto"/>
              <w:bottom w:val="single" w:sz="4" w:space="0" w:color="auto"/>
              <w:right w:val="single" w:sz="4" w:space="0" w:color="auto"/>
            </w:tcBorders>
          </w:tcPr>
          <w:p w14:paraId="64C81CF9" w14:textId="77777777" w:rsidR="000F0341" w:rsidRPr="00832E0E" w:rsidRDefault="000F0341" w:rsidP="00E40B0D">
            <w:pPr>
              <w:spacing w:line="240" w:lineRule="auto"/>
              <w:jc w:val="left"/>
              <w:rPr>
                <w:b/>
                <w:bCs/>
                <w:sz w:val="14"/>
                <w:szCs w:val="14"/>
              </w:rPr>
            </w:pPr>
            <w:r w:rsidRPr="00BF62A1">
              <w:rPr>
                <w:b/>
                <w:bCs/>
                <w:color w:val="000000" w:themeColor="text1"/>
                <w:sz w:val="14"/>
                <w:szCs w:val="14"/>
              </w:rPr>
              <w:t>First author and year of publication</w:t>
            </w:r>
          </w:p>
        </w:tc>
        <w:tc>
          <w:tcPr>
            <w:tcW w:w="468" w:type="pct"/>
            <w:tcBorders>
              <w:top w:val="single" w:sz="4" w:space="0" w:color="auto"/>
              <w:left w:val="single" w:sz="4" w:space="0" w:color="auto"/>
              <w:bottom w:val="single" w:sz="4" w:space="0" w:color="auto"/>
              <w:right w:val="single" w:sz="4" w:space="0" w:color="auto"/>
            </w:tcBorders>
          </w:tcPr>
          <w:p w14:paraId="6C0C7C22" w14:textId="77777777" w:rsidR="000F0341" w:rsidRPr="00832E0E" w:rsidRDefault="000F0341" w:rsidP="00E40B0D">
            <w:pPr>
              <w:spacing w:line="240" w:lineRule="auto"/>
              <w:jc w:val="left"/>
              <w:rPr>
                <w:b/>
                <w:bCs/>
                <w:sz w:val="14"/>
                <w:szCs w:val="14"/>
              </w:rPr>
            </w:pPr>
            <w:r w:rsidRPr="00BF62A1">
              <w:rPr>
                <w:b/>
                <w:bCs/>
                <w:sz w:val="14"/>
                <w:szCs w:val="14"/>
              </w:rPr>
              <w:t>Patients (N)</w:t>
            </w:r>
          </w:p>
        </w:tc>
        <w:tc>
          <w:tcPr>
            <w:tcW w:w="1248" w:type="pct"/>
            <w:gridSpan w:val="2"/>
            <w:tcBorders>
              <w:top w:val="single" w:sz="4" w:space="0" w:color="auto"/>
              <w:left w:val="single" w:sz="4" w:space="0" w:color="auto"/>
              <w:bottom w:val="single" w:sz="4" w:space="0" w:color="auto"/>
              <w:right w:val="single" w:sz="4" w:space="0" w:color="auto"/>
            </w:tcBorders>
          </w:tcPr>
          <w:p w14:paraId="360311F9" w14:textId="77777777" w:rsidR="000F0341" w:rsidRPr="00832E0E" w:rsidRDefault="000F0341" w:rsidP="00E40B0D">
            <w:pPr>
              <w:spacing w:line="240" w:lineRule="auto"/>
              <w:jc w:val="left"/>
              <w:rPr>
                <w:b/>
                <w:bCs/>
                <w:color w:val="000000" w:themeColor="text1"/>
                <w:sz w:val="14"/>
                <w:szCs w:val="14"/>
              </w:rPr>
            </w:pPr>
            <w:r w:rsidRPr="00BF62A1">
              <w:rPr>
                <w:b/>
                <w:bCs/>
                <w:sz w:val="14"/>
                <w:szCs w:val="14"/>
              </w:rPr>
              <w:t>Case volume category</w:t>
            </w:r>
          </w:p>
        </w:tc>
        <w:tc>
          <w:tcPr>
            <w:tcW w:w="864" w:type="pct"/>
            <w:tcBorders>
              <w:top w:val="single" w:sz="4" w:space="0" w:color="auto"/>
              <w:left w:val="single" w:sz="4" w:space="0" w:color="auto"/>
              <w:bottom w:val="single" w:sz="4" w:space="0" w:color="auto"/>
              <w:right w:val="single" w:sz="4" w:space="0" w:color="auto"/>
            </w:tcBorders>
          </w:tcPr>
          <w:p w14:paraId="2ED54D68" w14:textId="77777777" w:rsidR="000F0341" w:rsidRPr="00832E0E" w:rsidRDefault="000F0341" w:rsidP="00E40B0D">
            <w:pPr>
              <w:spacing w:line="240" w:lineRule="auto"/>
              <w:jc w:val="left"/>
              <w:rPr>
                <w:b/>
                <w:bCs/>
                <w:color w:val="000000" w:themeColor="text1"/>
                <w:sz w:val="14"/>
                <w:szCs w:val="14"/>
              </w:rPr>
            </w:pPr>
            <w:r w:rsidRPr="00BF62A1">
              <w:rPr>
                <w:b/>
                <w:bCs/>
                <w:sz w:val="14"/>
                <w:szCs w:val="14"/>
              </w:rPr>
              <w:t>Surgeon volume / year</w:t>
            </w:r>
          </w:p>
        </w:tc>
        <w:tc>
          <w:tcPr>
            <w:tcW w:w="780" w:type="pct"/>
            <w:tcBorders>
              <w:top w:val="single" w:sz="4" w:space="0" w:color="auto"/>
              <w:left w:val="single" w:sz="4" w:space="0" w:color="auto"/>
              <w:bottom w:val="single" w:sz="4" w:space="0" w:color="auto"/>
              <w:right w:val="single" w:sz="4" w:space="0" w:color="auto"/>
            </w:tcBorders>
          </w:tcPr>
          <w:p w14:paraId="4807615A" w14:textId="77777777" w:rsidR="000F0341" w:rsidRPr="00832E0E" w:rsidRDefault="000F0341" w:rsidP="00E40B0D">
            <w:pPr>
              <w:spacing w:line="240" w:lineRule="auto"/>
              <w:jc w:val="left"/>
              <w:rPr>
                <w:b/>
                <w:bCs/>
                <w:color w:val="000000" w:themeColor="text1"/>
                <w:sz w:val="14"/>
                <w:szCs w:val="14"/>
              </w:rPr>
            </w:pPr>
            <w:r w:rsidRPr="00BF62A1">
              <w:rPr>
                <w:b/>
                <w:bCs/>
                <w:sz w:val="14"/>
                <w:szCs w:val="14"/>
              </w:rPr>
              <w:t>Patients / category</w:t>
            </w:r>
          </w:p>
        </w:tc>
        <w:tc>
          <w:tcPr>
            <w:tcW w:w="859" w:type="pct"/>
            <w:tcBorders>
              <w:top w:val="single" w:sz="4" w:space="0" w:color="auto"/>
              <w:left w:val="single" w:sz="4" w:space="0" w:color="auto"/>
              <w:bottom w:val="single" w:sz="4" w:space="0" w:color="auto"/>
              <w:right w:val="single" w:sz="4" w:space="0" w:color="auto"/>
            </w:tcBorders>
          </w:tcPr>
          <w:p w14:paraId="5E2E99FA" w14:textId="77777777" w:rsidR="000F0341" w:rsidRPr="00832E0E" w:rsidRDefault="000F0341" w:rsidP="00E40B0D">
            <w:pPr>
              <w:spacing w:line="240" w:lineRule="auto"/>
              <w:jc w:val="left"/>
              <w:rPr>
                <w:b/>
                <w:bCs/>
                <w:color w:val="000000" w:themeColor="text1"/>
                <w:sz w:val="14"/>
                <w:szCs w:val="14"/>
              </w:rPr>
            </w:pPr>
            <w:r w:rsidRPr="00BF62A1">
              <w:rPr>
                <w:b/>
                <w:bCs/>
                <w:sz w:val="14"/>
                <w:szCs w:val="14"/>
              </w:rPr>
              <w:t>Units / category</w:t>
            </w:r>
          </w:p>
        </w:tc>
      </w:tr>
      <w:tr w:rsidR="000F0341" w:rsidRPr="00832E0E" w14:paraId="6DBBED44" w14:textId="77777777" w:rsidTr="00E40B0D">
        <w:trPr>
          <w:trHeight w:val="20"/>
        </w:trPr>
        <w:tc>
          <w:tcPr>
            <w:tcW w:w="780" w:type="pct"/>
            <w:tcBorders>
              <w:top w:val="single" w:sz="4" w:space="0" w:color="auto"/>
              <w:left w:val="single" w:sz="4" w:space="0" w:color="auto"/>
              <w:bottom w:val="single" w:sz="8" w:space="0" w:color="auto"/>
              <w:right w:val="single" w:sz="4" w:space="0" w:color="auto"/>
            </w:tcBorders>
          </w:tcPr>
          <w:p w14:paraId="77311B09" w14:textId="77777777" w:rsidR="000F0341" w:rsidRPr="00832E0E" w:rsidRDefault="000F0341" w:rsidP="00E40B0D">
            <w:pPr>
              <w:spacing w:line="240" w:lineRule="auto"/>
              <w:rPr>
                <w:color w:val="000000"/>
                <w:sz w:val="14"/>
                <w:szCs w:val="14"/>
              </w:rPr>
            </w:pPr>
            <w:r w:rsidRPr="00BF62A1">
              <w:rPr>
                <w:sz w:val="14"/>
                <w:szCs w:val="14"/>
              </w:rPr>
              <w:t xml:space="preserve">Hashimoto 2017 </w:t>
            </w:r>
            <w:r w:rsidRPr="00832E0E">
              <w:rPr>
                <w:sz w:val="14"/>
                <w:szCs w:val="14"/>
              </w:rPr>
              <w:fldChar w:fldCharType="begin"/>
            </w:r>
            <w:r>
              <w:rPr>
                <w:sz w:val="14"/>
                <w:szCs w:val="14"/>
              </w:rPr>
              <w:instrText xml:space="preserve"> ADDIN ZOTERO_ITEM CSL_CITATION {"citationID":"wv0t5O03","properties":{"formattedCitation":"[70]","plainCitation":"[70]","noteIndex":0},"citationItems":[{"id":14183,"uris":["http://zotero.org/groups/4983919/items/F79T2RVB"],"itemData":{"id":14183,"type":"article-journal","abstract":"OBJECTIVE: To investigate the effect of subspecialty practice and experience on the relationship between annual volume and inpatient mortality after hepatic resection. BACKGROUND: The impact of annual surgical volume on postoperative outcomes has been extensively examined. However, the impact of cumulative surgeon experience and specialty training on this relationship warrants investigation. METHODS: The New York Statewide Planning and Research Cooperative System inpatient database was queried for patients' ≥18 years who underwent wedge hepatectomy or lobectomy from 2000 to 2014. Primary exposures included annual surgeon volume, surgeon experience (early vs late career), and surgical specialization-categorized as general surgery (GS), surgical oncology (SO), and transplant (TS). Primary endpoint was inpatient mortality. Hierarchical logistic regression was performed accounting for correlation at the level of the surgeon and the hospital, and adjusting for patient demographics, comorbidities, presence of cirrhosis, and annual surgical hospital volume. RESULTS: A total of 13,467 cases were analyzed. Overall inpatient mortality was 2.35%. On unadjusted analysis, late career surgeons had a mortality rate of 2.62% versus 1.97% for early career surgeons. GS had a mortality rate of 2.98% compared with 1.68% for SO and 2.67% for TS. Once risk-adjusted, annual volume was associated with reduced mortality only among early-career surgeons (odds ratio 0.82, P = 0.001) and general surgeons (odds ratio 0.65, P = 0.002). No volume effect was seen among late-career or specialty-trained surgeons. CONCLUSIONS: Annual volume alone likely contributes only a partial assessment of the volume-outcome relationship. In patients undergoing hepatic resection, increased annual volume did not confer a mortality benefit on subspecialty surgeons or late career surgeons.","container-title":"Ann Surg","DOI":"10.1097/sla.0000000000002377","ISSN":"0003-4932 (Print) 0003-4932","issue":"4","language":"eng","note":"publisher-place: *Department of Surgery, Massachusetts General Hospital, Boston, MA †Codman Center for Clinical Effectiveness, Massachusetts General Hospital, Boston, MA.","page":"603-609","title":"Is Annual Volume Enough? The Role of Experience and Specialization on Inpatient Mortality After Hepatectomy","volume":"266","author":[{"family":"Hashimoto","given":"D. A."},{"family":"Bababekov","given":"Y. J."},{"family":"Mehtsun","given":"W. T."},{"family":"Stapleton","given":"S. M."},{"family":"Warshaw","given":"A. L."},{"family":"Lillemoe","given":"K. D."},{"family":"Chang","given":"D. C."},{"family":"Vagefi","given":"P. A."}],"issued":{"date-parts":[["2017",10]]}}}],"schema":"https://github.com/citation-style-language/schema/raw/master/csl-citation.json"} </w:instrText>
            </w:r>
            <w:r w:rsidRPr="00832E0E">
              <w:rPr>
                <w:sz w:val="14"/>
                <w:szCs w:val="14"/>
              </w:rPr>
              <w:fldChar w:fldCharType="separate"/>
            </w:r>
            <w:r w:rsidRPr="004125CE">
              <w:rPr>
                <w:sz w:val="14"/>
              </w:rPr>
              <w:t>[70]</w:t>
            </w:r>
            <w:r w:rsidRPr="00832E0E">
              <w:rPr>
                <w:sz w:val="14"/>
                <w:szCs w:val="14"/>
              </w:rPr>
              <w:fldChar w:fldCharType="end"/>
            </w:r>
          </w:p>
        </w:tc>
        <w:tc>
          <w:tcPr>
            <w:tcW w:w="468" w:type="pct"/>
            <w:tcBorders>
              <w:top w:val="single" w:sz="4" w:space="0" w:color="auto"/>
              <w:left w:val="single" w:sz="4" w:space="0" w:color="auto"/>
              <w:bottom w:val="single" w:sz="8" w:space="0" w:color="auto"/>
              <w:right w:val="single" w:sz="4" w:space="0" w:color="auto"/>
            </w:tcBorders>
          </w:tcPr>
          <w:p w14:paraId="31E716B7" w14:textId="77777777" w:rsidR="000F0341" w:rsidRPr="00832E0E" w:rsidRDefault="000F0341" w:rsidP="00E40B0D">
            <w:pPr>
              <w:spacing w:line="240" w:lineRule="auto"/>
              <w:rPr>
                <w:sz w:val="14"/>
                <w:szCs w:val="14"/>
              </w:rPr>
            </w:pPr>
            <w:r w:rsidRPr="00BF62A1">
              <w:rPr>
                <w:color w:val="000000" w:themeColor="text1"/>
                <w:sz w:val="14"/>
                <w:szCs w:val="14"/>
              </w:rPr>
              <w:t>13467</w:t>
            </w:r>
          </w:p>
        </w:tc>
        <w:tc>
          <w:tcPr>
            <w:tcW w:w="486" w:type="pct"/>
            <w:tcBorders>
              <w:top w:val="single" w:sz="4" w:space="0" w:color="auto"/>
              <w:left w:val="single" w:sz="4" w:space="0" w:color="auto"/>
              <w:bottom w:val="single" w:sz="8" w:space="0" w:color="auto"/>
              <w:right w:val="single" w:sz="4" w:space="0" w:color="auto"/>
            </w:tcBorders>
          </w:tcPr>
          <w:p w14:paraId="095F3A6F" w14:textId="77777777" w:rsidR="000F0341" w:rsidRPr="00832E0E" w:rsidRDefault="000F0341" w:rsidP="00E40B0D">
            <w:pPr>
              <w:spacing w:line="240" w:lineRule="auto"/>
              <w:rPr>
                <w:color w:val="000000" w:themeColor="text1"/>
                <w:sz w:val="14"/>
                <w:szCs w:val="14"/>
              </w:rPr>
            </w:pPr>
            <w:r w:rsidRPr="00BF62A1">
              <w:rPr>
                <w:color w:val="000000" w:themeColor="text1"/>
                <w:sz w:val="14"/>
                <w:szCs w:val="14"/>
              </w:rPr>
              <w:t>-</w:t>
            </w:r>
          </w:p>
        </w:tc>
        <w:tc>
          <w:tcPr>
            <w:tcW w:w="762" w:type="pct"/>
            <w:tcBorders>
              <w:top w:val="single" w:sz="4" w:space="0" w:color="auto"/>
              <w:left w:val="single" w:sz="4" w:space="0" w:color="auto"/>
              <w:bottom w:val="single" w:sz="8" w:space="0" w:color="auto"/>
              <w:right w:val="single" w:sz="4" w:space="0" w:color="auto"/>
            </w:tcBorders>
          </w:tcPr>
          <w:p w14:paraId="25516089" w14:textId="77777777" w:rsidR="000F0341" w:rsidRPr="00832E0E" w:rsidRDefault="000F0341" w:rsidP="00E40B0D">
            <w:pPr>
              <w:spacing w:line="240" w:lineRule="auto"/>
              <w:rPr>
                <w:color w:val="C00000"/>
                <w:sz w:val="14"/>
                <w:szCs w:val="14"/>
              </w:rPr>
            </w:pPr>
            <w:r w:rsidRPr="00BF62A1">
              <w:rPr>
                <w:color w:val="000000" w:themeColor="text1"/>
                <w:sz w:val="14"/>
                <w:szCs w:val="14"/>
              </w:rPr>
              <w:t>Continuous</w:t>
            </w:r>
          </w:p>
        </w:tc>
        <w:tc>
          <w:tcPr>
            <w:tcW w:w="864" w:type="pct"/>
            <w:tcBorders>
              <w:top w:val="single" w:sz="4" w:space="0" w:color="auto"/>
              <w:left w:val="single" w:sz="4" w:space="0" w:color="auto"/>
              <w:bottom w:val="single" w:sz="8" w:space="0" w:color="auto"/>
              <w:right w:val="single" w:sz="4" w:space="0" w:color="auto"/>
            </w:tcBorders>
          </w:tcPr>
          <w:p w14:paraId="3DF121B1" w14:textId="77777777" w:rsidR="000F0341" w:rsidRPr="00832E0E" w:rsidRDefault="000F0341" w:rsidP="00E40B0D">
            <w:pPr>
              <w:spacing w:line="240" w:lineRule="auto"/>
              <w:rPr>
                <w:color w:val="000000" w:themeColor="text1"/>
                <w:sz w:val="14"/>
                <w:szCs w:val="14"/>
              </w:rPr>
            </w:pPr>
            <w:r w:rsidRPr="00BF62A1">
              <w:rPr>
                <w:color w:val="000000" w:themeColor="text1"/>
                <w:sz w:val="14"/>
                <w:szCs w:val="14"/>
              </w:rPr>
              <w:t>-</w:t>
            </w:r>
          </w:p>
        </w:tc>
        <w:tc>
          <w:tcPr>
            <w:tcW w:w="780" w:type="pct"/>
            <w:tcBorders>
              <w:top w:val="single" w:sz="4" w:space="0" w:color="auto"/>
              <w:left w:val="single" w:sz="4" w:space="0" w:color="auto"/>
              <w:bottom w:val="single" w:sz="8" w:space="0" w:color="auto"/>
              <w:right w:val="single" w:sz="4" w:space="0" w:color="auto"/>
            </w:tcBorders>
          </w:tcPr>
          <w:p w14:paraId="66A6466F" w14:textId="77777777" w:rsidR="000F0341" w:rsidRPr="00832E0E" w:rsidRDefault="000F0341" w:rsidP="00E40B0D">
            <w:pPr>
              <w:spacing w:line="240" w:lineRule="auto"/>
              <w:rPr>
                <w:color w:val="000000" w:themeColor="text1"/>
                <w:sz w:val="14"/>
                <w:szCs w:val="14"/>
              </w:rPr>
            </w:pPr>
            <w:r w:rsidRPr="00BF62A1">
              <w:rPr>
                <w:color w:val="000000" w:themeColor="text1"/>
                <w:sz w:val="14"/>
                <w:szCs w:val="14"/>
              </w:rPr>
              <w:t>-</w:t>
            </w:r>
          </w:p>
        </w:tc>
        <w:tc>
          <w:tcPr>
            <w:tcW w:w="859" w:type="pct"/>
            <w:tcBorders>
              <w:top w:val="single" w:sz="4" w:space="0" w:color="auto"/>
              <w:left w:val="single" w:sz="4" w:space="0" w:color="auto"/>
              <w:bottom w:val="single" w:sz="8" w:space="0" w:color="auto"/>
              <w:right w:val="single" w:sz="4" w:space="0" w:color="auto"/>
            </w:tcBorders>
          </w:tcPr>
          <w:p w14:paraId="13E906F0" w14:textId="77777777" w:rsidR="000F0341" w:rsidRPr="00832E0E" w:rsidRDefault="000F0341" w:rsidP="00E40B0D">
            <w:pPr>
              <w:spacing w:line="240" w:lineRule="auto"/>
              <w:rPr>
                <w:color w:val="000000" w:themeColor="text1"/>
                <w:sz w:val="14"/>
                <w:szCs w:val="14"/>
              </w:rPr>
            </w:pPr>
            <w:r w:rsidRPr="00BF62A1">
              <w:rPr>
                <w:color w:val="000000" w:themeColor="text1"/>
                <w:sz w:val="14"/>
                <w:szCs w:val="14"/>
              </w:rPr>
              <w:t>-</w:t>
            </w:r>
          </w:p>
        </w:tc>
      </w:tr>
      <w:tr w:rsidR="000F0341" w:rsidRPr="00832E0E" w14:paraId="7FF711E4" w14:textId="77777777" w:rsidTr="00E40B0D">
        <w:trPr>
          <w:trHeight w:val="20"/>
        </w:trPr>
        <w:tc>
          <w:tcPr>
            <w:tcW w:w="780" w:type="pct"/>
            <w:vMerge w:val="restart"/>
            <w:tcBorders>
              <w:top w:val="single" w:sz="8" w:space="0" w:color="auto"/>
              <w:left w:val="single" w:sz="4" w:space="0" w:color="auto"/>
              <w:right w:val="single" w:sz="4" w:space="0" w:color="auto"/>
            </w:tcBorders>
          </w:tcPr>
          <w:p w14:paraId="5D8A3FDD" w14:textId="77777777" w:rsidR="000F0341" w:rsidRPr="00832E0E" w:rsidRDefault="000F0341" w:rsidP="00E40B0D">
            <w:pPr>
              <w:spacing w:line="240" w:lineRule="auto"/>
              <w:rPr>
                <w:color w:val="000000"/>
                <w:sz w:val="14"/>
                <w:szCs w:val="14"/>
              </w:rPr>
            </w:pPr>
            <w:r w:rsidRPr="00BF62A1">
              <w:rPr>
                <w:sz w:val="14"/>
                <w:szCs w:val="14"/>
              </w:rPr>
              <w:t xml:space="preserve">McColl 2013 </w:t>
            </w:r>
            <w:r w:rsidRPr="00832E0E">
              <w:rPr>
                <w:sz w:val="14"/>
                <w:szCs w:val="14"/>
              </w:rPr>
              <w:fldChar w:fldCharType="begin"/>
            </w:r>
            <w:r>
              <w:rPr>
                <w:sz w:val="14"/>
                <w:szCs w:val="14"/>
              </w:rPr>
              <w:instrText xml:space="preserve"> ADDIN ZOTERO_ITEM CSL_CITATION {"citationID":"eImmUJX9","properties":{"formattedCitation":"[61]","plainCitation":"[61]","noteIndex":0},"citationItems":[{"id":14333,"uris":["http://zotero.org/groups/4983919/items/TYQIBGBT"],"itemData":{"id":14333,"type":"article-journal","abstract":"BACKGROUND: Mortality for liver resection has remarkably improved owing to multiple factors. We sought to determine the impact of the various types of fellowship training on patient survival after liver resection. METHODS: Patients who underwent hepatic resection between 1995 and 2004 in either the Calgary or Capital health regions (Edmonton) of Alberta, Canada, were identified using ICD-9 and -10 codes. Primary outcomes included in-hospital mortality and patient survival according to surgeon volume and training type (surgical oncology v. hepatobiliary v. others). RESULTS: A total of 1033 patients underwent hepatic resection. Surgeon volume was not predictive of either in-hospital mortality (adjusted odds ratio 0.63, 95% confidence interval [CI] 0.32-1.20) or patient survival (unadjusted hazard ratio 1.11, 95% CI 0.82-1.51). Nonsignificance was also demonstrated for a surgeon's type of fellowship training. CONCLUSION: The various modes of fellowship training do not appear to influence inhospital mortality or patient survival after hepatic resection.","container-title":"Can J Surg","DOI":"10.1503/cjs.023611","ISSN":"0008-428X (Print) 0008-428x","issue":"4","language":"eng","page":"256-62","title":"Survival after hepatic resection: impact of surgeon training on long-term outcome","volume":"56","author":[{"family":"McColl","given":"R. J."},{"family":"Shaheen","given":"A. A."},{"family":"Brar","given":"B."},{"family":"Kaplan","given":"G."},{"family":"Myers","given":"R."},{"family":"Sutherland","given":"F."},{"family":"Dixon","given":"E."}],"issued":{"date-parts":[["2013",8]]}}}],"schema":"https://github.com/citation-style-language/schema/raw/master/csl-citation.json"} </w:instrText>
            </w:r>
            <w:r w:rsidRPr="00832E0E">
              <w:rPr>
                <w:sz w:val="14"/>
                <w:szCs w:val="14"/>
              </w:rPr>
              <w:fldChar w:fldCharType="separate"/>
            </w:r>
            <w:r w:rsidRPr="004125CE">
              <w:rPr>
                <w:sz w:val="14"/>
              </w:rPr>
              <w:t>[61]</w:t>
            </w:r>
            <w:r w:rsidRPr="00832E0E">
              <w:rPr>
                <w:sz w:val="14"/>
                <w:szCs w:val="14"/>
              </w:rPr>
              <w:fldChar w:fldCharType="end"/>
            </w:r>
          </w:p>
        </w:tc>
        <w:tc>
          <w:tcPr>
            <w:tcW w:w="468" w:type="pct"/>
            <w:vMerge w:val="restart"/>
            <w:tcBorders>
              <w:top w:val="single" w:sz="8" w:space="0" w:color="auto"/>
              <w:left w:val="single" w:sz="4" w:space="0" w:color="auto"/>
              <w:right w:val="single" w:sz="4" w:space="0" w:color="auto"/>
            </w:tcBorders>
          </w:tcPr>
          <w:p w14:paraId="1BC0EC5C" w14:textId="77777777" w:rsidR="000F0341" w:rsidRPr="00832E0E" w:rsidRDefault="000F0341" w:rsidP="00E40B0D">
            <w:pPr>
              <w:spacing w:line="240" w:lineRule="auto"/>
              <w:rPr>
                <w:sz w:val="14"/>
                <w:szCs w:val="14"/>
              </w:rPr>
            </w:pPr>
            <w:r w:rsidRPr="00BF62A1">
              <w:rPr>
                <w:color w:val="000000" w:themeColor="text1"/>
                <w:sz w:val="14"/>
                <w:szCs w:val="14"/>
              </w:rPr>
              <w:t>1033</w:t>
            </w:r>
          </w:p>
        </w:tc>
        <w:tc>
          <w:tcPr>
            <w:tcW w:w="486" w:type="pct"/>
            <w:vMerge w:val="restart"/>
            <w:tcBorders>
              <w:top w:val="single" w:sz="8" w:space="0" w:color="auto"/>
              <w:left w:val="single" w:sz="4" w:space="0" w:color="auto"/>
              <w:right w:val="single" w:sz="4" w:space="0" w:color="auto"/>
            </w:tcBorders>
          </w:tcPr>
          <w:p w14:paraId="53384E8D" w14:textId="77777777" w:rsidR="000F0341" w:rsidRPr="00832E0E" w:rsidRDefault="000F0341" w:rsidP="00E40B0D">
            <w:pPr>
              <w:spacing w:line="240" w:lineRule="auto"/>
              <w:rPr>
                <w:color w:val="000000" w:themeColor="text1"/>
                <w:sz w:val="14"/>
                <w:szCs w:val="14"/>
              </w:rPr>
            </w:pPr>
            <w:r w:rsidRPr="00BF62A1">
              <w:rPr>
                <w:color w:val="000000" w:themeColor="text1"/>
                <w:sz w:val="14"/>
                <w:szCs w:val="14"/>
              </w:rPr>
              <w:t>-</w:t>
            </w:r>
          </w:p>
        </w:tc>
        <w:tc>
          <w:tcPr>
            <w:tcW w:w="762" w:type="pct"/>
            <w:tcBorders>
              <w:top w:val="single" w:sz="8" w:space="0" w:color="auto"/>
              <w:left w:val="single" w:sz="4" w:space="0" w:color="auto"/>
              <w:bottom w:val="single" w:sz="4" w:space="0" w:color="auto"/>
              <w:right w:val="single" w:sz="4" w:space="0" w:color="auto"/>
            </w:tcBorders>
          </w:tcPr>
          <w:p w14:paraId="322A5BDA" w14:textId="77777777" w:rsidR="000F0341" w:rsidRPr="00832E0E" w:rsidRDefault="000F0341" w:rsidP="00E40B0D">
            <w:pPr>
              <w:spacing w:line="240" w:lineRule="auto"/>
              <w:rPr>
                <w:sz w:val="14"/>
                <w:szCs w:val="14"/>
              </w:rPr>
            </w:pPr>
            <w:r w:rsidRPr="00BF62A1">
              <w:rPr>
                <w:sz w:val="14"/>
                <w:szCs w:val="14"/>
              </w:rPr>
              <w:t>Low</w:t>
            </w:r>
          </w:p>
        </w:tc>
        <w:tc>
          <w:tcPr>
            <w:tcW w:w="864" w:type="pct"/>
            <w:tcBorders>
              <w:top w:val="single" w:sz="8" w:space="0" w:color="auto"/>
              <w:left w:val="single" w:sz="4" w:space="0" w:color="auto"/>
              <w:right w:val="single" w:sz="4" w:space="0" w:color="auto"/>
            </w:tcBorders>
          </w:tcPr>
          <w:p w14:paraId="1E1291DD" w14:textId="77777777" w:rsidR="000F0341" w:rsidRPr="00832E0E" w:rsidRDefault="000F0341" w:rsidP="00E40B0D">
            <w:pPr>
              <w:spacing w:line="240" w:lineRule="auto"/>
              <w:rPr>
                <w:sz w:val="14"/>
                <w:szCs w:val="14"/>
              </w:rPr>
            </w:pPr>
            <w:r w:rsidRPr="00BF62A1">
              <w:rPr>
                <w:sz w:val="14"/>
                <w:szCs w:val="14"/>
              </w:rPr>
              <w:t>1-4</w:t>
            </w:r>
          </w:p>
        </w:tc>
        <w:tc>
          <w:tcPr>
            <w:tcW w:w="780" w:type="pct"/>
            <w:vMerge w:val="restart"/>
            <w:tcBorders>
              <w:top w:val="single" w:sz="8" w:space="0" w:color="auto"/>
              <w:left w:val="single" w:sz="4" w:space="0" w:color="auto"/>
              <w:right w:val="single" w:sz="4" w:space="0" w:color="auto"/>
            </w:tcBorders>
          </w:tcPr>
          <w:p w14:paraId="497292B1" w14:textId="77777777" w:rsidR="000F0341" w:rsidRPr="00832E0E" w:rsidRDefault="000F0341" w:rsidP="00E40B0D">
            <w:pPr>
              <w:spacing w:line="240" w:lineRule="auto"/>
              <w:rPr>
                <w:color w:val="000000" w:themeColor="text1"/>
                <w:sz w:val="14"/>
                <w:szCs w:val="14"/>
              </w:rPr>
            </w:pPr>
            <w:r w:rsidRPr="00BF62A1">
              <w:rPr>
                <w:color w:val="000000" w:themeColor="text1"/>
                <w:sz w:val="14"/>
                <w:szCs w:val="14"/>
              </w:rPr>
              <w:t>-</w:t>
            </w:r>
          </w:p>
        </w:tc>
        <w:tc>
          <w:tcPr>
            <w:tcW w:w="859" w:type="pct"/>
            <w:vMerge w:val="restart"/>
            <w:tcBorders>
              <w:top w:val="single" w:sz="8" w:space="0" w:color="auto"/>
              <w:left w:val="single" w:sz="4" w:space="0" w:color="auto"/>
              <w:right w:val="single" w:sz="4" w:space="0" w:color="auto"/>
            </w:tcBorders>
          </w:tcPr>
          <w:p w14:paraId="4B726E1C" w14:textId="77777777" w:rsidR="000F0341" w:rsidRPr="00832E0E" w:rsidRDefault="000F0341" w:rsidP="00E40B0D">
            <w:pPr>
              <w:spacing w:line="240" w:lineRule="auto"/>
              <w:rPr>
                <w:color w:val="000000" w:themeColor="text1"/>
                <w:sz w:val="14"/>
                <w:szCs w:val="14"/>
              </w:rPr>
            </w:pPr>
            <w:r w:rsidRPr="00BF62A1">
              <w:rPr>
                <w:color w:val="000000" w:themeColor="text1"/>
                <w:sz w:val="14"/>
                <w:szCs w:val="14"/>
              </w:rPr>
              <w:t>-</w:t>
            </w:r>
          </w:p>
        </w:tc>
      </w:tr>
      <w:tr w:rsidR="000F0341" w:rsidRPr="00832E0E" w14:paraId="05385DC3" w14:textId="77777777" w:rsidTr="00E40B0D">
        <w:trPr>
          <w:trHeight w:val="20"/>
        </w:trPr>
        <w:tc>
          <w:tcPr>
            <w:tcW w:w="780" w:type="pct"/>
            <w:vMerge/>
            <w:tcBorders>
              <w:left w:val="single" w:sz="4" w:space="0" w:color="auto"/>
              <w:bottom w:val="single" w:sz="8" w:space="0" w:color="auto"/>
              <w:right w:val="single" w:sz="4" w:space="0" w:color="auto"/>
            </w:tcBorders>
          </w:tcPr>
          <w:p w14:paraId="44766358" w14:textId="77777777" w:rsidR="000F0341" w:rsidRPr="00832E0E" w:rsidRDefault="000F0341" w:rsidP="00E40B0D">
            <w:pPr>
              <w:spacing w:line="240" w:lineRule="auto"/>
              <w:rPr>
                <w:sz w:val="14"/>
                <w:szCs w:val="14"/>
              </w:rPr>
            </w:pPr>
          </w:p>
        </w:tc>
        <w:tc>
          <w:tcPr>
            <w:tcW w:w="468" w:type="pct"/>
            <w:vMerge/>
            <w:tcBorders>
              <w:left w:val="single" w:sz="4" w:space="0" w:color="auto"/>
              <w:bottom w:val="single" w:sz="8" w:space="0" w:color="auto"/>
              <w:right w:val="single" w:sz="4" w:space="0" w:color="auto"/>
            </w:tcBorders>
          </w:tcPr>
          <w:p w14:paraId="0CCE0934" w14:textId="77777777" w:rsidR="000F0341" w:rsidRPr="00832E0E" w:rsidRDefault="000F0341" w:rsidP="00E40B0D">
            <w:pPr>
              <w:spacing w:line="240" w:lineRule="auto"/>
              <w:rPr>
                <w:sz w:val="14"/>
                <w:szCs w:val="14"/>
              </w:rPr>
            </w:pPr>
          </w:p>
        </w:tc>
        <w:tc>
          <w:tcPr>
            <w:tcW w:w="486" w:type="pct"/>
            <w:vMerge/>
            <w:tcBorders>
              <w:left w:val="single" w:sz="4" w:space="0" w:color="auto"/>
              <w:bottom w:val="single" w:sz="8" w:space="0" w:color="auto"/>
              <w:right w:val="single" w:sz="4" w:space="0" w:color="auto"/>
            </w:tcBorders>
          </w:tcPr>
          <w:p w14:paraId="5743C863" w14:textId="77777777" w:rsidR="000F0341" w:rsidRPr="00832E0E" w:rsidRDefault="000F0341" w:rsidP="00E40B0D">
            <w:pPr>
              <w:spacing w:line="240" w:lineRule="auto"/>
              <w:rPr>
                <w:color w:val="000000" w:themeColor="text1"/>
                <w:sz w:val="14"/>
                <w:szCs w:val="14"/>
              </w:rPr>
            </w:pPr>
          </w:p>
        </w:tc>
        <w:tc>
          <w:tcPr>
            <w:tcW w:w="762" w:type="pct"/>
            <w:tcBorders>
              <w:top w:val="single" w:sz="4" w:space="0" w:color="auto"/>
              <w:left w:val="single" w:sz="4" w:space="0" w:color="auto"/>
              <w:bottom w:val="single" w:sz="8" w:space="0" w:color="auto"/>
              <w:right w:val="single" w:sz="4" w:space="0" w:color="auto"/>
            </w:tcBorders>
          </w:tcPr>
          <w:p w14:paraId="5E6B5627" w14:textId="77777777" w:rsidR="000F0341" w:rsidRPr="00832E0E" w:rsidRDefault="000F0341" w:rsidP="00E40B0D">
            <w:pPr>
              <w:spacing w:line="240" w:lineRule="auto"/>
              <w:rPr>
                <w:sz w:val="14"/>
                <w:szCs w:val="14"/>
              </w:rPr>
            </w:pPr>
            <w:r w:rsidRPr="00BF62A1">
              <w:rPr>
                <w:sz w:val="14"/>
                <w:szCs w:val="14"/>
              </w:rPr>
              <w:t>High</w:t>
            </w:r>
          </w:p>
        </w:tc>
        <w:tc>
          <w:tcPr>
            <w:tcW w:w="864" w:type="pct"/>
            <w:tcBorders>
              <w:left w:val="single" w:sz="4" w:space="0" w:color="auto"/>
              <w:bottom w:val="single" w:sz="8" w:space="0" w:color="auto"/>
              <w:right w:val="single" w:sz="4" w:space="0" w:color="auto"/>
            </w:tcBorders>
          </w:tcPr>
          <w:p w14:paraId="56D50E5A" w14:textId="77777777" w:rsidR="000F0341" w:rsidRPr="00832E0E" w:rsidRDefault="000F0341" w:rsidP="00E40B0D">
            <w:pPr>
              <w:spacing w:line="240" w:lineRule="auto"/>
              <w:rPr>
                <w:sz w:val="14"/>
                <w:szCs w:val="14"/>
              </w:rPr>
            </w:pPr>
            <w:r w:rsidRPr="00BF62A1">
              <w:rPr>
                <w:sz w:val="14"/>
                <w:szCs w:val="14"/>
              </w:rPr>
              <w:t>≥5</w:t>
            </w:r>
          </w:p>
        </w:tc>
        <w:tc>
          <w:tcPr>
            <w:tcW w:w="780" w:type="pct"/>
            <w:vMerge/>
            <w:tcBorders>
              <w:left w:val="single" w:sz="4" w:space="0" w:color="auto"/>
              <w:bottom w:val="single" w:sz="8" w:space="0" w:color="auto"/>
              <w:right w:val="single" w:sz="4" w:space="0" w:color="auto"/>
            </w:tcBorders>
          </w:tcPr>
          <w:p w14:paraId="46947A05" w14:textId="77777777" w:rsidR="000F0341" w:rsidRPr="00832E0E" w:rsidRDefault="000F0341" w:rsidP="00E40B0D">
            <w:pPr>
              <w:spacing w:line="240" w:lineRule="auto"/>
              <w:rPr>
                <w:color w:val="000000" w:themeColor="text1"/>
                <w:sz w:val="14"/>
                <w:szCs w:val="14"/>
              </w:rPr>
            </w:pPr>
          </w:p>
        </w:tc>
        <w:tc>
          <w:tcPr>
            <w:tcW w:w="859" w:type="pct"/>
            <w:vMerge/>
            <w:tcBorders>
              <w:left w:val="single" w:sz="4" w:space="0" w:color="auto"/>
              <w:bottom w:val="single" w:sz="8" w:space="0" w:color="auto"/>
              <w:right w:val="single" w:sz="4" w:space="0" w:color="auto"/>
            </w:tcBorders>
          </w:tcPr>
          <w:p w14:paraId="4919FE2A" w14:textId="77777777" w:rsidR="000F0341" w:rsidRPr="00832E0E" w:rsidRDefault="000F0341" w:rsidP="00E40B0D">
            <w:pPr>
              <w:spacing w:line="240" w:lineRule="auto"/>
              <w:rPr>
                <w:color w:val="000000" w:themeColor="text1"/>
                <w:sz w:val="14"/>
                <w:szCs w:val="14"/>
              </w:rPr>
            </w:pPr>
          </w:p>
        </w:tc>
      </w:tr>
      <w:tr w:rsidR="000F0341" w:rsidRPr="00832E0E" w14:paraId="22FF4F02" w14:textId="77777777" w:rsidTr="00E40B0D">
        <w:trPr>
          <w:trHeight w:val="20"/>
        </w:trPr>
        <w:tc>
          <w:tcPr>
            <w:tcW w:w="780" w:type="pct"/>
            <w:vMerge w:val="restart"/>
            <w:tcBorders>
              <w:top w:val="single" w:sz="8" w:space="0" w:color="auto"/>
              <w:left w:val="single" w:sz="4" w:space="0" w:color="auto"/>
              <w:right w:val="single" w:sz="4" w:space="0" w:color="auto"/>
            </w:tcBorders>
          </w:tcPr>
          <w:p w14:paraId="5E71C6C6" w14:textId="2E77B90D" w:rsidR="000F0341" w:rsidRPr="00832E0E" w:rsidRDefault="000F0341" w:rsidP="00E40B0D">
            <w:pPr>
              <w:spacing w:line="240" w:lineRule="auto"/>
              <w:rPr>
                <w:color w:val="000000"/>
                <w:sz w:val="14"/>
                <w:szCs w:val="14"/>
              </w:rPr>
            </w:pPr>
            <w:r w:rsidRPr="00BF62A1">
              <w:rPr>
                <w:sz w:val="14"/>
                <w:szCs w:val="14"/>
              </w:rPr>
              <w:t xml:space="preserve">Sahara 2020 </w:t>
            </w:r>
            <w:r w:rsidRPr="00832E0E">
              <w:rPr>
                <w:sz w:val="14"/>
                <w:szCs w:val="14"/>
              </w:rPr>
              <w:fldChar w:fldCharType="begin"/>
            </w:r>
            <w:r>
              <w:rPr>
                <w:sz w:val="14"/>
                <w:szCs w:val="14"/>
              </w:rPr>
              <w:instrText xml:space="preserve"> ADDIN ZOTERO_ITEM CSL_CITATION {"citationID":"mlZ9WfQS","properties":{"formattedCitation":"[78]","plainCitation":"[78]","noteIndex":0},"citationItems":[{"id":14162,"uris":["http://zotero.org/groups/4983919/items/3FLGF8T8"],"itemData":{"id":14162,"type":"article-journal","abstract":"BACKGROUND: Although the role of annual surgeon volume on perioperative outcomes after liver resection (LR) has been investigated, there is a paucity of data regarding the impact of surgeon volume on outcomes of minimally invasive LR (MILR) versus open LR (OLR). METHODS: Patients undergoing LR between 2013 and 2015 were identified in the Medicare inpatient Standard Analytic Files. Patients were classified into three groups based on surgeons' annual caseload: low (≤ 2 cases), medium (3-5 cases), or high (≥ 6 cases). Short-term outcomes and expenditures of LR, stratified by surgeon volume and minimally invasive surgery (MIS), were examined. RESULTS: Among 3403 surgeons performing LR on 7169 patients, approximately 90% of surgeons performed less than 5 liver resections per year for Medicare patients. Only 7.1% of patients underwent MILR (n = 506). After adjustment, the likelihood of experiencing a complication and death within 90 days decreased with increasing surgeon volume. Outcomes of open and MILR among low- or high-volume surgeon groups, including rates of complications, 30- and 90-day readmission and mortality were similar. However, the difference of average total episode payment between open and MIS was higher in the high-volume surgeon group (low volume: $2929 vs. medium volume: $2333 vs. high volume: $7055). CONCLUSION: Annual surgeon volume was an important predictor of outcomes following LR. MILR had comparable results to open LR among both the low- and high-volume surgeons.","container-title":"J Gastrointest Surg","DOI":"10.1007/s11605-019-04323-9","ISSN":"1091-255x","issue":"7","language":"eng","note":"publisher-place: Division of Surgical Oncology, Wexner Medical Center and James Comprehensive Cancer Center, The Ohio State University, Columbus, OH, USA. Gastroenterological Surgery Division, Yokohama City University School of Medicine, Yokohama, Japan. Division of Health Information Management and Systems, The Ohio State Wexner Medical Center, The Ohio State University, Columbus, OH, USA. Division of Surgical Oncology, Wexner Medical Center and James Comprehensive Cancer Center, The Ohio State University, Columbus, OH, USA. Tim.Pawlik@osumc.edu. Department of Surgery, The Urban Meyer III and Shelley Meyer Chair for Cancer Research, Wexner Medical Center, The Ohio State University, 395 W. 12th Ave., Suite 670, Columbus, OH, USA. Tim.Pawlik@osumc.edu.","page":"1520-1529","title":"Impact of Surgeon Volume on Outcomes and Expenditure Among Medicare Beneficiaries Undergoing Liver Resection: the Effect of Minimally Invasive Surgery","volume":"24","author":[{"family":"Sahara","given":"K."},{"family":"Merath","given":"K."},{"family":"Hyer","given":"J. M."},{"family":"Tsilimigras","given":"D. I."},{"family":"Paredes","given":"A. Z."},{"family":"Farooq","given":"A."},{"family":"Mehta","given":"R."},{"family":"Wu","given":"L."},{"family":"Beal","given":"E. W."},{"family":"White","given":"S."},{"family":"Endo","given":"I."},{"family":"Pawlik","given":"T. M."}],"issued":{"date-parts":[["2020",7]]}}}],"schema":"https://github.com/citation-style-language/schema/raw/master/csl-citation.json"} </w:instrText>
            </w:r>
            <w:r w:rsidRPr="00832E0E">
              <w:rPr>
                <w:sz w:val="14"/>
                <w:szCs w:val="14"/>
              </w:rPr>
              <w:fldChar w:fldCharType="separate"/>
            </w:r>
            <w:r w:rsidRPr="004125CE">
              <w:rPr>
                <w:sz w:val="14"/>
              </w:rPr>
              <w:t>[7</w:t>
            </w:r>
            <w:r w:rsidR="00D03F0D">
              <w:rPr>
                <w:sz w:val="14"/>
              </w:rPr>
              <w:t>6</w:t>
            </w:r>
            <w:r w:rsidRPr="004125CE">
              <w:rPr>
                <w:sz w:val="14"/>
              </w:rPr>
              <w:t>]</w:t>
            </w:r>
            <w:r w:rsidRPr="00832E0E">
              <w:rPr>
                <w:sz w:val="14"/>
                <w:szCs w:val="14"/>
              </w:rPr>
              <w:fldChar w:fldCharType="end"/>
            </w:r>
          </w:p>
        </w:tc>
        <w:tc>
          <w:tcPr>
            <w:tcW w:w="468" w:type="pct"/>
            <w:vMerge w:val="restart"/>
            <w:tcBorders>
              <w:top w:val="single" w:sz="8" w:space="0" w:color="auto"/>
              <w:left w:val="single" w:sz="4" w:space="0" w:color="auto"/>
              <w:right w:val="single" w:sz="4" w:space="0" w:color="auto"/>
            </w:tcBorders>
          </w:tcPr>
          <w:p w14:paraId="4DE377F7" w14:textId="77777777" w:rsidR="000F0341" w:rsidRPr="00832E0E" w:rsidRDefault="000F0341" w:rsidP="00E40B0D">
            <w:pPr>
              <w:spacing w:line="240" w:lineRule="auto"/>
              <w:rPr>
                <w:sz w:val="14"/>
                <w:szCs w:val="14"/>
              </w:rPr>
            </w:pPr>
            <w:r w:rsidRPr="00BF62A1">
              <w:rPr>
                <w:sz w:val="14"/>
                <w:szCs w:val="14"/>
              </w:rPr>
              <w:t>7169</w:t>
            </w:r>
          </w:p>
        </w:tc>
        <w:tc>
          <w:tcPr>
            <w:tcW w:w="486" w:type="pct"/>
            <w:vMerge w:val="restart"/>
            <w:tcBorders>
              <w:top w:val="single" w:sz="8" w:space="0" w:color="auto"/>
              <w:left w:val="single" w:sz="4" w:space="0" w:color="auto"/>
              <w:right w:val="single" w:sz="4" w:space="0" w:color="auto"/>
            </w:tcBorders>
          </w:tcPr>
          <w:p w14:paraId="2A7E16FF" w14:textId="77777777" w:rsidR="000F0341" w:rsidRPr="00832E0E" w:rsidRDefault="000F0341" w:rsidP="00E40B0D">
            <w:pPr>
              <w:spacing w:line="240" w:lineRule="auto"/>
              <w:rPr>
                <w:sz w:val="14"/>
                <w:szCs w:val="14"/>
              </w:rPr>
            </w:pPr>
            <w:r w:rsidRPr="00BF62A1">
              <w:rPr>
                <w:sz w:val="14"/>
                <w:szCs w:val="14"/>
              </w:rPr>
              <w:t>-</w:t>
            </w:r>
          </w:p>
        </w:tc>
        <w:tc>
          <w:tcPr>
            <w:tcW w:w="762" w:type="pct"/>
            <w:tcBorders>
              <w:top w:val="single" w:sz="8" w:space="0" w:color="auto"/>
              <w:left w:val="single" w:sz="4" w:space="0" w:color="auto"/>
              <w:bottom w:val="single" w:sz="4" w:space="0" w:color="auto"/>
              <w:right w:val="single" w:sz="4" w:space="0" w:color="auto"/>
            </w:tcBorders>
          </w:tcPr>
          <w:p w14:paraId="42450D6D" w14:textId="77777777" w:rsidR="000F0341" w:rsidRPr="00832E0E" w:rsidRDefault="000F0341" w:rsidP="00E40B0D">
            <w:pPr>
              <w:spacing w:line="240" w:lineRule="auto"/>
              <w:rPr>
                <w:sz w:val="14"/>
                <w:szCs w:val="14"/>
              </w:rPr>
            </w:pPr>
            <w:r w:rsidRPr="00BF62A1">
              <w:rPr>
                <w:sz w:val="14"/>
                <w:szCs w:val="14"/>
              </w:rPr>
              <w:t>Low</w:t>
            </w:r>
          </w:p>
        </w:tc>
        <w:tc>
          <w:tcPr>
            <w:tcW w:w="864" w:type="pct"/>
            <w:tcBorders>
              <w:top w:val="single" w:sz="8" w:space="0" w:color="auto"/>
              <w:left w:val="single" w:sz="4" w:space="0" w:color="auto"/>
              <w:right w:val="single" w:sz="4" w:space="0" w:color="auto"/>
            </w:tcBorders>
          </w:tcPr>
          <w:p w14:paraId="6E20F1CD" w14:textId="77777777" w:rsidR="000F0341" w:rsidRPr="00832E0E" w:rsidRDefault="000F0341" w:rsidP="00E40B0D">
            <w:pPr>
              <w:spacing w:line="240" w:lineRule="auto"/>
              <w:rPr>
                <w:sz w:val="14"/>
                <w:szCs w:val="14"/>
              </w:rPr>
            </w:pPr>
            <w:r w:rsidRPr="00BF62A1">
              <w:rPr>
                <w:sz w:val="14"/>
                <w:szCs w:val="14"/>
              </w:rPr>
              <w:t>≤2</w:t>
            </w:r>
          </w:p>
        </w:tc>
        <w:tc>
          <w:tcPr>
            <w:tcW w:w="780" w:type="pct"/>
            <w:tcBorders>
              <w:top w:val="single" w:sz="8" w:space="0" w:color="auto"/>
              <w:left w:val="single" w:sz="4" w:space="0" w:color="auto"/>
              <w:right w:val="single" w:sz="4" w:space="0" w:color="auto"/>
            </w:tcBorders>
          </w:tcPr>
          <w:p w14:paraId="00E93233" w14:textId="77777777" w:rsidR="000F0341" w:rsidRPr="00832E0E" w:rsidRDefault="000F0341" w:rsidP="00E40B0D">
            <w:pPr>
              <w:spacing w:line="240" w:lineRule="auto"/>
              <w:rPr>
                <w:sz w:val="14"/>
                <w:szCs w:val="14"/>
              </w:rPr>
            </w:pPr>
            <w:r w:rsidRPr="00BF62A1">
              <w:rPr>
                <w:sz w:val="14"/>
                <w:szCs w:val="14"/>
              </w:rPr>
              <w:t>3922</w:t>
            </w:r>
          </w:p>
        </w:tc>
        <w:tc>
          <w:tcPr>
            <w:tcW w:w="859" w:type="pct"/>
            <w:vMerge w:val="restart"/>
            <w:tcBorders>
              <w:top w:val="single" w:sz="8" w:space="0" w:color="auto"/>
              <w:left w:val="single" w:sz="4" w:space="0" w:color="auto"/>
              <w:right w:val="single" w:sz="4" w:space="0" w:color="auto"/>
            </w:tcBorders>
          </w:tcPr>
          <w:p w14:paraId="0D377139" w14:textId="77777777" w:rsidR="000F0341" w:rsidRPr="00832E0E" w:rsidRDefault="000F0341" w:rsidP="00E40B0D">
            <w:pPr>
              <w:spacing w:line="240" w:lineRule="auto"/>
              <w:rPr>
                <w:sz w:val="14"/>
                <w:szCs w:val="14"/>
              </w:rPr>
            </w:pPr>
            <w:r w:rsidRPr="00BF62A1">
              <w:rPr>
                <w:sz w:val="14"/>
                <w:szCs w:val="14"/>
              </w:rPr>
              <w:t>-</w:t>
            </w:r>
          </w:p>
        </w:tc>
      </w:tr>
      <w:tr w:rsidR="000F0341" w:rsidRPr="00832E0E" w14:paraId="27E69ADC" w14:textId="77777777" w:rsidTr="00E40B0D">
        <w:trPr>
          <w:trHeight w:val="20"/>
        </w:trPr>
        <w:tc>
          <w:tcPr>
            <w:tcW w:w="780" w:type="pct"/>
            <w:vMerge/>
            <w:tcBorders>
              <w:left w:val="single" w:sz="4" w:space="0" w:color="auto"/>
              <w:right w:val="single" w:sz="4" w:space="0" w:color="auto"/>
            </w:tcBorders>
          </w:tcPr>
          <w:p w14:paraId="3786C0A7" w14:textId="77777777" w:rsidR="000F0341" w:rsidRPr="00832E0E" w:rsidRDefault="000F0341" w:rsidP="00E40B0D">
            <w:pPr>
              <w:spacing w:line="240" w:lineRule="auto"/>
              <w:rPr>
                <w:sz w:val="14"/>
                <w:szCs w:val="14"/>
              </w:rPr>
            </w:pPr>
          </w:p>
        </w:tc>
        <w:tc>
          <w:tcPr>
            <w:tcW w:w="468" w:type="pct"/>
            <w:vMerge/>
            <w:tcBorders>
              <w:left w:val="single" w:sz="4" w:space="0" w:color="auto"/>
              <w:right w:val="single" w:sz="4" w:space="0" w:color="auto"/>
            </w:tcBorders>
          </w:tcPr>
          <w:p w14:paraId="47999C59" w14:textId="77777777" w:rsidR="000F0341" w:rsidRPr="00832E0E" w:rsidRDefault="000F0341" w:rsidP="00E40B0D">
            <w:pPr>
              <w:spacing w:line="240" w:lineRule="auto"/>
              <w:rPr>
                <w:sz w:val="14"/>
                <w:szCs w:val="14"/>
              </w:rPr>
            </w:pPr>
          </w:p>
        </w:tc>
        <w:tc>
          <w:tcPr>
            <w:tcW w:w="486" w:type="pct"/>
            <w:vMerge/>
            <w:tcBorders>
              <w:left w:val="single" w:sz="4" w:space="0" w:color="auto"/>
              <w:right w:val="single" w:sz="4" w:space="0" w:color="auto"/>
            </w:tcBorders>
          </w:tcPr>
          <w:p w14:paraId="6B0FE409" w14:textId="77777777" w:rsidR="000F0341" w:rsidRPr="00832E0E" w:rsidRDefault="000F0341" w:rsidP="00E40B0D">
            <w:pPr>
              <w:spacing w:line="240" w:lineRule="auto"/>
              <w:rPr>
                <w:sz w:val="14"/>
                <w:szCs w:val="14"/>
              </w:rPr>
            </w:pPr>
          </w:p>
        </w:tc>
        <w:tc>
          <w:tcPr>
            <w:tcW w:w="762" w:type="pct"/>
            <w:tcBorders>
              <w:top w:val="single" w:sz="4" w:space="0" w:color="auto"/>
              <w:left w:val="single" w:sz="4" w:space="0" w:color="auto"/>
              <w:bottom w:val="single" w:sz="4" w:space="0" w:color="auto"/>
              <w:right w:val="single" w:sz="4" w:space="0" w:color="auto"/>
            </w:tcBorders>
          </w:tcPr>
          <w:p w14:paraId="5BAC2813" w14:textId="77777777" w:rsidR="000F0341" w:rsidRPr="00832E0E" w:rsidRDefault="000F0341" w:rsidP="00E40B0D">
            <w:pPr>
              <w:spacing w:line="240" w:lineRule="auto"/>
              <w:rPr>
                <w:sz w:val="14"/>
                <w:szCs w:val="14"/>
              </w:rPr>
            </w:pPr>
            <w:r w:rsidRPr="00BF62A1">
              <w:rPr>
                <w:sz w:val="14"/>
                <w:szCs w:val="14"/>
              </w:rPr>
              <w:t>Medium</w:t>
            </w:r>
          </w:p>
        </w:tc>
        <w:tc>
          <w:tcPr>
            <w:tcW w:w="864" w:type="pct"/>
            <w:tcBorders>
              <w:left w:val="single" w:sz="4" w:space="0" w:color="auto"/>
              <w:right w:val="single" w:sz="4" w:space="0" w:color="auto"/>
            </w:tcBorders>
          </w:tcPr>
          <w:p w14:paraId="768A5603" w14:textId="77777777" w:rsidR="000F0341" w:rsidRPr="00832E0E" w:rsidRDefault="000F0341" w:rsidP="00E40B0D">
            <w:pPr>
              <w:spacing w:line="240" w:lineRule="auto"/>
              <w:rPr>
                <w:sz w:val="14"/>
                <w:szCs w:val="14"/>
              </w:rPr>
            </w:pPr>
            <w:r w:rsidRPr="00BF62A1">
              <w:rPr>
                <w:sz w:val="14"/>
                <w:szCs w:val="14"/>
              </w:rPr>
              <w:t>3</w:t>
            </w:r>
            <w:r w:rsidRPr="00832E0E">
              <w:rPr>
                <w:sz w:val="14"/>
                <w:szCs w:val="14"/>
              </w:rPr>
              <w:t>-5</w:t>
            </w:r>
          </w:p>
        </w:tc>
        <w:tc>
          <w:tcPr>
            <w:tcW w:w="780" w:type="pct"/>
            <w:tcBorders>
              <w:left w:val="single" w:sz="4" w:space="0" w:color="auto"/>
              <w:right w:val="single" w:sz="4" w:space="0" w:color="auto"/>
            </w:tcBorders>
          </w:tcPr>
          <w:p w14:paraId="3412AD9F" w14:textId="77777777" w:rsidR="000F0341" w:rsidRPr="00832E0E" w:rsidRDefault="000F0341" w:rsidP="00E40B0D">
            <w:pPr>
              <w:spacing w:line="240" w:lineRule="auto"/>
              <w:rPr>
                <w:sz w:val="14"/>
                <w:szCs w:val="14"/>
              </w:rPr>
            </w:pPr>
            <w:r w:rsidRPr="00BF62A1">
              <w:rPr>
                <w:sz w:val="14"/>
                <w:szCs w:val="14"/>
              </w:rPr>
              <w:t>2301</w:t>
            </w:r>
          </w:p>
        </w:tc>
        <w:tc>
          <w:tcPr>
            <w:tcW w:w="859" w:type="pct"/>
            <w:vMerge/>
            <w:tcBorders>
              <w:left w:val="single" w:sz="4" w:space="0" w:color="auto"/>
              <w:right w:val="single" w:sz="4" w:space="0" w:color="auto"/>
            </w:tcBorders>
          </w:tcPr>
          <w:p w14:paraId="4B9B8268" w14:textId="77777777" w:rsidR="000F0341" w:rsidRPr="00832E0E" w:rsidRDefault="000F0341" w:rsidP="00E40B0D">
            <w:pPr>
              <w:pStyle w:val="ListParagraph"/>
              <w:spacing w:line="240" w:lineRule="auto"/>
              <w:rPr>
                <w:sz w:val="14"/>
                <w:szCs w:val="14"/>
              </w:rPr>
            </w:pPr>
          </w:p>
        </w:tc>
      </w:tr>
      <w:tr w:rsidR="000F0341" w:rsidRPr="00832E0E" w14:paraId="1F03C340" w14:textId="77777777" w:rsidTr="00E40B0D">
        <w:trPr>
          <w:trHeight w:val="20"/>
        </w:trPr>
        <w:tc>
          <w:tcPr>
            <w:tcW w:w="780" w:type="pct"/>
            <w:vMerge/>
            <w:tcBorders>
              <w:left w:val="single" w:sz="4" w:space="0" w:color="auto"/>
              <w:bottom w:val="single" w:sz="4" w:space="0" w:color="auto"/>
              <w:right w:val="single" w:sz="4" w:space="0" w:color="auto"/>
            </w:tcBorders>
          </w:tcPr>
          <w:p w14:paraId="54CFC3E9" w14:textId="77777777" w:rsidR="000F0341" w:rsidRPr="00832E0E" w:rsidRDefault="000F0341" w:rsidP="00E40B0D">
            <w:pPr>
              <w:spacing w:line="240" w:lineRule="auto"/>
              <w:rPr>
                <w:sz w:val="14"/>
                <w:szCs w:val="14"/>
              </w:rPr>
            </w:pPr>
          </w:p>
        </w:tc>
        <w:tc>
          <w:tcPr>
            <w:tcW w:w="468" w:type="pct"/>
            <w:vMerge/>
            <w:tcBorders>
              <w:left w:val="single" w:sz="4" w:space="0" w:color="auto"/>
              <w:bottom w:val="single" w:sz="4" w:space="0" w:color="auto"/>
              <w:right w:val="single" w:sz="4" w:space="0" w:color="auto"/>
            </w:tcBorders>
          </w:tcPr>
          <w:p w14:paraId="419BA141" w14:textId="77777777" w:rsidR="000F0341" w:rsidRPr="00832E0E" w:rsidRDefault="000F0341" w:rsidP="00E40B0D">
            <w:pPr>
              <w:spacing w:line="240" w:lineRule="auto"/>
              <w:rPr>
                <w:sz w:val="14"/>
                <w:szCs w:val="14"/>
              </w:rPr>
            </w:pPr>
          </w:p>
        </w:tc>
        <w:tc>
          <w:tcPr>
            <w:tcW w:w="486" w:type="pct"/>
            <w:vMerge/>
            <w:tcBorders>
              <w:left w:val="single" w:sz="4" w:space="0" w:color="auto"/>
              <w:bottom w:val="single" w:sz="4" w:space="0" w:color="auto"/>
              <w:right w:val="single" w:sz="4" w:space="0" w:color="auto"/>
            </w:tcBorders>
          </w:tcPr>
          <w:p w14:paraId="0A860BC4" w14:textId="77777777" w:rsidR="000F0341" w:rsidRPr="00832E0E" w:rsidRDefault="000F0341" w:rsidP="00E40B0D">
            <w:pPr>
              <w:spacing w:line="240" w:lineRule="auto"/>
              <w:rPr>
                <w:sz w:val="14"/>
                <w:szCs w:val="14"/>
              </w:rPr>
            </w:pPr>
          </w:p>
        </w:tc>
        <w:tc>
          <w:tcPr>
            <w:tcW w:w="762" w:type="pct"/>
            <w:tcBorders>
              <w:top w:val="single" w:sz="4" w:space="0" w:color="auto"/>
              <w:left w:val="single" w:sz="4" w:space="0" w:color="auto"/>
              <w:bottom w:val="single" w:sz="4" w:space="0" w:color="auto"/>
              <w:right w:val="single" w:sz="4" w:space="0" w:color="auto"/>
            </w:tcBorders>
          </w:tcPr>
          <w:p w14:paraId="537E06D0" w14:textId="77777777" w:rsidR="000F0341" w:rsidRPr="00832E0E" w:rsidRDefault="000F0341" w:rsidP="00E40B0D">
            <w:pPr>
              <w:spacing w:line="240" w:lineRule="auto"/>
              <w:rPr>
                <w:sz w:val="14"/>
                <w:szCs w:val="14"/>
              </w:rPr>
            </w:pPr>
            <w:r w:rsidRPr="00BF62A1">
              <w:rPr>
                <w:sz w:val="14"/>
                <w:szCs w:val="14"/>
              </w:rPr>
              <w:t>High</w:t>
            </w:r>
          </w:p>
        </w:tc>
        <w:tc>
          <w:tcPr>
            <w:tcW w:w="864" w:type="pct"/>
            <w:tcBorders>
              <w:left w:val="single" w:sz="4" w:space="0" w:color="auto"/>
              <w:bottom w:val="single" w:sz="4" w:space="0" w:color="auto"/>
              <w:right w:val="single" w:sz="4" w:space="0" w:color="auto"/>
            </w:tcBorders>
          </w:tcPr>
          <w:p w14:paraId="24D844A3" w14:textId="77777777" w:rsidR="000F0341" w:rsidRPr="00832E0E" w:rsidRDefault="000F0341" w:rsidP="00E40B0D">
            <w:pPr>
              <w:spacing w:line="240" w:lineRule="auto"/>
              <w:rPr>
                <w:sz w:val="14"/>
                <w:szCs w:val="14"/>
              </w:rPr>
            </w:pPr>
            <w:r w:rsidRPr="00BF62A1">
              <w:rPr>
                <w:sz w:val="14"/>
                <w:szCs w:val="14"/>
              </w:rPr>
              <w:t>≥6</w:t>
            </w:r>
          </w:p>
        </w:tc>
        <w:tc>
          <w:tcPr>
            <w:tcW w:w="780" w:type="pct"/>
            <w:tcBorders>
              <w:left w:val="single" w:sz="4" w:space="0" w:color="auto"/>
              <w:bottom w:val="single" w:sz="4" w:space="0" w:color="auto"/>
              <w:right w:val="single" w:sz="4" w:space="0" w:color="auto"/>
            </w:tcBorders>
          </w:tcPr>
          <w:p w14:paraId="17CDEA59" w14:textId="77777777" w:rsidR="000F0341" w:rsidRPr="00832E0E" w:rsidRDefault="000F0341" w:rsidP="00E40B0D">
            <w:pPr>
              <w:spacing w:line="240" w:lineRule="auto"/>
              <w:rPr>
                <w:sz w:val="14"/>
                <w:szCs w:val="14"/>
              </w:rPr>
            </w:pPr>
            <w:r w:rsidRPr="00BF62A1">
              <w:rPr>
                <w:sz w:val="14"/>
                <w:szCs w:val="14"/>
              </w:rPr>
              <w:t>946</w:t>
            </w:r>
          </w:p>
        </w:tc>
        <w:tc>
          <w:tcPr>
            <w:tcW w:w="859" w:type="pct"/>
            <w:vMerge/>
            <w:tcBorders>
              <w:left w:val="single" w:sz="4" w:space="0" w:color="auto"/>
              <w:bottom w:val="single" w:sz="4" w:space="0" w:color="auto"/>
              <w:right w:val="single" w:sz="4" w:space="0" w:color="auto"/>
            </w:tcBorders>
          </w:tcPr>
          <w:p w14:paraId="51A41699" w14:textId="77777777" w:rsidR="000F0341" w:rsidRPr="00832E0E" w:rsidRDefault="000F0341" w:rsidP="00E40B0D">
            <w:pPr>
              <w:pStyle w:val="ListParagraph"/>
              <w:spacing w:line="240" w:lineRule="auto"/>
              <w:rPr>
                <w:sz w:val="14"/>
                <w:szCs w:val="14"/>
              </w:rPr>
            </w:pPr>
          </w:p>
        </w:tc>
      </w:tr>
    </w:tbl>
    <w:p w14:paraId="6E6635A7" w14:textId="77777777" w:rsidR="000F0341" w:rsidRPr="00BF62A1" w:rsidRDefault="000F0341" w:rsidP="000F0341"/>
    <w:tbl>
      <w:tblPr>
        <w:tblStyle w:val="TableGrid"/>
        <w:tblW w:w="5341" w:type="pct"/>
        <w:tblInd w:w="-572" w:type="dxa"/>
        <w:tblLook w:val="04A0" w:firstRow="1" w:lastRow="0" w:firstColumn="1" w:lastColumn="0" w:noHBand="0" w:noVBand="1"/>
      </w:tblPr>
      <w:tblGrid>
        <w:gridCol w:w="1465"/>
        <w:gridCol w:w="786"/>
        <w:gridCol w:w="396"/>
        <w:gridCol w:w="1060"/>
        <w:gridCol w:w="1192"/>
        <w:gridCol w:w="1197"/>
        <w:gridCol w:w="1321"/>
        <w:gridCol w:w="1050"/>
      </w:tblGrid>
      <w:tr w:rsidR="000F0341" w:rsidRPr="00832E0E" w14:paraId="4BDB60D4" w14:textId="77777777" w:rsidTr="00E40B0D">
        <w:trPr>
          <w:trHeight w:val="340"/>
        </w:trPr>
        <w:tc>
          <w:tcPr>
            <w:tcW w:w="5000" w:type="pct"/>
            <w:gridSpan w:val="8"/>
            <w:tcBorders>
              <w:top w:val="single" w:sz="4" w:space="0" w:color="auto"/>
              <w:left w:val="single" w:sz="4" w:space="0" w:color="auto"/>
              <w:bottom w:val="single" w:sz="4" w:space="0" w:color="auto"/>
              <w:right w:val="single" w:sz="4" w:space="0" w:color="auto"/>
            </w:tcBorders>
            <w:vAlign w:val="center"/>
          </w:tcPr>
          <w:p w14:paraId="62254BD7" w14:textId="77777777" w:rsidR="000F0341" w:rsidRPr="00832E0E" w:rsidRDefault="000F0341" w:rsidP="00E40B0D">
            <w:pPr>
              <w:spacing w:line="240" w:lineRule="auto"/>
              <w:jc w:val="center"/>
              <w:rPr>
                <w:b/>
                <w:bCs/>
                <w:sz w:val="14"/>
                <w:szCs w:val="14"/>
              </w:rPr>
            </w:pPr>
            <w:r w:rsidRPr="00BF62A1">
              <w:rPr>
                <w:b/>
                <w:bCs/>
                <w:sz w:val="14"/>
                <w:szCs w:val="14"/>
              </w:rPr>
              <w:t>Hospital and surgeon volume</w:t>
            </w:r>
          </w:p>
        </w:tc>
      </w:tr>
      <w:tr w:rsidR="000F0341" w:rsidRPr="00832E0E" w14:paraId="51A179F6" w14:textId="77777777" w:rsidTr="00E40B0D">
        <w:trPr>
          <w:trHeight w:val="20"/>
        </w:trPr>
        <w:tc>
          <w:tcPr>
            <w:tcW w:w="865" w:type="pct"/>
            <w:tcBorders>
              <w:top w:val="single" w:sz="4" w:space="0" w:color="auto"/>
              <w:left w:val="single" w:sz="4" w:space="0" w:color="auto"/>
              <w:bottom w:val="single" w:sz="4" w:space="0" w:color="auto"/>
              <w:right w:val="single" w:sz="4" w:space="0" w:color="auto"/>
            </w:tcBorders>
          </w:tcPr>
          <w:p w14:paraId="3A1E8A2B" w14:textId="77777777" w:rsidR="000F0341" w:rsidRPr="00832E0E" w:rsidRDefault="000F0341" w:rsidP="00E40B0D">
            <w:pPr>
              <w:spacing w:line="240" w:lineRule="auto"/>
              <w:jc w:val="left"/>
              <w:rPr>
                <w:b/>
                <w:bCs/>
                <w:sz w:val="14"/>
                <w:szCs w:val="14"/>
              </w:rPr>
            </w:pPr>
            <w:r w:rsidRPr="00BF62A1">
              <w:rPr>
                <w:b/>
                <w:bCs/>
                <w:color w:val="000000" w:themeColor="text1"/>
                <w:sz w:val="14"/>
                <w:szCs w:val="14"/>
              </w:rPr>
              <w:t>First author and year of publication</w:t>
            </w:r>
          </w:p>
        </w:tc>
        <w:tc>
          <w:tcPr>
            <w:tcW w:w="464" w:type="pct"/>
            <w:tcBorders>
              <w:top w:val="single" w:sz="4" w:space="0" w:color="auto"/>
              <w:left w:val="single" w:sz="4" w:space="0" w:color="auto"/>
              <w:bottom w:val="single" w:sz="4" w:space="0" w:color="auto"/>
              <w:right w:val="single" w:sz="4" w:space="0" w:color="auto"/>
            </w:tcBorders>
          </w:tcPr>
          <w:p w14:paraId="40A775B4" w14:textId="77777777" w:rsidR="000F0341" w:rsidRPr="00832E0E" w:rsidRDefault="000F0341" w:rsidP="00E40B0D">
            <w:pPr>
              <w:spacing w:line="240" w:lineRule="auto"/>
              <w:jc w:val="left"/>
              <w:rPr>
                <w:b/>
                <w:bCs/>
                <w:sz w:val="14"/>
                <w:szCs w:val="14"/>
              </w:rPr>
            </w:pPr>
            <w:r w:rsidRPr="00BF62A1">
              <w:rPr>
                <w:b/>
                <w:bCs/>
                <w:sz w:val="14"/>
                <w:szCs w:val="14"/>
              </w:rPr>
              <w:t>Patients (N)</w:t>
            </w:r>
          </w:p>
        </w:tc>
        <w:tc>
          <w:tcPr>
            <w:tcW w:w="859" w:type="pct"/>
            <w:gridSpan w:val="2"/>
            <w:tcBorders>
              <w:top w:val="single" w:sz="4" w:space="0" w:color="auto"/>
              <w:left w:val="single" w:sz="4" w:space="0" w:color="auto"/>
              <w:bottom w:val="single" w:sz="4" w:space="0" w:color="auto"/>
              <w:right w:val="single" w:sz="4" w:space="0" w:color="auto"/>
            </w:tcBorders>
          </w:tcPr>
          <w:p w14:paraId="735B4B4F" w14:textId="77777777" w:rsidR="000F0341" w:rsidRPr="00832E0E" w:rsidRDefault="000F0341" w:rsidP="00E40B0D">
            <w:pPr>
              <w:spacing w:line="240" w:lineRule="auto"/>
              <w:jc w:val="left"/>
              <w:rPr>
                <w:b/>
                <w:bCs/>
                <w:sz w:val="14"/>
                <w:szCs w:val="14"/>
              </w:rPr>
            </w:pPr>
            <w:r w:rsidRPr="00BF62A1">
              <w:rPr>
                <w:b/>
                <w:bCs/>
                <w:sz w:val="14"/>
                <w:szCs w:val="14"/>
              </w:rPr>
              <w:t xml:space="preserve">Case </w:t>
            </w:r>
            <w:r w:rsidRPr="00832E0E">
              <w:rPr>
                <w:b/>
                <w:bCs/>
                <w:sz w:val="14"/>
                <w:szCs w:val="14"/>
              </w:rPr>
              <w:t>volume category</w:t>
            </w:r>
          </w:p>
        </w:tc>
        <w:tc>
          <w:tcPr>
            <w:tcW w:w="704" w:type="pct"/>
            <w:tcBorders>
              <w:top w:val="single" w:sz="4" w:space="0" w:color="auto"/>
              <w:left w:val="single" w:sz="4" w:space="0" w:color="auto"/>
              <w:bottom w:val="single" w:sz="4" w:space="0" w:color="auto"/>
              <w:right w:val="single" w:sz="4" w:space="0" w:color="auto"/>
            </w:tcBorders>
          </w:tcPr>
          <w:p w14:paraId="10651C80" w14:textId="77777777" w:rsidR="000F0341" w:rsidRPr="00832E0E" w:rsidRDefault="000F0341" w:rsidP="00E40B0D">
            <w:pPr>
              <w:spacing w:line="240" w:lineRule="auto"/>
              <w:jc w:val="left"/>
              <w:rPr>
                <w:b/>
                <w:bCs/>
                <w:sz w:val="14"/>
                <w:szCs w:val="14"/>
              </w:rPr>
            </w:pPr>
            <w:r w:rsidRPr="00BF62A1">
              <w:rPr>
                <w:b/>
                <w:bCs/>
                <w:sz w:val="14"/>
                <w:szCs w:val="14"/>
              </w:rPr>
              <w:t>Hospital volume / year</w:t>
            </w:r>
          </w:p>
        </w:tc>
        <w:tc>
          <w:tcPr>
            <w:tcW w:w="707" w:type="pct"/>
            <w:tcBorders>
              <w:top w:val="single" w:sz="4" w:space="0" w:color="auto"/>
              <w:left w:val="single" w:sz="4" w:space="0" w:color="auto"/>
              <w:bottom w:val="single" w:sz="4" w:space="0" w:color="auto"/>
              <w:right w:val="single" w:sz="4" w:space="0" w:color="auto"/>
            </w:tcBorders>
          </w:tcPr>
          <w:p w14:paraId="1203054A" w14:textId="77777777" w:rsidR="000F0341" w:rsidRPr="00832E0E" w:rsidRDefault="000F0341" w:rsidP="00E40B0D">
            <w:pPr>
              <w:spacing w:line="240" w:lineRule="auto"/>
              <w:jc w:val="left"/>
              <w:rPr>
                <w:b/>
                <w:bCs/>
                <w:sz w:val="14"/>
                <w:szCs w:val="14"/>
              </w:rPr>
            </w:pPr>
            <w:r w:rsidRPr="00BF62A1">
              <w:rPr>
                <w:b/>
                <w:bCs/>
                <w:sz w:val="14"/>
                <w:szCs w:val="14"/>
              </w:rPr>
              <w:t>Surgeon volume / year</w:t>
            </w:r>
          </w:p>
        </w:tc>
        <w:tc>
          <w:tcPr>
            <w:tcW w:w="780" w:type="pct"/>
            <w:tcBorders>
              <w:top w:val="single" w:sz="4" w:space="0" w:color="auto"/>
              <w:left w:val="single" w:sz="4" w:space="0" w:color="auto"/>
              <w:bottom w:val="single" w:sz="4" w:space="0" w:color="auto"/>
              <w:right w:val="single" w:sz="4" w:space="0" w:color="auto"/>
            </w:tcBorders>
          </w:tcPr>
          <w:p w14:paraId="18EE907F" w14:textId="77777777" w:rsidR="000F0341" w:rsidRPr="00832E0E" w:rsidRDefault="000F0341" w:rsidP="00E40B0D">
            <w:pPr>
              <w:spacing w:line="240" w:lineRule="auto"/>
              <w:jc w:val="left"/>
              <w:rPr>
                <w:b/>
                <w:bCs/>
                <w:sz w:val="14"/>
                <w:szCs w:val="14"/>
              </w:rPr>
            </w:pPr>
            <w:r w:rsidRPr="00BF62A1">
              <w:rPr>
                <w:b/>
                <w:bCs/>
                <w:sz w:val="14"/>
                <w:szCs w:val="14"/>
              </w:rPr>
              <w:t>Patients / category</w:t>
            </w:r>
          </w:p>
        </w:tc>
        <w:tc>
          <w:tcPr>
            <w:tcW w:w="621" w:type="pct"/>
            <w:tcBorders>
              <w:top w:val="single" w:sz="4" w:space="0" w:color="auto"/>
              <w:left w:val="single" w:sz="4" w:space="0" w:color="auto"/>
              <w:bottom w:val="single" w:sz="4" w:space="0" w:color="auto"/>
              <w:right w:val="single" w:sz="4" w:space="0" w:color="auto"/>
            </w:tcBorders>
          </w:tcPr>
          <w:p w14:paraId="132A1CD9" w14:textId="77777777" w:rsidR="000F0341" w:rsidRPr="00832E0E" w:rsidRDefault="000F0341" w:rsidP="00E40B0D">
            <w:pPr>
              <w:spacing w:line="240" w:lineRule="auto"/>
              <w:jc w:val="left"/>
              <w:rPr>
                <w:b/>
                <w:bCs/>
                <w:sz w:val="14"/>
                <w:szCs w:val="14"/>
              </w:rPr>
            </w:pPr>
            <w:r w:rsidRPr="00BF62A1">
              <w:rPr>
                <w:b/>
                <w:bCs/>
                <w:sz w:val="14"/>
                <w:szCs w:val="14"/>
              </w:rPr>
              <w:t>Units</w:t>
            </w:r>
            <w:r>
              <w:rPr>
                <w:b/>
                <w:bCs/>
                <w:sz w:val="14"/>
                <w:szCs w:val="14"/>
              </w:rPr>
              <w:t xml:space="preserve"> </w:t>
            </w:r>
            <w:r w:rsidRPr="00BF62A1">
              <w:rPr>
                <w:b/>
                <w:bCs/>
                <w:sz w:val="14"/>
                <w:szCs w:val="14"/>
              </w:rPr>
              <w:t>/ category</w:t>
            </w:r>
          </w:p>
        </w:tc>
      </w:tr>
      <w:tr w:rsidR="000F0341" w:rsidRPr="00832E0E" w14:paraId="30EEB971" w14:textId="77777777" w:rsidTr="00E40B0D">
        <w:trPr>
          <w:trHeight w:val="20"/>
        </w:trPr>
        <w:tc>
          <w:tcPr>
            <w:tcW w:w="865" w:type="pct"/>
            <w:vMerge w:val="restart"/>
            <w:tcBorders>
              <w:top w:val="single" w:sz="4" w:space="0" w:color="auto"/>
              <w:left w:val="single" w:sz="4" w:space="0" w:color="auto"/>
              <w:right w:val="single" w:sz="4" w:space="0" w:color="auto"/>
            </w:tcBorders>
          </w:tcPr>
          <w:p w14:paraId="3AD0B6FF" w14:textId="79964421" w:rsidR="000F0341" w:rsidRPr="00832E0E" w:rsidRDefault="000F0341" w:rsidP="00E40B0D">
            <w:pPr>
              <w:spacing w:line="240" w:lineRule="auto"/>
              <w:rPr>
                <w:sz w:val="14"/>
                <w:szCs w:val="14"/>
              </w:rPr>
            </w:pPr>
            <w:r w:rsidRPr="00BF62A1">
              <w:rPr>
                <w:sz w:val="14"/>
                <w:szCs w:val="14"/>
              </w:rPr>
              <w:t>Buettner 2016</w:t>
            </w:r>
            <w:r w:rsidRPr="00832E0E">
              <w:rPr>
                <w:sz w:val="14"/>
                <w:szCs w:val="14"/>
              </w:rPr>
              <w:t xml:space="preserve"> </w:t>
            </w:r>
            <w:r w:rsidRPr="00832E0E">
              <w:rPr>
                <w:sz w:val="14"/>
                <w:szCs w:val="14"/>
              </w:rPr>
              <w:fldChar w:fldCharType="begin"/>
            </w:r>
            <w:r>
              <w:rPr>
                <w:sz w:val="14"/>
                <w:szCs w:val="14"/>
              </w:rPr>
              <w:instrText xml:space="preserve"> ADDIN ZOTERO_ITEM CSL_CITATION {"citationID":"8jYKeyj2","properties":{"formattedCitation":"[89]","plainCitation":"[89]","noteIndex":0},"citationItems":[{"id":14336,"uris":["http://zotero.org/groups/4983919/items/X7K5DKAZ"],"itemData":{"id":14336,"type":"article-journal","abstract":"BACKGROUND: Although previous reports have focused on factors at the hospital level to explain variations in postoperative outcomes, less is known regarding the effect of provider-specific factors on postoperative outcomes such as failure-to-rescue (FTR) and postoperative mortality. The current study aimed to quantify the relative contributions of surgeon and hospital volume on the volume-outcomes relationship among a cohort of patients undergoing liver resection. METHODS: Patients undergoing liver surgery for cancer were identified using the Nationwide Inpatient Sample from 2001 and 2009. Multivariable logistic regression analysis was performed to identify factors associated with mortality and FTR. Point estimates were used to calculate the relative effects of hospital and surgeon volume on mortality and FTR. RESULTS: A total of 5,075 patients underwent liver surgery and met inclusion criteria. Median patient age was 62 years (interquartile range, 52-70) and 55.2% of patients were male. Mortality was lowest among patients treated at high-volume hospitals and among patients treated by high-volume surgeons (both P &lt; .001). Similar patterns in FTR were noted relative to hospital and surgeon volume (hospital volume: low vs intermediate vs high; 10.3 vs 9.0 vs 5.2%; surgeon volume: low vs intermediate vs high, 11.1 vs 9.1 vs 4.1%; both P &lt; .05). On multivariable analysis, compared with high-volume surgeons, lower volume surgeons demonstrated greater odds for mortality (intermediate: odds ratio [OR], 2.27 [95% CI, 1.27-4.06; P = .006]; low, OR, 2.83 [95% CI, 1.52-5.27; P = .001]), and FTR (intermediate: OR, 2.86 [95% CI, 1.53-5.34, P = .001]; low, OR, 3.40 [95% CI, 1.75-6.63; P &lt; .001]). While hospital volume accounted for 0.5% of the surgeon volume effect on increased FTR for low-volume surgeons, surgeon volume accounted for nearly all of the hospital volume effect on increased FTR in low-volume hospitals. CONCLUSION: The risk of complications, mortality, and FTR were less among both high-volume hospitals and high-volume surgeons, but the beneficial effect of volume on outcomes was attributable largely to surgeon volume.","container-title":"Surgery","DOI":"10.1016/j.surg.2015.10.025","ISSN":"0039-6060","issue":"4","language":"eng","page":"1004-12","title":"The relative effect of hospital and surgeon volume on failure to rescue among patients undergoing liver resection for cancer","volume":"159","author":[{"family":"Buettner","given":"S."},{"family":"Gani","given":"F."},{"family":"Amini","given":"N."},{"family":"Spolverato","given":"G."},{"family":"Kim","given":"Y."},{"family":"Kilic","given":"A."},{"family":"Wagner","given":"D."},{"family":"Pawlik","given":"T. M."}],"issued":{"date-parts":[["2016",4]]}}}],"schema":"https://github.com/citation-style-language/schema/raw/master/csl-citation.json"} </w:instrText>
            </w:r>
            <w:r w:rsidRPr="00832E0E">
              <w:rPr>
                <w:sz w:val="14"/>
                <w:szCs w:val="14"/>
              </w:rPr>
              <w:fldChar w:fldCharType="separate"/>
            </w:r>
            <w:r w:rsidRPr="004125CE">
              <w:rPr>
                <w:sz w:val="14"/>
              </w:rPr>
              <w:t>[</w:t>
            </w:r>
            <w:r w:rsidR="00D03F0D">
              <w:rPr>
                <w:sz w:val="14"/>
              </w:rPr>
              <w:t>80</w:t>
            </w:r>
            <w:r w:rsidRPr="004125CE">
              <w:rPr>
                <w:sz w:val="14"/>
              </w:rPr>
              <w:t>]</w:t>
            </w:r>
            <w:r w:rsidRPr="00832E0E">
              <w:rPr>
                <w:sz w:val="14"/>
                <w:szCs w:val="14"/>
              </w:rPr>
              <w:fldChar w:fldCharType="end"/>
            </w:r>
          </w:p>
        </w:tc>
        <w:tc>
          <w:tcPr>
            <w:tcW w:w="464" w:type="pct"/>
            <w:vMerge w:val="restart"/>
            <w:tcBorders>
              <w:top w:val="single" w:sz="4" w:space="0" w:color="auto"/>
              <w:left w:val="single" w:sz="4" w:space="0" w:color="auto"/>
              <w:right w:val="single" w:sz="4" w:space="0" w:color="auto"/>
            </w:tcBorders>
          </w:tcPr>
          <w:p w14:paraId="74092C4D" w14:textId="77777777" w:rsidR="000F0341" w:rsidRPr="00832E0E" w:rsidRDefault="000F0341" w:rsidP="00E40B0D">
            <w:pPr>
              <w:spacing w:line="240" w:lineRule="auto"/>
              <w:rPr>
                <w:sz w:val="14"/>
                <w:szCs w:val="14"/>
              </w:rPr>
            </w:pPr>
            <w:r w:rsidRPr="00BF62A1">
              <w:rPr>
                <w:sz w:val="14"/>
                <w:szCs w:val="14"/>
              </w:rPr>
              <w:t>5075</w:t>
            </w:r>
          </w:p>
        </w:tc>
        <w:tc>
          <w:tcPr>
            <w:tcW w:w="234" w:type="pct"/>
            <w:vMerge w:val="restart"/>
            <w:tcBorders>
              <w:top w:val="single" w:sz="4" w:space="0" w:color="auto"/>
              <w:left w:val="single" w:sz="4" w:space="0" w:color="auto"/>
              <w:right w:val="single" w:sz="4" w:space="0" w:color="auto"/>
            </w:tcBorders>
          </w:tcPr>
          <w:p w14:paraId="1EF573BF" w14:textId="77777777" w:rsidR="000F0341" w:rsidRPr="00832E0E" w:rsidRDefault="000F0341" w:rsidP="00E40B0D">
            <w:pPr>
              <w:spacing w:line="240" w:lineRule="auto"/>
              <w:rPr>
                <w:sz w:val="14"/>
                <w:szCs w:val="14"/>
              </w:rPr>
            </w:pPr>
            <w:r w:rsidRPr="00BF62A1">
              <w:rPr>
                <w:sz w:val="14"/>
                <w:szCs w:val="14"/>
              </w:rPr>
              <w:t>-</w:t>
            </w:r>
          </w:p>
        </w:tc>
        <w:tc>
          <w:tcPr>
            <w:tcW w:w="626" w:type="pct"/>
            <w:tcBorders>
              <w:top w:val="single" w:sz="4" w:space="0" w:color="auto"/>
              <w:left w:val="single" w:sz="4" w:space="0" w:color="auto"/>
              <w:bottom w:val="single" w:sz="4" w:space="0" w:color="auto"/>
              <w:right w:val="single" w:sz="4" w:space="0" w:color="auto"/>
            </w:tcBorders>
          </w:tcPr>
          <w:p w14:paraId="49661DE9" w14:textId="77777777" w:rsidR="000F0341" w:rsidRPr="00832E0E" w:rsidRDefault="000F0341" w:rsidP="00E40B0D">
            <w:pPr>
              <w:spacing w:line="240" w:lineRule="auto"/>
              <w:rPr>
                <w:sz w:val="14"/>
                <w:szCs w:val="14"/>
              </w:rPr>
            </w:pPr>
            <w:r w:rsidRPr="00BF62A1">
              <w:rPr>
                <w:sz w:val="14"/>
                <w:szCs w:val="14"/>
              </w:rPr>
              <w:t>Low</w:t>
            </w:r>
          </w:p>
        </w:tc>
        <w:tc>
          <w:tcPr>
            <w:tcW w:w="704" w:type="pct"/>
            <w:tcBorders>
              <w:top w:val="single" w:sz="4" w:space="0" w:color="auto"/>
              <w:left w:val="single" w:sz="4" w:space="0" w:color="auto"/>
              <w:right w:val="single" w:sz="4" w:space="0" w:color="auto"/>
            </w:tcBorders>
          </w:tcPr>
          <w:p w14:paraId="6D963DF9" w14:textId="77777777" w:rsidR="000F0341" w:rsidRPr="00832E0E" w:rsidRDefault="000F0341" w:rsidP="00E40B0D">
            <w:pPr>
              <w:spacing w:line="240" w:lineRule="auto"/>
              <w:rPr>
                <w:sz w:val="14"/>
                <w:szCs w:val="14"/>
              </w:rPr>
            </w:pPr>
            <w:r w:rsidRPr="00BF62A1">
              <w:rPr>
                <w:sz w:val="14"/>
                <w:szCs w:val="14"/>
              </w:rPr>
              <w:t>≤11</w:t>
            </w:r>
          </w:p>
        </w:tc>
        <w:tc>
          <w:tcPr>
            <w:tcW w:w="707" w:type="pct"/>
            <w:tcBorders>
              <w:top w:val="single" w:sz="4" w:space="0" w:color="auto"/>
              <w:left w:val="single" w:sz="4" w:space="0" w:color="auto"/>
              <w:right w:val="single" w:sz="4" w:space="0" w:color="auto"/>
            </w:tcBorders>
          </w:tcPr>
          <w:p w14:paraId="37D45A7D" w14:textId="77777777" w:rsidR="000F0341" w:rsidRPr="00832E0E" w:rsidRDefault="000F0341" w:rsidP="00E40B0D">
            <w:pPr>
              <w:spacing w:line="240" w:lineRule="auto"/>
              <w:rPr>
                <w:sz w:val="14"/>
                <w:szCs w:val="14"/>
              </w:rPr>
            </w:pPr>
            <w:r w:rsidRPr="00BF62A1">
              <w:rPr>
                <w:sz w:val="14"/>
                <w:szCs w:val="14"/>
              </w:rPr>
              <w:t>≤4</w:t>
            </w:r>
          </w:p>
        </w:tc>
        <w:tc>
          <w:tcPr>
            <w:tcW w:w="780" w:type="pct"/>
            <w:tcBorders>
              <w:top w:val="single" w:sz="4" w:space="0" w:color="auto"/>
              <w:left w:val="single" w:sz="4" w:space="0" w:color="auto"/>
              <w:right w:val="single" w:sz="4" w:space="0" w:color="auto"/>
            </w:tcBorders>
          </w:tcPr>
          <w:p w14:paraId="68A04FF0" w14:textId="77777777" w:rsidR="000F0341" w:rsidRPr="00832E0E" w:rsidRDefault="000F0341" w:rsidP="00E40B0D">
            <w:pPr>
              <w:spacing w:line="240" w:lineRule="auto"/>
              <w:rPr>
                <w:sz w:val="14"/>
                <w:szCs w:val="14"/>
              </w:rPr>
            </w:pPr>
            <w:r w:rsidRPr="00BF62A1">
              <w:rPr>
                <w:sz w:val="14"/>
                <w:szCs w:val="14"/>
              </w:rPr>
              <w:t>1824 / 1722</w:t>
            </w:r>
          </w:p>
        </w:tc>
        <w:tc>
          <w:tcPr>
            <w:tcW w:w="621" w:type="pct"/>
            <w:tcBorders>
              <w:top w:val="single" w:sz="4" w:space="0" w:color="auto"/>
              <w:left w:val="single" w:sz="4" w:space="0" w:color="auto"/>
              <w:right w:val="single" w:sz="4" w:space="0" w:color="auto"/>
            </w:tcBorders>
          </w:tcPr>
          <w:p w14:paraId="6927A4EB" w14:textId="77777777" w:rsidR="000F0341" w:rsidRPr="00832E0E" w:rsidRDefault="000F0341" w:rsidP="00E40B0D">
            <w:pPr>
              <w:spacing w:line="240" w:lineRule="auto"/>
              <w:rPr>
                <w:sz w:val="14"/>
                <w:szCs w:val="14"/>
              </w:rPr>
            </w:pPr>
            <w:r w:rsidRPr="00BF62A1">
              <w:rPr>
                <w:sz w:val="14"/>
                <w:szCs w:val="14"/>
              </w:rPr>
              <w:t>360 / 720</w:t>
            </w:r>
          </w:p>
        </w:tc>
      </w:tr>
      <w:tr w:rsidR="000F0341" w:rsidRPr="00832E0E" w14:paraId="1E60B87B" w14:textId="77777777" w:rsidTr="00E40B0D">
        <w:trPr>
          <w:trHeight w:val="20"/>
        </w:trPr>
        <w:tc>
          <w:tcPr>
            <w:tcW w:w="865" w:type="pct"/>
            <w:vMerge/>
            <w:tcBorders>
              <w:left w:val="single" w:sz="4" w:space="0" w:color="auto"/>
              <w:right w:val="single" w:sz="4" w:space="0" w:color="auto"/>
            </w:tcBorders>
          </w:tcPr>
          <w:p w14:paraId="514CF75F" w14:textId="77777777" w:rsidR="000F0341" w:rsidRPr="00832E0E" w:rsidRDefault="000F0341" w:rsidP="00E40B0D">
            <w:pPr>
              <w:spacing w:line="240" w:lineRule="auto"/>
              <w:rPr>
                <w:sz w:val="14"/>
                <w:szCs w:val="14"/>
              </w:rPr>
            </w:pPr>
          </w:p>
        </w:tc>
        <w:tc>
          <w:tcPr>
            <w:tcW w:w="464" w:type="pct"/>
            <w:vMerge/>
            <w:tcBorders>
              <w:left w:val="single" w:sz="4" w:space="0" w:color="auto"/>
              <w:right w:val="single" w:sz="4" w:space="0" w:color="auto"/>
            </w:tcBorders>
          </w:tcPr>
          <w:p w14:paraId="10BAD0C1" w14:textId="77777777" w:rsidR="000F0341" w:rsidRPr="00832E0E" w:rsidRDefault="000F0341" w:rsidP="00E40B0D">
            <w:pPr>
              <w:spacing w:line="240" w:lineRule="auto"/>
              <w:rPr>
                <w:sz w:val="14"/>
                <w:szCs w:val="14"/>
              </w:rPr>
            </w:pPr>
          </w:p>
        </w:tc>
        <w:tc>
          <w:tcPr>
            <w:tcW w:w="234" w:type="pct"/>
            <w:vMerge/>
            <w:tcBorders>
              <w:left w:val="single" w:sz="4" w:space="0" w:color="auto"/>
              <w:right w:val="single" w:sz="4" w:space="0" w:color="auto"/>
            </w:tcBorders>
          </w:tcPr>
          <w:p w14:paraId="69E73C66" w14:textId="77777777" w:rsidR="000F0341" w:rsidRPr="00832E0E" w:rsidRDefault="000F0341" w:rsidP="00E40B0D">
            <w:pPr>
              <w:spacing w:line="240" w:lineRule="auto"/>
              <w:rPr>
                <w:sz w:val="14"/>
                <w:szCs w:val="14"/>
              </w:rPr>
            </w:pPr>
          </w:p>
        </w:tc>
        <w:tc>
          <w:tcPr>
            <w:tcW w:w="626" w:type="pct"/>
            <w:tcBorders>
              <w:top w:val="single" w:sz="4" w:space="0" w:color="auto"/>
              <w:left w:val="single" w:sz="4" w:space="0" w:color="auto"/>
              <w:bottom w:val="single" w:sz="4" w:space="0" w:color="auto"/>
              <w:right w:val="single" w:sz="4" w:space="0" w:color="auto"/>
            </w:tcBorders>
          </w:tcPr>
          <w:p w14:paraId="67050F69" w14:textId="77777777" w:rsidR="000F0341" w:rsidRPr="00832E0E" w:rsidRDefault="000F0341" w:rsidP="00E40B0D">
            <w:pPr>
              <w:spacing w:line="240" w:lineRule="auto"/>
              <w:rPr>
                <w:sz w:val="14"/>
                <w:szCs w:val="14"/>
              </w:rPr>
            </w:pPr>
            <w:r w:rsidRPr="00BF62A1">
              <w:rPr>
                <w:sz w:val="14"/>
                <w:szCs w:val="14"/>
              </w:rPr>
              <w:t>Intermediate</w:t>
            </w:r>
          </w:p>
        </w:tc>
        <w:tc>
          <w:tcPr>
            <w:tcW w:w="704" w:type="pct"/>
            <w:tcBorders>
              <w:left w:val="single" w:sz="4" w:space="0" w:color="auto"/>
              <w:right w:val="single" w:sz="4" w:space="0" w:color="auto"/>
            </w:tcBorders>
          </w:tcPr>
          <w:p w14:paraId="482D20BC" w14:textId="77777777" w:rsidR="000F0341" w:rsidRPr="00832E0E" w:rsidRDefault="000F0341" w:rsidP="00E40B0D">
            <w:pPr>
              <w:spacing w:line="240" w:lineRule="auto"/>
              <w:rPr>
                <w:sz w:val="14"/>
                <w:szCs w:val="14"/>
              </w:rPr>
            </w:pPr>
            <w:r w:rsidRPr="00BF62A1">
              <w:rPr>
                <w:sz w:val="14"/>
                <w:szCs w:val="14"/>
              </w:rPr>
              <w:t>12-45</w:t>
            </w:r>
          </w:p>
        </w:tc>
        <w:tc>
          <w:tcPr>
            <w:tcW w:w="707" w:type="pct"/>
            <w:tcBorders>
              <w:left w:val="single" w:sz="4" w:space="0" w:color="auto"/>
              <w:right w:val="single" w:sz="4" w:space="0" w:color="auto"/>
            </w:tcBorders>
          </w:tcPr>
          <w:p w14:paraId="064DB43A" w14:textId="77777777" w:rsidR="000F0341" w:rsidRPr="00832E0E" w:rsidRDefault="000F0341" w:rsidP="00E40B0D">
            <w:pPr>
              <w:spacing w:line="240" w:lineRule="auto"/>
              <w:rPr>
                <w:sz w:val="14"/>
                <w:szCs w:val="14"/>
              </w:rPr>
            </w:pPr>
            <w:r w:rsidRPr="00BF62A1">
              <w:rPr>
                <w:sz w:val="14"/>
                <w:szCs w:val="14"/>
              </w:rPr>
              <w:t>5-15</w:t>
            </w:r>
          </w:p>
        </w:tc>
        <w:tc>
          <w:tcPr>
            <w:tcW w:w="780" w:type="pct"/>
            <w:tcBorders>
              <w:left w:val="single" w:sz="4" w:space="0" w:color="auto"/>
              <w:right w:val="single" w:sz="4" w:space="0" w:color="auto"/>
            </w:tcBorders>
          </w:tcPr>
          <w:p w14:paraId="6E07C612" w14:textId="77777777" w:rsidR="000F0341" w:rsidRPr="00832E0E" w:rsidRDefault="000F0341" w:rsidP="00E40B0D">
            <w:pPr>
              <w:spacing w:line="240" w:lineRule="auto"/>
              <w:rPr>
                <w:sz w:val="14"/>
                <w:szCs w:val="14"/>
              </w:rPr>
            </w:pPr>
            <w:r w:rsidRPr="00BF62A1">
              <w:rPr>
                <w:sz w:val="14"/>
                <w:szCs w:val="14"/>
              </w:rPr>
              <w:t xml:space="preserve">1568 / </w:t>
            </w:r>
            <w:r w:rsidRPr="00832E0E">
              <w:rPr>
                <w:sz w:val="14"/>
                <w:szCs w:val="14"/>
              </w:rPr>
              <w:t>1720</w:t>
            </w:r>
          </w:p>
        </w:tc>
        <w:tc>
          <w:tcPr>
            <w:tcW w:w="621" w:type="pct"/>
            <w:tcBorders>
              <w:left w:val="single" w:sz="4" w:space="0" w:color="auto"/>
              <w:right w:val="single" w:sz="4" w:space="0" w:color="auto"/>
            </w:tcBorders>
          </w:tcPr>
          <w:p w14:paraId="3B4698CD" w14:textId="77777777" w:rsidR="000F0341" w:rsidRPr="00832E0E" w:rsidRDefault="000F0341" w:rsidP="00E40B0D">
            <w:pPr>
              <w:spacing w:line="240" w:lineRule="auto"/>
              <w:rPr>
                <w:sz w:val="14"/>
                <w:szCs w:val="14"/>
              </w:rPr>
            </w:pPr>
            <w:r w:rsidRPr="00BF62A1">
              <w:rPr>
                <w:sz w:val="14"/>
                <w:szCs w:val="14"/>
              </w:rPr>
              <w:t>38 / 55.7</w:t>
            </w:r>
          </w:p>
        </w:tc>
      </w:tr>
      <w:tr w:rsidR="000F0341" w:rsidRPr="00832E0E" w14:paraId="6E616BC7" w14:textId="77777777" w:rsidTr="00E40B0D">
        <w:trPr>
          <w:trHeight w:val="20"/>
        </w:trPr>
        <w:tc>
          <w:tcPr>
            <w:tcW w:w="865" w:type="pct"/>
            <w:vMerge/>
            <w:tcBorders>
              <w:left w:val="single" w:sz="4" w:space="0" w:color="auto"/>
              <w:bottom w:val="single" w:sz="8" w:space="0" w:color="auto"/>
              <w:right w:val="single" w:sz="4" w:space="0" w:color="auto"/>
            </w:tcBorders>
          </w:tcPr>
          <w:p w14:paraId="7F920F83" w14:textId="77777777" w:rsidR="000F0341" w:rsidRPr="00832E0E" w:rsidRDefault="000F0341" w:rsidP="00E40B0D">
            <w:pPr>
              <w:spacing w:line="240" w:lineRule="auto"/>
              <w:rPr>
                <w:sz w:val="14"/>
                <w:szCs w:val="14"/>
              </w:rPr>
            </w:pPr>
          </w:p>
        </w:tc>
        <w:tc>
          <w:tcPr>
            <w:tcW w:w="464" w:type="pct"/>
            <w:vMerge/>
            <w:tcBorders>
              <w:left w:val="single" w:sz="4" w:space="0" w:color="auto"/>
              <w:bottom w:val="single" w:sz="8" w:space="0" w:color="auto"/>
              <w:right w:val="single" w:sz="4" w:space="0" w:color="auto"/>
            </w:tcBorders>
          </w:tcPr>
          <w:p w14:paraId="216A03B6" w14:textId="77777777" w:rsidR="000F0341" w:rsidRPr="00832E0E" w:rsidRDefault="000F0341" w:rsidP="00E40B0D">
            <w:pPr>
              <w:spacing w:line="240" w:lineRule="auto"/>
              <w:rPr>
                <w:sz w:val="14"/>
                <w:szCs w:val="14"/>
              </w:rPr>
            </w:pPr>
          </w:p>
        </w:tc>
        <w:tc>
          <w:tcPr>
            <w:tcW w:w="234" w:type="pct"/>
            <w:vMerge/>
            <w:tcBorders>
              <w:left w:val="single" w:sz="4" w:space="0" w:color="auto"/>
              <w:bottom w:val="single" w:sz="8" w:space="0" w:color="auto"/>
              <w:right w:val="single" w:sz="4" w:space="0" w:color="auto"/>
            </w:tcBorders>
          </w:tcPr>
          <w:p w14:paraId="7B1D1EFA" w14:textId="77777777" w:rsidR="000F0341" w:rsidRPr="00832E0E" w:rsidRDefault="000F0341" w:rsidP="00E40B0D">
            <w:pPr>
              <w:spacing w:line="240" w:lineRule="auto"/>
              <w:rPr>
                <w:sz w:val="14"/>
                <w:szCs w:val="14"/>
              </w:rPr>
            </w:pPr>
          </w:p>
        </w:tc>
        <w:tc>
          <w:tcPr>
            <w:tcW w:w="626" w:type="pct"/>
            <w:tcBorders>
              <w:top w:val="single" w:sz="4" w:space="0" w:color="auto"/>
              <w:left w:val="single" w:sz="4" w:space="0" w:color="auto"/>
              <w:bottom w:val="single" w:sz="8" w:space="0" w:color="auto"/>
              <w:right w:val="single" w:sz="4" w:space="0" w:color="auto"/>
            </w:tcBorders>
          </w:tcPr>
          <w:p w14:paraId="273A5010" w14:textId="77777777" w:rsidR="000F0341" w:rsidRPr="00832E0E" w:rsidRDefault="000F0341" w:rsidP="00E40B0D">
            <w:pPr>
              <w:spacing w:line="240" w:lineRule="auto"/>
              <w:rPr>
                <w:sz w:val="14"/>
                <w:szCs w:val="14"/>
              </w:rPr>
            </w:pPr>
            <w:r w:rsidRPr="00BF62A1">
              <w:rPr>
                <w:sz w:val="14"/>
                <w:szCs w:val="14"/>
              </w:rPr>
              <w:t>High</w:t>
            </w:r>
          </w:p>
        </w:tc>
        <w:tc>
          <w:tcPr>
            <w:tcW w:w="704" w:type="pct"/>
            <w:tcBorders>
              <w:left w:val="single" w:sz="4" w:space="0" w:color="auto"/>
              <w:bottom w:val="single" w:sz="8" w:space="0" w:color="auto"/>
              <w:right w:val="single" w:sz="4" w:space="0" w:color="auto"/>
            </w:tcBorders>
          </w:tcPr>
          <w:p w14:paraId="031E3761" w14:textId="77777777" w:rsidR="000F0341" w:rsidRPr="00832E0E" w:rsidRDefault="000F0341" w:rsidP="00E40B0D">
            <w:pPr>
              <w:spacing w:line="240" w:lineRule="auto"/>
              <w:rPr>
                <w:sz w:val="14"/>
                <w:szCs w:val="14"/>
              </w:rPr>
            </w:pPr>
            <w:r w:rsidRPr="00BF62A1">
              <w:rPr>
                <w:sz w:val="14"/>
                <w:szCs w:val="14"/>
              </w:rPr>
              <w:t>≥46</w:t>
            </w:r>
          </w:p>
        </w:tc>
        <w:tc>
          <w:tcPr>
            <w:tcW w:w="707" w:type="pct"/>
            <w:tcBorders>
              <w:left w:val="single" w:sz="4" w:space="0" w:color="auto"/>
              <w:bottom w:val="single" w:sz="8" w:space="0" w:color="auto"/>
              <w:right w:val="single" w:sz="4" w:space="0" w:color="auto"/>
            </w:tcBorders>
          </w:tcPr>
          <w:p w14:paraId="393F353E" w14:textId="77777777" w:rsidR="000F0341" w:rsidRPr="00832E0E" w:rsidRDefault="000F0341" w:rsidP="00E40B0D">
            <w:pPr>
              <w:spacing w:line="240" w:lineRule="auto"/>
              <w:rPr>
                <w:sz w:val="14"/>
                <w:szCs w:val="14"/>
              </w:rPr>
            </w:pPr>
            <w:r w:rsidRPr="00BF62A1">
              <w:rPr>
                <w:sz w:val="14"/>
                <w:szCs w:val="14"/>
              </w:rPr>
              <w:t>≥16</w:t>
            </w:r>
          </w:p>
        </w:tc>
        <w:tc>
          <w:tcPr>
            <w:tcW w:w="780" w:type="pct"/>
            <w:tcBorders>
              <w:left w:val="single" w:sz="4" w:space="0" w:color="auto"/>
              <w:bottom w:val="single" w:sz="8" w:space="0" w:color="auto"/>
              <w:right w:val="single" w:sz="4" w:space="0" w:color="auto"/>
            </w:tcBorders>
          </w:tcPr>
          <w:p w14:paraId="48EA5D6C" w14:textId="77777777" w:rsidR="000F0341" w:rsidRPr="00832E0E" w:rsidRDefault="000F0341" w:rsidP="00E40B0D">
            <w:pPr>
              <w:spacing w:line="240" w:lineRule="auto"/>
              <w:rPr>
                <w:sz w:val="14"/>
                <w:szCs w:val="14"/>
              </w:rPr>
            </w:pPr>
            <w:r w:rsidRPr="00BF62A1">
              <w:rPr>
                <w:sz w:val="14"/>
                <w:szCs w:val="14"/>
              </w:rPr>
              <w:t>1683 / 1633</w:t>
            </w:r>
          </w:p>
        </w:tc>
        <w:tc>
          <w:tcPr>
            <w:tcW w:w="621" w:type="pct"/>
            <w:tcBorders>
              <w:left w:val="single" w:sz="4" w:space="0" w:color="auto"/>
              <w:bottom w:val="single" w:sz="8" w:space="0" w:color="auto"/>
              <w:right w:val="single" w:sz="4" w:space="0" w:color="auto"/>
            </w:tcBorders>
          </w:tcPr>
          <w:p w14:paraId="620ED72B" w14:textId="77777777" w:rsidR="000F0341" w:rsidRPr="00832E0E" w:rsidRDefault="000F0341" w:rsidP="00E40B0D">
            <w:pPr>
              <w:spacing w:line="240" w:lineRule="auto"/>
              <w:rPr>
                <w:sz w:val="14"/>
                <w:szCs w:val="14"/>
              </w:rPr>
            </w:pPr>
            <w:r w:rsidRPr="00BF62A1">
              <w:rPr>
                <w:sz w:val="14"/>
                <w:szCs w:val="14"/>
              </w:rPr>
              <w:t>10</w:t>
            </w:r>
          </w:p>
        </w:tc>
      </w:tr>
      <w:tr w:rsidR="000F0341" w:rsidRPr="00832E0E" w14:paraId="31BBBD58" w14:textId="77777777" w:rsidTr="00E40B0D">
        <w:trPr>
          <w:trHeight w:val="20"/>
        </w:trPr>
        <w:tc>
          <w:tcPr>
            <w:tcW w:w="865" w:type="pct"/>
            <w:vMerge w:val="restart"/>
            <w:tcBorders>
              <w:top w:val="single" w:sz="8" w:space="0" w:color="auto"/>
              <w:left w:val="single" w:sz="4" w:space="0" w:color="auto"/>
              <w:right w:val="single" w:sz="4" w:space="0" w:color="auto"/>
            </w:tcBorders>
          </w:tcPr>
          <w:p w14:paraId="2A70A55C" w14:textId="77777777" w:rsidR="000F0341" w:rsidRPr="00832E0E" w:rsidRDefault="000F0341" w:rsidP="00E40B0D">
            <w:pPr>
              <w:spacing w:line="240" w:lineRule="auto"/>
              <w:rPr>
                <w:sz w:val="14"/>
                <w:szCs w:val="14"/>
              </w:rPr>
            </w:pPr>
            <w:r w:rsidRPr="00BF62A1">
              <w:rPr>
                <w:sz w:val="14"/>
                <w:szCs w:val="14"/>
              </w:rPr>
              <w:t>Chang 2014</w:t>
            </w:r>
            <w:r w:rsidRPr="00832E0E">
              <w:rPr>
                <w:sz w:val="14"/>
                <w:szCs w:val="14"/>
              </w:rPr>
              <w:t xml:space="preserve"> </w:t>
            </w:r>
            <w:r w:rsidRPr="00832E0E">
              <w:rPr>
                <w:sz w:val="14"/>
                <w:szCs w:val="14"/>
              </w:rPr>
              <w:fldChar w:fldCharType="begin"/>
            </w:r>
            <w:r>
              <w:rPr>
                <w:sz w:val="14"/>
                <w:szCs w:val="14"/>
              </w:rPr>
              <w:instrText xml:space="preserve"> ADDIN ZOTERO_ITEM CSL_CITATION {"citationID":"f1ZuKYi5","properties":{"formattedCitation":"[63]","plainCitation":"[63]","noteIndex":0},"citationItems":[{"id":14205,"uris":["http://zotero.org/groups/4983919/items/TRPKDPX6"],"itemData":{"id":14205,"type":"article-journal","abstract":"BACKGROUND: The influence of different hospital and surgeon volumes on short-term survival after hepatic resection is not clearly clarified. By taking the known prognostic factors into account, the purpose of this study is to assess the combined effects of hospital and surgeon volume on short-term survival after hepatic resection. METHODS: 13,159 patients who underwent hepatic resection between 2002 and 2006 were identified in the Taiwan National Health Insurance Research Database. Data were extracted from it and short-term survivals were confirmed through 2006. The Cox proportional hazards model was used to assess the relationship between survival and different hospital, surgeon volume and caseload combinations. RESULTS: High-volume surgeons in high-volume hospitals had the highest short-term survivals, following by high-volume surgeons in low-volume hospitals, low-volume surgeons in high-volume hospitals and low-volume surgeons in low-volume hospitals. Based on Cox proportional hazard models, although high-volume hospitals and surgeons both showed significant lower risks of short-term mortality at hospital and surgeon level analysis, after combining hospital and surgeon volume into account, high-volume surgeons in high-volume hospitals had significantly better outcomes; the hazard ratio of other three caseload combinations ranging from 1.66 to 2.08 (p&lt;0.001) in 3-month mortality, and 1.28 to 1.58 (p&lt;0.01) in 1-year mortality. CONCLUSIONS: The combined effects of hospital and surgeon volume influenced the short-term survival after hepatic resection largely. After adjusting for the prognostic factors in the case mix, high-volume surgeons in high-volume hospitals had better short-term survivals. Centralization of hepatic resection to few surgeons and hospitals might improve patients' prognosis.","container-title":"PLoS One","DOI":"10.1371/journal.pone.0086444","ISSN":"1932-6203","issue":"1","language":"eng","note":"publisher-place: Department of Surgery, Buddhist Dalin Tzu Chi General Hospital, Chiayi, Taiwan ; School of Medicine, Tzu Chi University, Hualian, Taiwan. Department of Otolaryngology, Buddhist Dalin Tzu Chi General Hospital, Chiayi, Taiwan ; Center for Clinical Epidemiology and Biostatistics, Buddhist Dalin Tzu Chi General Hospital, Chiayi, Taiwan ; School of Medicine, Tzu Chi University, Hualian, Taiwan.","page":"e86444","title":"The combined effects of hospital and surgeon volume on short-term survival after hepatic resection in a population-based study","volume":"9","author":[{"family":"Chang","given":"C. M."},{"family":"Yin","given":"W. Y."},{"family":"Wei","given":"C. K."},{"family":"Lee","given":"C. H."},{"family":"Lee","given":"C. C."}],"issued":{"date-parts":[["2014"]]}}}],"schema":"https://github.com/citation-style-language/schema/raw/master/csl-citation.json"} </w:instrText>
            </w:r>
            <w:r w:rsidRPr="00832E0E">
              <w:rPr>
                <w:sz w:val="14"/>
                <w:szCs w:val="14"/>
              </w:rPr>
              <w:fldChar w:fldCharType="separate"/>
            </w:r>
            <w:r w:rsidRPr="004125CE">
              <w:rPr>
                <w:sz w:val="14"/>
              </w:rPr>
              <w:t>[63]</w:t>
            </w:r>
            <w:r w:rsidRPr="00832E0E">
              <w:rPr>
                <w:sz w:val="14"/>
                <w:szCs w:val="14"/>
              </w:rPr>
              <w:fldChar w:fldCharType="end"/>
            </w:r>
          </w:p>
        </w:tc>
        <w:tc>
          <w:tcPr>
            <w:tcW w:w="464" w:type="pct"/>
            <w:vMerge w:val="restart"/>
            <w:tcBorders>
              <w:top w:val="single" w:sz="8" w:space="0" w:color="auto"/>
              <w:left w:val="single" w:sz="4" w:space="0" w:color="auto"/>
              <w:right w:val="single" w:sz="4" w:space="0" w:color="auto"/>
            </w:tcBorders>
          </w:tcPr>
          <w:p w14:paraId="3E847BD6" w14:textId="77777777" w:rsidR="000F0341" w:rsidRPr="00832E0E" w:rsidRDefault="000F0341" w:rsidP="00E40B0D">
            <w:pPr>
              <w:spacing w:line="240" w:lineRule="auto"/>
              <w:rPr>
                <w:sz w:val="14"/>
                <w:szCs w:val="14"/>
              </w:rPr>
            </w:pPr>
            <w:r w:rsidRPr="00BF62A1">
              <w:rPr>
                <w:sz w:val="14"/>
                <w:szCs w:val="14"/>
              </w:rPr>
              <w:t>13159</w:t>
            </w:r>
          </w:p>
        </w:tc>
        <w:tc>
          <w:tcPr>
            <w:tcW w:w="234" w:type="pct"/>
            <w:vMerge w:val="restart"/>
            <w:tcBorders>
              <w:top w:val="single" w:sz="8" w:space="0" w:color="auto"/>
              <w:left w:val="single" w:sz="4" w:space="0" w:color="auto"/>
              <w:right w:val="single" w:sz="4" w:space="0" w:color="auto"/>
            </w:tcBorders>
          </w:tcPr>
          <w:p w14:paraId="7B8F8A2B" w14:textId="77777777" w:rsidR="000F0341" w:rsidRPr="00832E0E" w:rsidRDefault="000F0341" w:rsidP="00E40B0D">
            <w:pPr>
              <w:spacing w:line="240" w:lineRule="auto"/>
              <w:rPr>
                <w:sz w:val="14"/>
                <w:szCs w:val="14"/>
              </w:rPr>
            </w:pPr>
            <w:r w:rsidRPr="00BF62A1">
              <w:rPr>
                <w:sz w:val="14"/>
                <w:szCs w:val="14"/>
              </w:rPr>
              <w:t>-</w:t>
            </w:r>
          </w:p>
        </w:tc>
        <w:tc>
          <w:tcPr>
            <w:tcW w:w="626" w:type="pct"/>
            <w:tcBorders>
              <w:top w:val="single" w:sz="8" w:space="0" w:color="auto"/>
              <w:left w:val="single" w:sz="4" w:space="0" w:color="auto"/>
              <w:bottom w:val="single" w:sz="4" w:space="0" w:color="auto"/>
              <w:right w:val="single" w:sz="4" w:space="0" w:color="auto"/>
            </w:tcBorders>
          </w:tcPr>
          <w:p w14:paraId="4CB4941F" w14:textId="77777777" w:rsidR="000F0341" w:rsidRPr="00832E0E" w:rsidRDefault="000F0341" w:rsidP="00E40B0D">
            <w:pPr>
              <w:spacing w:line="240" w:lineRule="auto"/>
              <w:rPr>
                <w:sz w:val="14"/>
                <w:szCs w:val="14"/>
              </w:rPr>
            </w:pPr>
            <w:r w:rsidRPr="00BF62A1">
              <w:rPr>
                <w:sz w:val="14"/>
                <w:szCs w:val="14"/>
              </w:rPr>
              <w:t>Low</w:t>
            </w:r>
          </w:p>
        </w:tc>
        <w:tc>
          <w:tcPr>
            <w:tcW w:w="704" w:type="pct"/>
            <w:tcBorders>
              <w:top w:val="single" w:sz="8" w:space="0" w:color="auto"/>
              <w:left w:val="single" w:sz="4" w:space="0" w:color="auto"/>
              <w:right w:val="single" w:sz="4" w:space="0" w:color="auto"/>
            </w:tcBorders>
          </w:tcPr>
          <w:p w14:paraId="46A356E2" w14:textId="77777777" w:rsidR="000F0341" w:rsidRPr="00832E0E" w:rsidRDefault="000F0341" w:rsidP="00E40B0D">
            <w:pPr>
              <w:spacing w:line="240" w:lineRule="auto"/>
              <w:rPr>
                <w:sz w:val="14"/>
                <w:szCs w:val="14"/>
              </w:rPr>
            </w:pPr>
            <w:r w:rsidRPr="00BF62A1">
              <w:rPr>
                <w:sz w:val="14"/>
                <w:szCs w:val="14"/>
              </w:rPr>
              <w:t>&lt;245</w:t>
            </w:r>
          </w:p>
        </w:tc>
        <w:tc>
          <w:tcPr>
            <w:tcW w:w="707" w:type="pct"/>
            <w:tcBorders>
              <w:top w:val="single" w:sz="8" w:space="0" w:color="auto"/>
              <w:left w:val="single" w:sz="4" w:space="0" w:color="auto"/>
              <w:right w:val="single" w:sz="4" w:space="0" w:color="auto"/>
            </w:tcBorders>
          </w:tcPr>
          <w:p w14:paraId="0348EBFB" w14:textId="77777777" w:rsidR="000F0341" w:rsidRPr="00832E0E" w:rsidRDefault="000F0341" w:rsidP="00E40B0D">
            <w:pPr>
              <w:spacing w:line="240" w:lineRule="auto"/>
              <w:rPr>
                <w:sz w:val="14"/>
                <w:szCs w:val="14"/>
              </w:rPr>
            </w:pPr>
            <w:r w:rsidRPr="00BF62A1">
              <w:rPr>
                <w:sz w:val="14"/>
                <w:szCs w:val="14"/>
              </w:rPr>
              <w:t>&lt;25</w:t>
            </w:r>
          </w:p>
        </w:tc>
        <w:tc>
          <w:tcPr>
            <w:tcW w:w="780" w:type="pct"/>
            <w:tcBorders>
              <w:top w:val="single" w:sz="8" w:space="0" w:color="auto"/>
              <w:left w:val="single" w:sz="4" w:space="0" w:color="auto"/>
              <w:right w:val="single" w:sz="4" w:space="0" w:color="auto"/>
            </w:tcBorders>
          </w:tcPr>
          <w:p w14:paraId="1F91A16D" w14:textId="77777777" w:rsidR="000F0341" w:rsidRPr="00832E0E" w:rsidRDefault="000F0341" w:rsidP="00E40B0D">
            <w:pPr>
              <w:spacing w:line="240" w:lineRule="auto"/>
              <w:rPr>
                <w:sz w:val="14"/>
                <w:szCs w:val="14"/>
              </w:rPr>
            </w:pPr>
            <w:r w:rsidRPr="00BF62A1">
              <w:rPr>
                <w:sz w:val="14"/>
                <w:szCs w:val="14"/>
              </w:rPr>
              <w:t>6294 / 8319</w:t>
            </w:r>
          </w:p>
        </w:tc>
        <w:tc>
          <w:tcPr>
            <w:tcW w:w="621" w:type="pct"/>
            <w:tcBorders>
              <w:top w:val="single" w:sz="8" w:space="0" w:color="auto"/>
              <w:left w:val="single" w:sz="4" w:space="0" w:color="auto"/>
              <w:right w:val="single" w:sz="4" w:space="0" w:color="auto"/>
            </w:tcBorders>
          </w:tcPr>
          <w:p w14:paraId="30EA90A4" w14:textId="77777777" w:rsidR="000F0341" w:rsidRPr="00BF62A1" w:rsidRDefault="000F0341" w:rsidP="00E40B0D">
            <w:pPr>
              <w:pStyle w:val="ListParagraph"/>
              <w:numPr>
                <w:ilvl w:val="0"/>
                <w:numId w:val="35"/>
              </w:numPr>
              <w:spacing w:line="240" w:lineRule="auto"/>
              <w:jc w:val="left"/>
              <w:rPr>
                <w:sz w:val="14"/>
                <w:szCs w:val="14"/>
              </w:rPr>
            </w:pPr>
          </w:p>
        </w:tc>
      </w:tr>
      <w:tr w:rsidR="000F0341" w:rsidRPr="00832E0E" w14:paraId="1AA4D06E" w14:textId="77777777" w:rsidTr="00E40B0D">
        <w:trPr>
          <w:trHeight w:val="20"/>
        </w:trPr>
        <w:tc>
          <w:tcPr>
            <w:tcW w:w="865" w:type="pct"/>
            <w:vMerge/>
            <w:tcBorders>
              <w:left w:val="single" w:sz="4" w:space="0" w:color="auto"/>
              <w:bottom w:val="single" w:sz="8" w:space="0" w:color="auto"/>
              <w:right w:val="single" w:sz="4" w:space="0" w:color="auto"/>
            </w:tcBorders>
          </w:tcPr>
          <w:p w14:paraId="0A5BA3AD" w14:textId="77777777" w:rsidR="000F0341" w:rsidRPr="00832E0E" w:rsidRDefault="000F0341" w:rsidP="00E40B0D">
            <w:pPr>
              <w:spacing w:line="240" w:lineRule="auto"/>
              <w:rPr>
                <w:sz w:val="14"/>
                <w:szCs w:val="14"/>
              </w:rPr>
            </w:pPr>
          </w:p>
        </w:tc>
        <w:tc>
          <w:tcPr>
            <w:tcW w:w="464" w:type="pct"/>
            <w:vMerge/>
            <w:tcBorders>
              <w:left w:val="single" w:sz="4" w:space="0" w:color="auto"/>
              <w:bottom w:val="single" w:sz="8" w:space="0" w:color="auto"/>
              <w:right w:val="single" w:sz="4" w:space="0" w:color="auto"/>
            </w:tcBorders>
          </w:tcPr>
          <w:p w14:paraId="78A2DAFE" w14:textId="77777777" w:rsidR="000F0341" w:rsidRPr="00832E0E" w:rsidRDefault="000F0341" w:rsidP="00E40B0D">
            <w:pPr>
              <w:spacing w:line="240" w:lineRule="auto"/>
              <w:rPr>
                <w:sz w:val="14"/>
                <w:szCs w:val="14"/>
              </w:rPr>
            </w:pPr>
          </w:p>
        </w:tc>
        <w:tc>
          <w:tcPr>
            <w:tcW w:w="234" w:type="pct"/>
            <w:vMerge/>
            <w:tcBorders>
              <w:left w:val="single" w:sz="4" w:space="0" w:color="auto"/>
              <w:bottom w:val="single" w:sz="8" w:space="0" w:color="auto"/>
              <w:right w:val="single" w:sz="4" w:space="0" w:color="auto"/>
            </w:tcBorders>
          </w:tcPr>
          <w:p w14:paraId="1AB8367D" w14:textId="77777777" w:rsidR="000F0341" w:rsidRPr="00832E0E" w:rsidRDefault="000F0341" w:rsidP="00E40B0D">
            <w:pPr>
              <w:spacing w:line="240" w:lineRule="auto"/>
              <w:rPr>
                <w:sz w:val="14"/>
                <w:szCs w:val="14"/>
              </w:rPr>
            </w:pPr>
          </w:p>
        </w:tc>
        <w:tc>
          <w:tcPr>
            <w:tcW w:w="626" w:type="pct"/>
            <w:tcBorders>
              <w:top w:val="single" w:sz="4" w:space="0" w:color="auto"/>
              <w:left w:val="single" w:sz="4" w:space="0" w:color="auto"/>
              <w:bottom w:val="single" w:sz="8" w:space="0" w:color="auto"/>
              <w:right w:val="single" w:sz="4" w:space="0" w:color="auto"/>
            </w:tcBorders>
          </w:tcPr>
          <w:p w14:paraId="280F28C3" w14:textId="77777777" w:rsidR="000F0341" w:rsidRPr="00832E0E" w:rsidRDefault="000F0341" w:rsidP="00E40B0D">
            <w:pPr>
              <w:spacing w:line="240" w:lineRule="auto"/>
              <w:rPr>
                <w:sz w:val="14"/>
                <w:szCs w:val="14"/>
              </w:rPr>
            </w:pPr>
            <w:r w:rsidRPr="00BF62A1">
              <w:rPr>
                <w:sz w:val="14"/>
                <w:szCs w:val="14"/>
              </w:rPr>
              <w:t>High</w:t>
            </w:r>
          </w:p>
        </w:tc>
        <w:tc>
          <w:tcPr>
            <w:tcW w:w="704" w:type="pct"/>
            <w:tcBorders>
              <w:left w:val="single" w:sz="4" w:space="0" w:color="auto"/>
              <w:bottom w:val="single" w:sz="8" w:space="0" w:color="auto"/>
              <w:right w:val="single" w:sz="4" w:space="0" w:color="auto"/>
            </w:tcBorders>
          </w:tcPr>
          <w:p w14:paraId="689B8206" w14:textId="77777777" w:rsidR="000F0341" w:rsidRPr="00832E0E" w:rsidRDefault="000F0341" w:rsidP="00E40B0D">
            <w:pPr>
              <w:spacing w:line="240" w:lineRule="auto"/>
              <w:rPr>
                <w:sz w:val="14"/>
                <w:szCs w:val="14"/>
              </w:rPr>
            </w:pPr>
            <w:r w:rsidRPr="00BF62A1">
              <w:rPr>
                <w:sz w:val="14"/>
                <w:szCs w:val="14"/>
              </w:rPr>
              <w:t>≥245</w:t>
            </w:r>
          </w:p>
        </w:tc>
        <w:tc>
          <w:tcPr>
            <w:tcW w:w="707" w:type="pct"/>
            <w:tcBorders>
              <w:left w:val="single" w:sz="4" w:space="0" w:color="auto"/>
              <w:bottom w:val="single" w:sz="8" w:space="0" w:color="auto"/>
              <w:right w:val="single" w:sz="4" w:space="0" w:color="auto"/>
            </w:tcBorders>
          </w:tcPr>
          <w:p w14:paraId="30D8216F" w14:textId="77777777" w:rsidR="000F0341" w:rsidRPr="00832E0E" w:rsidRDefault="000F0341" w:rsidP="00E40B0D">
            <w:pPr>
              <w:spacing w:line="240" w:lineRule="auto"/>
              <w:rPr>
                <w:sz w:val="14"/>
                <w:szCs w:val="14"/>
              </w:rPr>
            </w:pPr>
            <w:r w:rsidRPr="00BF62A1">
              <w:rPr>
                <w:sz w:val="14"/>
                <w:szCs w:val="14"/>
              </w:rPr>
              <w:t>≥25</w:t>
            </w:r>
          </w:p>
        </w:tc>
        <w:tc>
          <w:tcPr>
            <w:tcW w:w="780" w:type="pct"/>
            <w:tcBorders>
              <w:left w:val="single" w:sz="4" w:space="0" w:color="auto"/>
              <w:bottom w:val="single" w:sz="8" w:space="0" w:color="auto"/>
              <w:right w:val="single" w:sz="4" w:space="0" w:color="auto"/>
            </w:tcBorders>
          </w:tcPr>
          <w:p w14:paraId="6E875F76" w14:textId="77777777" w:rsidR="000F0341" w:rsidRPr="00832E0E" w:rsidRDefault="000F0341" w:rsidP="00E40B0D">
            <w:pPr>
              <w:spacing w:line="240" w:lineRule="auto"/>
              <w:rPr>
                <w:sz w:val="14"/>
                <w:szCs w:val="14"/>
              </w:rPr>
            </w:pPr>
            <w:r w:rsidRPr="00BF62A1">
              <w:rPr>
                <w:sz w:val="14"/>
                <w:szCs w:val="14"/>
              </w:rPr>
              <w:t>6865 / 4840</w:t>
            </w:r>
          </w:p>
        </w:tc>
        <w:tc>
          <w:tcPr>
            <w:tcW w:w="621" w:type="pct"/>
            <w:tcBorders>
              <w:left w:val="single" w:sz="4" w:space="0" w:color="auto"/>
              <w:bottom w:val="single" w:sz="8" w:space="0" w:color="auto"/>
              <w:right w:val="single" w:sz="4" w:space="0" w:color="auto"/>
            </w:tcBorders>
          </w:tcPr>
          <w:p w14:paraId="5A661E4A" w14:textId="77777777" w:rsidR="000F0341" w:rsidRPr="00832E0E" w:rsidRDefault="000F0341" w:rsidP="00E40B0D">
            <w:pPr>
              <w:spacing w:line="240" w:lineRule="auto"/>
              <w:rPr>
                <w:sz w:val="14"/>
                <w:szCs w:val="14"/>
              </w:rPr>
            </w:pPr>
            <w:r w:rsidRPr="00BF62A1">
              <w:rPr>
                <w:sz w:val="14"/>
                <w:szCs w:val="14"/>
              </w:rPr>
              <w:t>13 / 59</w:t>
            </w:r>
          </w:p>
        </w:tc>
      </w:tr>
      <w:tr w:rsidR="000F0341" w:rsidRPr="00832E0E" w14:paraId="41ACED13" w14:textId="77777777" w:rsidTr="00E40B0D">
        <w:trPr>
          <w:trHeight w:val="20"/>
        </w:trPr>
        <w:tc>
          <w:tcPr>
            <w:tcW w:w="865" w:type="pct"/>
            <w:vMerge w:val="restart"/>
            <w:tcBorders>
              <w:top w:val="single" w:sz="8" w:space="0" w:color="auto"/>
              <w:left w:val="single" w:sz="4" w:space="0" w:color="auto"/>
              <w:right w:val="single" w:sz="4" w:space="0" w:color="auto"/>
            </w:tcBorders>
          </w:tcPr>
          <w:p w14:paraId="3FDCD3BE" w14:textId="564C5B61" w:rsidR="000F0341" w:rsidRPr="00832E0E" w:rsidRDefault="000F0341" w:rsidP="00E40B0D">
            <w:pPr>
              <w:spacing w:line="240" w:lineRule="auto"/>
              <w:rPr>
                <w:color w:val="000000"/>
                <w:sz w:val="14"/>
                <w:szCs w:val="14"/>
              </w:rPr>
            </w:pPr>
            <w:r w:rsidRPr="00BF62A1">
              <w:rPr>
                <w:sz w:val="14"/>
                <w:szCs w:val="14"/>
              </w:rPr>
              <w:t>Chiu 2015</w:t>
            </w:r>
            <w:r w:rsidRPr="00832E0E">
              <w:rPr>
                <w:sz w:val="14"/>
                <w:szCs w:val="14"/>
              </w:rPr>
              <w:t xml:space="preserve"> </w:t>
            </w:r>
            <w:r w:rsidRPr="00832E0E">
              <w:rPr>
                <w:sz w:val="14"/>
                <w:szCs w:val="14"/>
              </w:rPr>
              <w:fldChar w:fldCharType="begin"/>
            </w:r>
            <w:r>
              <w:rPr>
                <w:sz w:val="14"/>
                <w:szCs w:val="14"/>
              </w:rPr>
              <w:instrText xml:space="preserve"> ADDIN ZOTERO_ITEM CSL_CITATION {"citationID":"sX7PjrcD","properties":{"formattedCitation":"[88]","plainCitation":"[88]","noteIndex":0},"citationItems":[{"id":14354,"uris":["http://zotero.org/groups/4983919/items/85AI84VG"],"itemData":{"id":14354,"type":"article-journal","abstract":"BACKGROUND: Despite the huge and growing global burden of hepatocellular carcinoma (HCC), high-quality population-based studies of HCC prevalence and outcomes are scarce. PURPOSE: To analyze trends and predictors of hospital resource utilization and mortality rates in a population of patients who had received HCC surgery. PATIENTS AND MATERIALS: This population-based patient cohort study retrospectively analyzed 23,107 patients who had received surgical treatment for HCC from 1998 to 2009. RESULTS: The prevalence rate of surgical treatment in HCC patients significantly increased by 167.4% from 4.857 per 100,000 persons in 1998 to 12.989 per 100,000 persons in 2009 (P &lt; 0.001). Age, gender, Deyo-Charlson co-morbidity index score, hospital volume, surgeon volume, digestive system disease, hepatitis type and liver cirrhosis were significantly associated with HCC surgical outcomes (P &lt; 0.05). Over the 12-year period analyzed, the estimated mean hospital treatment cost increased 9.4% whereas mean length of stay (LOS) decreased 25.3%. The estimated mean overall survival time after HCC surgery was 40.9 months (SD 1.2 months), and the overall in-hospital 1-, 3-, and 5-year survival rates were 97.2%, 79.9%, 61.1%, and 54.6%, respectively. CONCLUSIONS: These population-based data reveal that the prevalence of HCC has increased, especially in older patients. Additionally, hospital treatment costs for HCC have increased despite decreases in LOS. These analytical results should be applicable to most countries with relatively small populations. Additionally, healthcare providers and patients should recognize that attributes of both the patient and the hospital may affect outcomes.","container-title":"Eur J Surg Oncol","DOI":"10.1016/j.ejso.2015.04.023","ISSN":"0748-7983","issue":"9","language":"eng","page":"1170-8","title":"Trends and predictors of outcomes after surgery for hepatocellular carcinoma: A nationwide population-based study in Taiwan","volume":"41","author":[{"family":"Chiu","given":"C. C."},{"family":"Wang","given":"J. J."},{"family":"Chen","given":"Y. S."},{"family":"Chen","given":"J. J."},{"family":"Tsai","given":"T. C."},{"family":"Lai","given":"C. C."},{"family":"Sun","given":"D. P."},{"family":"Shi","given":"H. Y."}],"issued":{"date-parts":[["2015",9]]}}}],"schema":"https://github.com/citation-style-language/schema/raw/master/csl-citation.json"} </w:instrText>
            </w:r>
            <w:r w:rsidRPr="00832E0E">
              <w:rPr>
                <w:sz w:val="14"/>
                <w:szCs w:val="14"/>
              </w:rPr>
              <w:fldChar w:fldCharType="separate"/>
            </w:r>
            <w:r w:rsidRPr="004125CE">
              <w:rPr>
                <w:sz w:val="14"/>
              </w:rPr>
              <w:t>[</w:t>
            </w:r>
            <w:r w:rsidR="00D03F0D">
              <w:rPr>
                <w:sz w:val="14"/>
              </w:rPr>
              <w:t>52</w:t>
            </w:r>
            <w:r w:rsidRPr="004125CE">
              <w:rPr>
                <w:sz w:val="14"/>
              </w:rPr>
              <w:t>]</w:t>
            </w:r>
            <w:r w:rsidRPr="00832E0E">
              <w:rPr>
                <w:sz w:val="14"/>
                <w:szCs w:val="14"/>
              </w:rPr>
              <w:fldChar w:fldCharType="end"/>
            </w:r>
            <w:r w:rsidRPr="00832E0E">
              <w:rPr>
                <w:sz w:val="14"/>
                <w:szCs w:val="14"/>
              </w:rPr>
              <w:t xml:space="preserve"> (Lu </w:t>
            </w:r>
            <w:r w:rsidRPr="00BF62A1">
              <w:rPr>
                <w:sz w:val="14"/>
                <w:szCs w:val="14"/>
              </w:rPr>
              <w:t>2014</w:t>
            </w:r>
            <w:r w:rsidRPr="00832E0E">
              <w:rPr>
                <w:sz w:val="14"/>
                <w:szCs w:val="14"/>
              </w:rPr>
              <w:t xml:space="preserve"> </w:t>
            </w:r>
            <w:r w:rsidRPr="00832E0E">
              <w:rPr>
                <w:sz w:val="14"/>
                <w:szCs w:val="14"/>
              </w:rPr>
              <w:fldChar w:fldCharType="begin"/>
            </w:r>
            <w:r>
              <w:rPr>
                <w:sz w:val="14"/>
                <w:szCs w:val="14"/>
              </w:rPr>
              <w:instrText xml:space="preserve"> ADDIN ZOTERO_ITEM CSL_CITATION {"citationID":"CC0VqvlV","properties":{"formattedCitation":"[53]","plainCitation":"[53]","noteIndex":0},"citationItems":[{"id":14338,"uris":["http://zotero.org/groups/4983919/items/TGHPYHRJ"],"itemData":{"id":14338,"type":"article-journal","abstract":"OBJECTIVE: The objective of this study was to explore volume-outcome associations after major hepatectomy for hepatocellular carcinoma (HCC). METHODS: This population-based cohort study retrospectively analyzed 23,107 major hepatectomies for HCC patients from 1998 to 2009. Relationships between hospital/surgeon volume and patient outcome were analyzed by propensity score matching (PSM). Five-year overall survival (OS) was estimated by Kaplan-Meier method, and differences were compared by log-rank test. RESULTS: The mean length of stay (LOS) after major hepatectomy was 18.1 days, and the mean hospital cost was US$5,088.2. After PSM, the mean OS in high- and low-volume hospitals was 71.1 months (standard deviation (SD) 0.7 months) and 68.6 months (SD 0.6 months), respectively; the mean OS in high- and low-volume surgeons was 78.5 months (SD 0.7 months) and 66.9 months (SD 0.7 months), respectively. The PSM analysis showed that treatment by high-volume hospitals and treatment by high-volume surgeons were both associated with significantly shorter LOS, lower hospital cost, and longer survival compared to their low-volume counterparts (P &lt; 0.001). CONCLUSIONS: The results of this nationwide study support the regionalization of HCC treatment by hospital volume and by surgeon volume. High surgeon volume revealed both short- and long-term benefits. The applicability of PSM in volume-outcome analysis may also be confirmed.","container-title":"J Gastrointest Surg","DOI":"10.1007/s11605-014-2513-5","ISSN":"1091-255x","issue":"6","language":"eng","page":"1138-45","title":"Volume-outcome associations after major hepatectomy for hepatocellular carcinoma: a nationwide Taiwan study","volume":"18","author":[{"family":"Lu","given":"C. C."},{"family":"Chiu","given":"C. C."},{"family":"Wang","given":"J. J."},{"family":"Chiu","given":"Y. H."},{"family":"Shi","given":"H. Y."}],"issued":{"date-parts":[["2014",6]]}}}],"schema":"https://github.com/citation-style-language/schema/raw/master/csl-citation.json"} </w:instrText>
            </w:r>
            <w:r w:rsidRPr="00832E0E">
              <w:rPr>
                <w:sz w:val="14"/>
                <w:szCs w:val="14"/>
              </w:rPr>
              <w:fldChar w:fldCharType="separate"/>
            </w:r>
            <w:r w:rsidRPr="004125CE">
              <w:rPr>
                <w:sz w:val="14"/>
              </w:rPr>
              <w:t>[53]</w:t>
            </w:r>
            <w:r w:rsidRPr="00832E0E">
              <w:rPr>
                <w:sz w:val="14"/>
                <w:szCs w:val="14"/>
              </w:rPr>
              <w:fldChar w:fldCharType="end"/>
            </w:r>
            <w:r w:rsidRPr="00832E0E">
              <w:rPr>
                <w:sz w:val="14"/>
                <w:szCs w:val="14"/>
              </w:rPr>
              <w:t>)</w:t>
            </w:r>
          </w:p>
        </w:tc>
        <w:tc>
          <w:tcPr>
            <w:tcW w:w="464" w:type="pct"/>
            <w:vMerge w:val="restart"/>
            <w:tcBorders>
              <w:top w:val="single" w:sz="8" w:space="0" w:color="auto"/>
              <w:left w:val="single" w:sz="4" w:space="0" w:color="auto"/>
              <w:right w:val="single" w:sz="4" w:space="0" w:color="auto"/>
            </w:tcBorders>
          </w:tcPr>
          <w:p w14:paraId="15B3FA51" w14:textId="77777777" w:rsidR="000F0341" w:rsidRPr="00832E0E" w:rsidRDefault="000F0341" w:rsidP="00E40B0D">
            <w:pPr>
              <w:spacing w:line="240" w:lineRule="auto"/>
              <w:rPr>
                <w:sz w:val="14"/>
                <w:szCs w:val="14"/>
              </w:rPr>
            </w:pPr>
            <w:r w:rsidRPr="00BF62A1">
              <w:rPr>
                <w:sz w:val="14"/>
                <w:szCs w:val="14"/>
              </w:rPr>
              <w:t>23107</w:t>
            </w:r>
          </w:p>
        </w:tc>
        <w:tc>
          <w:tcPr>
            <w:tcW w:w="234" w:type="pct"/>
            <w:vMerge w:val="restart"/>
            <w:tcBorders>
              <w:top w:val="single" w:sz="8" w:space="0" w:color="auto"/>
              <w:left w:val="single" w:sz="4" w:space="0" w:color="auto"/>
              <w:right w:val="single" w:sz="4" w:space="0" w:color="auto"/>
            </w:tcBorders>
          </w:tcPr>
          <w:p w14:paraId="3496A42F" w14:textId="77777777" w:rsidR="000F0341" w:rsidRPr="00832E0E" w:rsidRDefault="000F0341" w:rsidP="00E40B0D">
            <w:pPr>
              <w:spacing w:line="240" w:lineRule="auto"/>
              <w:rPr>
                <w:sz w:val="14"/>
                <w:szCs w:val="14"/>
              </w:rPr>
            </w:pPr>
            <w:r w:rsidRPr="00BF62A1">
              <w:rPr>
                <w:sz w:val="14"/>
                <w:szCs w:val="14"/>
              </w:rPr>
              <w:t>-</w:t>
            </w:r>
          </w:p>
        </w:tc>
        <w:tc>
          <w:tcPr>
            <w:tcW w:w="626" w:type="pct"/>
            <w:tcBorders>
              <w:top w:val="single" w:sz="8" w:space="0" w:color="auto"/>
              <w:left w:val="single" w:sz="4" w:space="0" w:color="auto"/>
              <w:bottom w:val="single" w:sz="4" w:space="0" w:color="auto"/>
              <w:right w:val="single" w:sz="4" w:space="0" w:color="auto"/>
            </w:tcBorders>
          </w:tcPr>
          <w:p w14:paraId="12255FBE" w14:textId="77777777" w:rsidR="000F0341" w:rsidRPr="00832E0E" w:rsidRDefault="000F0341" w:rsidP="00E40B0D">
            <w:pPr>
              <w:spacing w:line="240" w:lineRule="auto"/>
              <w:rPr>
                <w:sz w:val="14"/>
                <w:szCs w:val="14"/>
              </w:rPr>
            </w:pPr>
            <w:r w:rsidRPr="00BF62A1">
              <w:rPr>
                <w:sz w:val="14"/>
                <w:szCs w:val="14"/>
              </w:rPr>
              <w:t>Low</w:t>
            </w:r>
          </w:p>
        </w:tc>
        <w:tc>
          <w:tcPr>
            <w:tcW w:w="704" w:type="pct"/>
            <w:tcBorders>
              <w:top w:val="single" w:sz="8" w:space="0" w:color="auto"/>
              <w:left w:val="single" w:sz="4" w:space="0" w:color="auto"/>
              <w:right w:val="single" w:sz="4" w:space="0" w:color="auto"/>
            </w:tcBorders>
          </w:tcPr>
          <w:p w14:paraId="3ED6A622" w14:textId="77777777" w:rsidR="000F0341" w:rsidRPr="00832E0E" w:rsidRDefault="000F0341" w:rsidP="00E40B0D">
            <w:pPr>
              <w:spacing w:line="240" w:lineRule="auto"/>
              <w:rPr>
                <w:sz w:val="14"/>
                <w:szCs w:val="14"/>
              </w:rPr>
            </w:pPr>
            <w:r w:rsidRPr="00BF62A1">
              <w:rPr>
                <w:sz w:val="14"/>
                <w:szCs w:val="14"/>
              </w:rPr>
              <w:t>1-99</w:t>
            </w:r>
          </w:p>
        </w:tc>
        <w:tc>
          <w:tcPr>
            <w:tcW w:w="707" w:type="pct"/>
            <w:tcBorders>
              <w:top w:val="single" w:sz="8" w:space="0" w:color="auto"/>
              <w:left w:val="single" w:sz="4" w:space="0" w:color="auto"/>
              <w:right w:val="single" w:sz="4" w:space="0" w:color="auto"/>
            </w:tcBorders>
          </w:tcPr>
          <w:p w14:paraId="4BB04356" w14:textId="77777777" w:rsidR="000F0341" w:rsidRPr="00832E0E" w:rsidRDefault="000F0341" w:rsidP="00E40B0D">
            <w:pPr>
              <w:spacing w:line="240" w:lineRule="auto"/>
              <w:rPr>
                <w:sz w:val="14"/>
                <w:szCs w:val="14"/>
              </w:rPr>
            </w:pPr>
            <w:r w:rsidRPr="00BF62A1">
              <w:rPr>
                <w:sz w:val="14"/>
                <w:szCs w:val="14"/>
              </w:rPr>
              <w:t>1-29</w:t>
            </w:r>
          </w:p>
        </w:tc>
        <w:tc>
          <w:tcPr>
            <w:tcW w:w="780" w:type="pct"/>
            <w:tcBorders>
              <w:top w:val="single" w:sz="8" w:space="0" w:color="auto"/>
              <w:left w:val="single" w:sz="4" w:space="0" w:color="auto"/>
              <w:right w:val="single" w:sz="4" w:space="0" w:color="auto"/>
            </w:tcBorders>
          </w:tcPr>
          <w:p w14:paraId="4414240A" w14:textId="77777777" w:rsidR="000F0341" w:rsidRPr="00832E0E" w:rsidRDefault="000F0341" w:rsidP="00E40B0D">
            <w:pPr>
              <w:spacing w:line="240" w:lineRule="auto"/>
              <w:rPr>
                <w:sz w:val="14"/>
                <w:szCs w:val="14"/>
              </w:rPr>
            </w:pPr>
            <w:r w:rsidRPr="00BF62A1">
              <w:rPr>
                <w:sz w:val="14"/>
                <w:szCs w:val="14"/>
              </w:rPr>
              <w:t>12305 / 11818</w:t>
            </w:r>
          </w:p>
        </w:tc>
        <w:tc>
          <w:tcPr>
            <w:tcW w:w="621" w:type="pct"/>
            <w:vMerge w:val="restart"/>
            <w:tcBorders>
              <w:top w:val="single" w:sz="8" w:space="0" w:color="auto"/>
              <w:left w:val="single" w:sz="4" w:space="0" w:color="auto"/>
              <w:right w:val="single" w:sz="4" w:space="0" w:color="auto"/>
            </w:tcBorders>
          </w:tcPr>
          <w:p w14:paraId="53B77FC1" w14:textId="77777777" w:rsidR="000F0341" w:rsidRPr="00832E0E" w:rsidRDefault="000F0341" w:rsidP="00E40B0D">
            <w:pPr>
              <w:spacing w:line="240" w:lineRule="auto"/>
              <w:rPr>
                <w:sz w:val="14"/>
                <w:szCs w:val="14"/>
              </w:rPr>
            </w:pPr>
            <w:r w:rsidRPr="00BF62A1">
              <w:rPr>
                <w:sz w:val="14"/>
                <w:szCs w:val="14"/>
              </w:rPr>
              <w:t>-</w:t>
            </w:r>
          </w:p>
        </w:tc>
      </w:tr>
      <w:tr w:rsidR="000F0341" w:rsidRPr="00832E0E" w14:paraId="2B94C1D6" w14:textId="77777777" w:rsidTr="00E40B0D">
        <w:trPr>
          <w:trHeight w:val="20"/>
        </w:trPr>
        <w:tc>
          <w:tcPr>
            <w:tcW w:w="865" w:type="pct"/>
            <w:vMerge/>
            <w:tcBorders>
              <w:left w:val="single" w:sz="4" w:space="0" w:color="auto"/>
              <w:bottom w:val="single" w:sz="8" w:space="0" w:color="auto"/>
              <w:right w:val="single" w:sz="4" w:space="0" w:color="auto"/>
            </w:tcBorders>
          </w:tcPr>
          <w:p w14:paraId="220FC334" w14:textId="77777777" w:rsidR="000F0341" w:rsidRPr="00832E0E" w:rsidRDefault="000F0341" w:rsidP="00E40B0D">
            <w:pPr>
              <w:spacing w:line="240" w:lineRule="auto"/>
              <w:rPr>
                <w:sz w:val="14"/>
                <w:szCs w:val="14"/>
              </w:rPr>
            </w:pPr>
          </w:p>
        </w:tc>
        <w:tc>
          <w:tcPr>
            <w:tcW w:w="464" w:type="pct"/>
            <w:vMerge/>
            <w:tcBorders>
              <w:left w:val="single" w:sz="4" w:space="0" w:color="auto"/>
              <w:bottom w:val="single" w:sz="8" w:space="0" w:color="auto"/>
              <w:right w:val="single" w:sz="4" w:space="0" w:color="auto"/>
            </w:tcBorders>
          </w:tcPr>
          <w:p w14:paraId="51C05870" w14:textId="77777777" w:rsidR="000F0341" w:rsidRPr="00832E0E" w:rsidRDefault="000F0341" w:rsidP="00E40B0D">
            <w:pPr>
              <w:spacing w:line="240" w:lineRule="auto"/>
              <w:rPr>
                <w:sz w:val="14"/>
                <w:szCs w:val="14"/>
              </w:rPr>
            </w:pPr>
          </w:p>
        </w:tc>
        <w:tc>
          <w:tcPr>
            <w:tcW w:w="234" w:type="pct"/>
            <w:vMerge/>
            <w:tcBorders>
              <w:left w:val="single" w:sz="4" w:space="0" w:color="auto"/>
              <w:bottom w:val="single" w:sz="8" w:space="0" w:color="auto"/>
              <w:right w:val="single" w:sz="4" w:space="0" w:color="auto"/>
            </w:tcBorders>
          </w:tcPr>
          <w:p w14:paraId="5B0DA384" w14:textId="77777777" w:rsidR="000F0341" w:rsidRPr="00832E0E" w:rsidRDefault="000F0341" w:rsidP="00E40B0D">
            <w:pPr>
              <w:spacing w:line="240" w:lineRule="auto"/>
              <w:rPr>
                <w:sz w:val="14"/>
                <w:szCs w:val="14"/>
              </w:rPr>
            </w:pPr>
          </w:p>
        </w:tc>
        <w:tc>
          <w:tcPr>
            <w:tcW w:w="626" w:type="pct"/>
            <w:tcBorders>
              <w:top w:val="single" w:sz="4" w:space="0" w:color="auto"/>
              <w:left w:val="single" w:sz="4" w:space="0" w:color="auto"/>
              <w:bottom w:val="single" w:sz="8" w:space="0" w:color="auto"/>
              <w:right w:val="single" w:sz="4" w:space="0" w:color="auto"/>
            </w:tcBorders>
          </w:tcPr>
          <w:p w14:paraId="3546EF32" w14:textId="77777777" w:rsidR="000F0341" w:rsidRPr="00832E0E" w:rsidRDefault="000F0341" w:rsidP="00E40B0D">
            <w:pPr>
              <w:spacing w:line="240" w:lineRule="auto"/>
              <w:rPr>
                <w:sz w:val="14"/>
                <w:szCs w:val="14"/>
              </w:rPr>
            </w:pPr>
            <w:r w:rsidRPr="00BF62A1">
              <w:rPr>
                <w:sz w:val="14"/>
                <w:szCs w:val="14"/>
              </w:rPr>
              <w:t>High</w:t>
            </w:r>
          </w:p>
        </w:tc>
        <w:tc>
          <w:tcPr>
            <w:tcW w:w="704" w:type="pct"/>
            <w:tcBorders>
              <w:left w:val="single" w:sz="4" w:space="0" w:color="auto"/>
              <w:bottom w:val="single" w:sz="8" w:space="0" w:color="auto"/>
              <w:right w:val="single" w:sz="4" w:space="0" w:color="auto"/>
            </w:tcBorders>
          </w:tcPr>
          <w:p w14:paraId="7D532EBF" w14:textId="77777777" w:rsidR="000F0341" w:rsidRPr="00832E0E" w:rsidRDefault="000F0341" w:rsidP="00E40B0D">
            <w:pPr>
              <w:spacing w:line="240" w:lineRule="auto"/>
              <w:rPr>
                <w:sz w:val="14"/>
                <w:szCs w:val="14"/>
              </w:rPr>
            </w:pPr>
            <w:r w:rsidRPr="00BF62A1">
              <w:rPr>
                <w:sz w:val="14"/>
                <w:szCs w:val="14"/>
              </w:rPr>
              <w:t>≥100</w:t>
            </w:r>
          </w:p>
        </w:tc>
        <w:tc>
          <w:tcPr>
            <w:tcW w:w="707" w:type="pct"/>
            <w:tcBorders>
              <w:left w:val="single" w:sz="4" w:space="0" w:color="auto"/>
              <w:bottom w:val="single" w:sz="8" w:space="0" w:color="auto"/>
              <w:right w:val="single" w:sz="4" w:space="0" w:color="auto"/>
            </w:tcBorders>
          </w:tcPr>
          <w:p w14:paraId="7B355091" w14:textId="77777777" w:rsidR="000F0341" w:rsidRPr="00832E0E" w:rsidRDefault="000F0341" w:rsidP="00E40B0D">
            <w:pPr>
              <w:spacing w:line="240" w:lineRule="auto"/>
              <w:rPr>
                <w:sz w:val="14"/>
                <w:szCs w:val="14"/>
              </w:rPr>
            </w:pPr>
            <w:r w:rsidRPr="00BF62A1">
              <w:rPr>
                <w:sz w:val="14"/>
                <w:szCs w:val="14"/>
              </w:rPr>
              <w:t>≥30</w:t>
            </w:r>
          </w:p>
        </w:tc>
        <w:tc>
          <w:tcPr>
            <w:tcW w:w="780" w:type="pct"/>
            <w:tcBorders>
              <w:left w:val="single" w:sz="4" w:space="0" w:color="auto"/>
              <w:bottom w:val="single" w:sz="8" w:space="0" w:color="auto"/>
              <w:right w:val="single" w:sz="4" w:space="0" w:color="auto"/>
            </w:tcBorders>
          </w:tcPr>
          <w:p w14:paraId="4760BC31" w14:textId="77777777" w:rsidR="000F0341" w:rsidRPr="00832E0E" w:rsidRDefault="000F0341" w:rsidP="00E40B0D">
            <w:pPr>
              <w:spacing w:line="240" w:lineRule="auto"/>
              <w:rPr>
                <w:sz w:val="14"/>
                <w:szCs w:val="14"/>
              </w:rPr>
            </w:pPr>
            <w:r w:rsidRPr="00BF62A1">
              <w:rPr>
                <w:sz w:val="14"/>
                <w:szCs w:val="14"/>
              </w:rPr>
              <w:t>10802 / 11289</w:t>
            </w:r>
          </w:p>
        </w:tc>
        <w:tc>
          <w:tcPr>
            <w:tcW w:w="621" w:type="pct"/>
            <w:vMerge/>
            <w:tcBorders>
              <w:left w:val="single" w:sz="4" w:space="0" w:color="auto"/>
              <w:bottom w:val="single" w:sz="8" w:space="0" w:color="auto"/>
              <w:right w:val="single" w:sz="4" w:space="0" w:color="auto"/>
            </w:tcBorders>
          </w:tcPr>
          <w:p w14:paraId="652084D5" w14:textId="77777777" w:rsidR="000F0341" w:rsidRPr="00832E0E" w:rsidRDefault="000F0341" w:rsidP="00E40B0D">
            <w:pPr>
              <w:spacing w:line="240" w:lineRule="auto"/>
              <w:rPr>
                <w:sz w:val="14"/>
                <w:szCs w:val="14"/>
              </w:rPr>
            </w:pPr>
          </w:p>
        </w:tc>
      </w:tr>
      <w:tr w:rsidR="000F0341" w:rsidRPr="00832E0E" w14:paraId="36DADFB1" w14:textId="77777777" w:rsidTr="00E40B0D">
        <w:trPr>
          <w:trHeight w:val="20"/>
        </w:trPr>
        <w:tc>
          <w:tcPr>
            <w:tcW w:w="865" w:type="pct"/>
            <w:vMerge w:val="restart"/>
            <w:tcBorders>
              <w:top w:val="single" w:sz="8" w:space="0" w:color="auto"/>
              <w:left w:val="single" w:sz="4" w:space="0" w:color="auto"/>
              <w:right w:val="single" w:sz="4" w:space="0" w:color="auto"/>
            </w:tcBorders>
          </w:tcPr>
          <w:p w14:paraId="04DCFC26" w14:textId="77777777" w:rsidR="000F0341" w:rsidRPr="00832E0E" w:rsidRDefault="000F0341" w:rsidP="00E40B0D">
            <w:pPr>
              <w:spacing w:line="240" w:lineRule="auto"/>
              <w:rPr>
                <w:sz w:val="14"/>
                <w:szCs w:val="14"/>
              </w:rPr>
            </w:pPr>
            <w:r w:rsidRPr="00BF62A1">
              <w:rPr>
                <w:sz w:val="14"/>
                <w:szCs w:val="14"/>
              </w:rPr>
              <w:t>Dhar 201</w:t>
            </w:r>
            <w:r w:rsidRPr="00832E0E">
              <w:rPr>
                <w:sz w:val="14"/>
                <w:szCs w:val="14"/>
              </w:rPr>
              <w:t xml:space="preserve">9 </w:t>
            </w:r>
            <w:r w:rsidRPr="00832E0E">
              <w:rPr>
                <w:sz w:val="14"/>
                <w:szCs w:val="14"/>
              </w:rPr>
              <w:fldChar w:fldCharType="begin"/>
            </w:r>
            <w:r>
              <w:rPr>
                <w:sz w:val="14"/>
                <w:szCs w:val="14"/>
              </w:rPr>
              <w:instrText xml:space="preserve"> ADDIN ZOTERO_ITEM CSL_CITATION {"citationID":"T4f99A4I","properties":{"formattedCitation":"[72]","plainCitation":"[72]","noteIndex":0},"citationItems":[{"id":14335,"uris":["http://zotero.org/groups/4983919/items/U87DDYA4"],"itemData":{"id":14335,"type":"article-journal","abstract":"BACKGROUND: The purpose of the study was to characterize the prevalence and impact of perioperative blood use for patients undergoing hepatic lobectomy at academic medical centers. METHODS: The University HealthSystem Consortium (UHC) database was queried for hepatic lobectomies performed between 2011 and 2014 (n = 6476). Patients were grouped according to transfusion requirements into high (&gt;5 units, 7%), medium (2-5 units, 6%), low (1 unit, 8%), and none (0 units, 79%) during hospital stay for comparison of outcomes. RESULTS: Over 20% of patients undergoing hepatic lobectomy received blood perioperatively, of which 35% required more than 5 units. Patients with high transfusion requirements had increased severity of illness (p &lt; 0.01). High transfusion requirements correlated with increased readmission rates (23.4% vs. 19.2% vs. 16.6% vs. 13.5%), total direct costs ($31,982 vs. $20,859 vs. $19,457 vs. $16,934), length of stay (9 days vs. 8 vs. 7 vs. 6), and in-hospital mortality (10.8% vs. 2.0% vs. 0.9% vs. 2.0%) compared to medium, low, and no transfusion amounts (all p &lt; 0.01). Neither center nor surgeon volume were associated with transfusion use. CONCLUSION: High transfusion requirements after hepatic lobectomy in the United States are associated with worse perioperative quality measures, but may not be influenced by center or surgeon volume.","container-title":"HPB (Oxford)","DOI":"10.1016/j.hpb.2018.10.022","ISSN":"1365-182x","issue":"6","language":"eng","page":"748-756","title":"Perioperative blood transfusions following hepatic lobectomy: A national analysis of academic medical centers in the modern era","volume":"21","author":[{"family":"Dhar","given":"V. K."},{"family":"Wima","given":"K."},{"family":"Lee","given":"T. C."},{"family":"Morris","given":"M. C."},{"family":"Winer","given":"L. K."},{"family":"Ahmad","given":"S. A."},{"family":"Shah","given":"S. A."},{"family":"Patel","given":"S. H."}],"issued":{"date-parts":[["2019",6]]}}}],"schema":"https://github.com/citation-style-language/schema/raw/master/csl-citation.json"} </w:instrText>
            </w:r>
            <w:r w:rsidRPr="00832E0E">
              <w:rPr>
                <w:sz w:val="14"/>
                <w:szCs w:val="14"/>
              </w:rPr>
              <w:fldChar w:fldCharType="separate"/>
            </w:r>
            <w:r w:rsidRPr="004125CE">
              <w:rPr>
                <w:sz w:val="14"/>
              </w:rPr>
              <w:t>[72]</w:t>
            </w:r>
            <w:r w:rsidRPr="00832E0E">
              <w:rPr>
                <w:sz w:val="14"/>
                <w:szCs w:val="14"/>
              </w:rPr>
              <w:fldChar w:fldCharType="end"/>
            </w:r>
          </w:p>
        </w:tc>
        <w:tc>
          <w:tcPr>
            <w:tcW w:w="464" w:type="pct"/>
            <w:vMerge w:val="restart"/>
            <w:tcBorders>
              <w:top w:val="single" w:sz="8" w:space="0" w:color="auto"/>
              <w:left w:val="single" w:sz="4" w:space="0" w:color="auto"/>
              <w:right w:val="single" w:sz="4" w:space="0" w:color="auto"/>
            </w:tcBorders>
          </w:tcPr>
          <w:p w14:paraId="2CC1E345" w14:textId="77777777" w:rsidR="000F0341" w:rsidRPr="00832E0E" w:rsidRDefault="000F0341" w:rsidP="00E40B0D">
            <w:pPr>
              <w:spacing w:line="240" w:lineRule="auto"/>
              <w:rPr>
                <w:sz w:val="14"/>
                <w:szCs w:val="14"/>
              </w:rPr>
            </w:pPr>
            <w:r w:rsidRPr="00BF62A1">
              <w:rPr>
                <w:sz w:val="14"/>
                <w:szCs w:val="14"/>
              </w:rPr>
              <w:t>6476</w:t>
            </w:r>
          </w:p>
        </w:tc>
        <w:tc>
          <w:tcPr>
            <w:tcW w:w="234" w:type="pct"/>
            <w:vMerge w:val="restart"/>
            <w:tcBorders>
              <w:top w:val="single" w:sz="8" w:space="0" w:color="auto"/>
              <w:left w:val="single" w:sz="4" w:space="0" w:color="auto"/>
              <w:right w:val="single" w:sz="4" w:space="0" w:color="auto"/>
            </w:tcBorders>
          </w:tcPr>
          <w:p w14:paraId="2538A104" w14:textId="77777777" w:rsidR="000F0341" w:rsidRPr="00832E0E" w:rsidRDefault="000F0341" w:rsidP="00E40B0D">
            <w:pPr>
              <w:spacing w:line="240" w:lineRule="auto"/>
              <w:rPr>
                <w:sz w:val="14"/>
                <w:szCs w:val="14"/>
              </w:rPr>
            </w:pPr>
            <w:r w:rsidRPr="00BF62A1">
              <w:rPr>
                <w:sz w:val="14"/>
                <w:szCs w:val="14"/>
              </w:rPr>
              <w:t>-</w:t>
            </w:r>
          </w:p>
        </w:tc>
        <w:tc>
          <w:tcPr>
            <w:tcW w:w="626" w:type="pct"/>
            <w:tcBorders>
              <w:top w:val="single" w:sz="8" w:space="0" w:color="auto"/>
              <w:left w:val="single" w:sz="4" w:space="0" w:color="auto"/>
              <w:bottom w:val="single" w:sz="4" w:space="0" w:color="auto"/>
              <w:right w:val="single" w:sz="4" w:space="0" w:color="auto"/>
            </w:tcBorders>
          </w:tcPr>
          <w:p w14:paraId="0885CCDB" w14:textId="77777777" w:rsidR="000F0341" w:rsidRPr="00832E0E" w:rsidRDefault="000F0341" w:rsidP="00E40B0D">
            <w:pPr>
              <w:spacing w:line="240" w:lineRule="auto"/>
              <w:rPr>
                <w:sz w:val="14"/>
                <w:szCs w:val="14"/>
              </w:rPr>
            </w:pPr>
            <w:r w:rsidRPr="00BF62A1">
              <w:rPr>
                <w:sz w:val="14"/>
                <w:szCs w:val="14"/>
              </w:rPr>
              <w:t>Low</w:t>
            </w:r>
          </w:p>
        </w:tc>
        <w:tc>
          <w:tcPr>
            <w:tcW w:w="704" w:type="pct"/>
            <w:tcBorders>
              <w:top w:val="single" w:sz="8" w:space="0" w:color="auto"/>
              <w:left w:val="single" w:sz="4" w:space="0" w:color="auto"/>
              <w:right w:val="single" w:sz="4" w:space="0" w:color="auto"/>
            </w:tcBorders>
          </w:tcPr>
          <w:p w14:paraId="10109C18" w14:textId="77777777" w:rsidR="000F0341" w:rsidRPr="00832E0E" w:rsidRDefault="000F0341" w:rsidP="00E40B0D">
            <w:pPr>
              <w:spacing w:line="240" w:lineRule="auto"/>
              <w:rPr>
                <w:sz w:val="14"/>
                <w:szCs w:val="14"/>
              </w:rPr>
            </w:pPr>
            <w:r w:rsidRPr="00BF62A1">
              <w:rPr>
                <w:sz w:val="14"/>
                <w:szCs w:val="14"/>
              </w:rPr>
              <w:t>1-18</w:t>
            </w:r>
          </w:p>
        </w:tc>
        <w:tc>
          <w:tcPr>
            <w:tcW w:w="707" w:type="pct"/>
            <w:tcBorders>
              <w:top w:val="single" w:sz="8" w:space="0" w:color="auto"/>
              <w:left w:val="single" w:sz="4" w:space="0" w:color="auto"/>
              <w:right w:val="single" w:sz="4" w:space="0" w:color="auto"/>
            </w:tcBorders>
          </w:tcPr>
          <w:p w14:paraId="6840F07A" w14:textId="77777777" w:rsidR="000F0341" w:rsidRPr="00832E0E" w:rsidRDefault="000F0341" w:rsidP="00E40B0D">
            <w:pPr>
              <w:spacing w:line="240" w:lineRule="auto"/>
              <w:rPr>
                <w:sz w:val="14"/>
                <w:szCs w:val="14"/>
              </w:rPr>
            </w:pPr>
            <w:r w:rsidRPr="00BF62A1">
              <w:rPr>
                <w:sz w:val="14"/>
                <w:szCs w:val="14"/>
              </w:rPr>
              <w:t>1-4</w:t>
            </w:r>
          </w:p>
        </w:tc>
        <w:tc>
          <w:tcPr>
            <w:tcW w:w="780" w:type="pct"/>
            <w:vMerge w:val="restart"/>
            <w:tcBorders>
              <w:top w:val="single" w:sz="8" w:space="0" w:color="auto"/>
              <w:left w:val="single" w:sz="4" w:space="0" w:color="auto"/>
              <w:right w:val="single" w:sz="4" w:space="0" w:color="auto"/>
            </w:tcBorders>
          </w:tcPr>
          <w:p w14:paraId="1E565529" w14:textId="77777777" w:rsidR="000F0341" w:rsidRPr="00832E0E" w:rsidRDefault="000F0341" w:rsidP="00E40B0D">
            <w:pPr>
              <w:spacing w:line="240" w:lineRule="auto"/>
              <w:rPr>
                <w:sz w:val="14"/>
                <w:szCs w:val="14"/>
              </w:rPr>
            </w:pPr>
            <w:r w:rsidRPr="00BF62A1">
              <w:rPr>
                <w:sz w:val="14"/>
                <w:szCs w:val="14"/>
              </w:rPr>
              <w:t>-</w:t>
            </w:r>
          </w:p>
        </w:tc>
        <w:tc>
          <w:tcPr>
            <w:tcW w:w="621" w:type="pct"/>
            <w:vMerge w:val="restart"/>
            <w:tcBorders>
              <w:top w:val="single" w:sz="8" w:space="0" w:color="auto"/>
              <w:left w:val="single" w:sz="4" w:space="0" w:color="auto"/>
              <w:right w:val="single" w:sz="4" w:space="0" w:color="auto"/>
            </w:tcBorders>
          </w:tcPr>
          <w:p w14:paraId="710DBB64" w14:textId="77777777" w:rsidR="000F0341" w:rsidRPr="00832E0E" w:rsidRDefault="000F0341" w:rsidP="00E40B0D">
            <w:pPr>
              <w:spacing w:line="240" w:lineRule="auto"/>
              <w:rPr>
                <w:sz w:val="14"/>
                <w:szCs w:val="14"/>
              </w:rPr>
            </w:pPr>
            <w:r w:rsidRPr="00BF62A1">
              <w:rPr>
                <w:sz w:val="14"/>
                <w:szCs w:val="14"/>
              </w:rPr>
              <w:t>-</w:t>
            </w:r>
          </w:p>
        </w:tc>
      </w:tr>
      <w:tr w:rsidR="000F0341" w:rsidRPr="00832E0E" w14:paraId="766BA8A2" w14:textId="77777777" w:rsidTr="00E40B0D">
        <w:trPr>
          <w:trHeight w:val="20"/>
        </w:trPr>
        <w:tc>
          <w:tcPr>
            <w:tcW w:w="865" w:type="pct"/>
            <w:vMerge/>
            <w:tcBorders>
              <w:left w:val="single" w:sz="4" w:space="0" w:color="auto"/>
              <w:right w:val="single" w:sz="4" w:space="0" w:color="auto"/>
            </w:tcBorders>
          </w:tcPr>
          <w:p w14:paraId="05C46697" w14:textId="77777777" w:rsidR="000F0341" w:rsidRPr="00832E0E" w:rsidRDefault="000F0341" w:rsidP="00E40B0D">
            <w:pPr>
              <w:spacing w:line="240" w:lineRule="auto"/>
              <w:rPr>
                <w:sz w:val="14"/>
                <w:szCs w:val="14"/>
              </w:rPr>
            </w:pPr>
          </w:p>
        </w:tc>
        <w:tc>
          <w:tcPr>
            <w:tcW w:w="464" w:type="pct"/>
            <w:vMerge/>
            <w:tcBorders>
              <w:left w:val="single" w:sz="4" w:space="0" w:color="auto"/>
              <w:right w:val="single" w:sz="4" w:space="0" w:color="auto"/>
            </w:tcBorders>
          </w:tcPr>
          <w:p w14:paraId="5AA067CD" w14:textId="77777777" w:rsidR="000F0341" w:rsidRPr="00832E0E" w:rsidRDefault="000F0341" w:rsidP="00E40B0D">
            <w:pPr>
              <w:spacing w:line="240" w:lineRule="auto"/>
              <w:rPr>
                <w:sz w:val="14"/>
                <w:szCs w:val="14"/>
              </w:rPr>
            </w:pPr>
          </w:p>
        </w:tc>
        <w:tc>
          <w:tcPr>
            <w:tcW w:w="234" w:type="pct"/>
            <w:vMerge/>
            <w:tcBorders>
              <w:left w:val="single" w:sz="4" w:space="0" w:color="auto"/>
              <w:right w:val="single" w:sz="4" w:space="0" w:color="auto"/>
            </w:tcBorders>
          </w:tcPr>
          <w:p w14:paraId="56BAFF1C" w14:textId="77777777" w:rsidR="000F0341" w:rsidRPr="00832E0E" w:rsidRDefault="000F0341" w:rsidP="00E40B0D">
            <w:pPr>
              <w:spacing w:line="240" w:lineRule="auto"/>
              <w:rPr>
                <w:sz w:val="14"/>
                <w:szCs w:val="14"/>
              </w:rPr>
            </w:pPr>
          </w:p>
        </w:tc>
        <w:tc>
          <w:tcPr>
            <w:tcW w:w="626" w:type="pct"/>
            <w:tcBorders>
              <w:top w:val="single" w:sz="4" w:space="0" w:color="auto"/>
              <w:left w:val="single" w:sz="4" w:space="0" w:color="auto"/>
              <w:bottom w:val="single" w:sz="4" w:space="0" w:color="auto"/>
              <w:right w:val="single" w:sz="4" w:space="0" w:color="auto"/>
            </w:tcBorders>
          </w:tcPr>
          <w:p w14:paraId="5ED9B4A1" w14:textId="77777777" w:rsidR="000F0341" w:rsidRPr="00832E0E" w:rsidRDefault="000F0341" w:rsidP="00E40B0D">
            <w:pPr>
              <w:spacing w:line="240" w:lineRule="auto"/>
              <w:rPr>
                <w:sz w:val="14"/>
                <w:szCs w:val="14"/>
              </w:rPr>
            </w:pPr>
            <w:r w:rsidRPr="00BF62A1">
              <w:rPr>
                <w:sz w:val="14"/>
                <w:szCs w:val="14"/>
              </w:rPr>
              <w:t>Medium</w:t>
            </w:r>
          </w:p>
        </w:tc>
        <w:tc>
          <w:tcPr>
            <w:tcW w:w="704" w:type="pct"/>
            <w:tcBorders>
              <w:left w:val="single" w:sz="4" w:space="0" w:color="auto"/>
              <w:right w:val="single" w:sz="4" w:space="0" w:color="auto"/>
            </w:tcBorders>
          </w:tcPr>
          <w:p w14:paraId="60F36E10" w14:textId="77777777" w:rsidR="000F0341" w:rsidRPr="00832E0E" w:rsidRDefault="000F0341" w:rsidP="00E40B0D">
            <w:pPr>
              <w:spacing w:line="240" w:lineRule="auto"/>
              <w:rPr>
                <w:sz w:val="14"/>
                <w:szCs w:val="14"/>
              </w:rPr>
            </w:pPr>
            <w:r w:rsidRPr="00BF62A1">
              <w:rPr>
                <w:sz w:val="14"/>
                <w:szCs w:val="14"/>
              </w:rPr>
              <w:t>19-30</w:t>
            </w:r>
          </w:p>
        </w:tc>
        <w:tc>
          <w:tcPr>
            <w:tcW w:w="707" w:type="pct"/>
            <w:tcBorders>
              <w:left w:val="single" w:sz="4" w:space="0" w:color="auto"/>
              <w:right w:val="single" w:sz="4" w:space="0" w:color="auto"/>
            </w:tcBorders>
          </w:tcPr>
          <w:p w14:paraId="75D23307" w14:textId="77777777" w:rsidR="000F0341" w:rsidRPr="00832E0E" w:rsidRDefault="000F0341" w:rsidP="00E40B0D">
            <w:pPr>
              <w:spacing w:line="240" w:lineRule="auto"/>
              <w:rPr>
                <w:sz w:val="14"/>
                <w:szCs w:val="14"/>
              </w:rPr>
            </w:pPr>
            <w:r w:rsidRPr="00BF62A1">
              <w:rPr>
                <w:sz w:val="14"/>
                <w:szCs w:val="14"/>
              </w:rPr>
              <w:t>5-11</w:t>
            </w:r>
          </w:p>
        </w:tc>
        <w:tc>
          <w:tcPr>
            <w:tcW w:w="780" w:type="pct"/>
            <w:vMerge/>
            <w:tcBorders>
              <w:left w:val="single" w:sz="4" w:space="0" w:color="auto"/>
              <w:right w:val="single" w:sz="4" w:space="0" w:color="auto"/>
            </w:tcBorders>
          </w:tcPr>
          <w:p w14:paraId="1BFC7DDE" w14:textId="77777777" w:rsidR="000F0341" w:rsidRPr="00832E0E" w:rsidRDefault="000F0341" w:rsidP="00E40B0D">
            <w:pPr>
              <w:spacing w:line="240" w:lineRule="auto"/>
              <w:rPr>
                <w:sz w:val="14"/>
                <w:szCs w:val="14"/>
              </w:rPr>
            </w:pPr>
          </w:p>
        </w:tc>
        <w:tc>
          <w:tcPr>
            <w:tcW w:w="621" w:type="pct"/>
            <w:vMerge/>
            <w:tcBorders>
              <w:left w:val="single" w:sz="4" w:space="0" w:color="auto"/>
              <w:right w:val="single" w:sz="4" w:space="0" w:color="auto"/>
            </w:tcBorders>
          </w:tcPr>
          <w:p w14:paraId="40757DE6" w14:textId="77777777" w:rsidR="000F0341" w:rsidRPr="00832E0E" w:rsidRDefault="000F0341" w:rsidP="00E40B0D">
            <w:pPr>
              <w:spacing w:line="240" w:lineRule="auto"/>
              <w:rPr>
                <w:sz w:val="14"/>
                <w:szCs w:val="14"/>
              </w:rPr>
            </w:pPr>
          </w:p>
        </w:tc>
      </w:tr>
      <w:tr w:rsidR="000F0341" w:rsidRPr="00832E0E" w14:paraId="49551A22" w14:textId="77777777" w:rsidTr="00E40B0D">
        <w:trPr>
          <w:trHeight w:val="20"/>
        </w:trPr>
        <w:tc>
          <w:tcPr>
            <w:tcW w:w="865" w:type="pct"/>
            <w:vMerge/>
            <w:tcBorders>
              <w:left w:val="single" w:sz="4" w:space="0" w:color="auto"/>
              <w:bottom w:val="single" w:sz="8" w:space="0" w:color="auto"/>
              <w:right w:val="single" w:sz="4" w:space="0" w:color="auto"/>
            </w:tcBorders>
          </w:tcPr>
          <w:p w14:paraId="1B314504" w14:textId="77777777" w:rsidR="000F0341" w:rsidRPr="00832E0E" w:rsidRDefault="000F0341" w:rsidP="00E40B0D">
            <w:pPr>
              <w:spacing w:line="240" w:lineRule="auto"/>
              <w:rPr>
                <w:sz w:val="14"/>
                <w:szCs w:val="14"/>
              </w:rPr>
            </w:pPr>
          </w:p>
        </w:tc>
        <w:tc>
          <w:tcPr>
            <w:tcW w:w="464" w:type="pct"/>
            <w:vMerge/>
            <w:tcBorders>
              <w:left w:val="single" w:sz="4" w:space="0" w:color="auto"/>
              <w:bottom w:val="single" w:sz="8" w:space="0" w:color="auto"/>
              <w:right w:val="single" w:sz="4" w:space="0" w:color="auto"/>
            </w:tcBorders>
          </w:tcPr>
          <w:p w14:paraId="4C316F29" w14:textId="77777777" w:rsidR="000F0341" w:rsidRPr="00832E0E" w:rsidRDefault="000F0341" w:rsidP="00E40B0D">
            <w:pPr>
              <w:spacing w:line="240" w:lineRule="auto"/>
              <w:rPr>
                <w:sz w:val="14"/>
                <w:szCs w:val="14"/>
              </w:rPr>
            </w:pPr>
          </w:p>
        </w:tc>
        <w:tc>
          <w:tcPr>
            <w:tcW w:w="234" w:type="pct"/>
            <w:vMerge/>
            <w:tcBorders>
              <w:left w:val="single" w:sz="4" w:space="0" w:color="auto"/>
              <w:bottom w:val="single" w:sz="8" w:space="0" w:color="auto"/>
              <w:right w:val="single" w:sz="4" w:space="0" w:color="auto"/>
            </w:tcBorders>
          </w:tcPr>
          <w:p w14:paraId="1F826764" w14:textId="77777777" w:rsidR="000F0341" w:rsidRPr="00832E0E" w:rsidRDefault="000F0341" w:rsidP="00E40B0D">
            <w:pPr>
              <w:spacing w:line="240" w:lineRule="auto"/>
              <w:rPr>
                <w:sz w:val="14"/>
                <w:szCs w:val="14"/>
              </w:rPr>
            </w:pPr>
          </w:p>
        </w:tc>
        <w:tc>
          <w:tcPr>
            <w:tcW w:w="626" w:type="pct"/>
            <w:tcBorders>
              <w:top w:val="single" w:sz="4" w:space="0" w:color="auto"/>
              <w:left w:val="single" w:sz="4" w:space="0" w:color="auto"/>
              <w:bottom w:val="single" w:sz="8" w:space="0" w:color="auto"/>
              <w:right w:val="single" w:sz="4" w:space="0" w:color="auto"/>
            </w:tcBorders>
          </w:tcPr>
          <w:p w14:paraId="68C52597" w14:textId="77777777" w:rsidR="000F0341" w:rsidRPr="00832E0E" w:rsidRDefault="000F0341" w:rsidP="00E40B0D">
            <w:pPr>
              <w:spacing w:line="240" w:lineRule="auto"/>
              <w:rPr>
                <w:sz w:val="14"/>
                <w:szCs w:val="14"/>
              </w:rPr>
            </w:pPr>
            <w:r w:rsidRPr="00BF62A1">
              <w:rPr>
                <w:sz w:val="14"/>
                <w:szCs w:val="14"/>
              </w:rPr>
              <w:t>High</w:t>
            </w:r>
          </w:p>
        </w:tc>
        <w:tc>
          <w:tcPr>
            <w:tcW w:w="704" w:type="pct"/>
            <w:tcBorders>
              <w:left w:val="single" w:sz="4" w:space="0" w:color="auto"/>
              <w:bottom w:val="single" w:sz="8" w:space="0" w:color="auto"/>
              <w:right w:val="single" w:sz="4" w:space="0" w:color="auto"/>
            </w:tcBorders>
          </w:tcPr>
          <w:p w14:paraId="6E400FE2" w14:textId="77777777" w:rsidR="000F0341" w:rsidRPr="00832E0E" w:rsidRDefault="000F0341" w:rsidP="00E40B0D">
            <w:pPr>
              <w:spacing w:line="240" w:lineRule="auto"/>
              <w:rPr>
                <w:sz w:val="14"/>
                <w:szCs w:val="14"/>
              </w:rPr>
            </w:pPr>
            <w:r w:rsidRPr="00BF62A1">
              <w:rPr>
                <w:sz w:val="14"/>
                <w:szCs w:val="14"/>
              </w:rPr>
              <w:t>&gt;30</w:t>
            </w:r>
          </w:p>
        </w:tc>
        <w:tc>
          <w:tcPr>
            <w:tcW w:w="707" w:type="pct"/>
            <w:tcBorders>
              <w:left w:val="single" w:sz="4" w:space="0" w:color="auto"/>
              <w:bottom w:val="single" w:sz="8" w:space="0" w:color="auto"/>
              <w:right w:val="single" w:sz="4" w:space="0" w:color="auto"/>
            </w:tcBorders>
          </w:tcPr>
          <w:p w14:paraId="2AAE3EE0" w14:textId="77777777" w:rsidR="000F0341" w:rsidRPr="00832E0E" w:rsidRDefault="000F0341" w:rsidP="00E40B0D">
            <w:pPr>
              <w:spacing w:line="240" w:lineRule="auto"/>
              <w:rPr>
                <w:sz w:val="14"/>
                <w:szCs w:val="14"/>
              </w:rPr>
            </w:pPr>
            <w:r w:rsidRPr="00BF62A1">
              <w:rPr>
                <w:sz w:val="14"/>
                <w:szCs w:val="14"/>
              </w:rPr>
              <w:t>&gt;12</w:t>
            </w:r>
          </w:p>
        </w:tc>
        <w:tc>
          <w:tcPr>
            <w:tcW w:w="780" w:type="pct"/>
            <w:vMerge/>
            <w:tcBorders>
              <w:left w:val="single" w:sz="4" w:space="0" w:color="auto"/>
              <w:bottom w:val="single" w:sz="8" w:space="0" w:color="auto"/>
              <w:right w:val="single" w:sz="4" w:space="0" w:color="auto"/>
            </w:tcBorders>
          </w:tcPr>
          <w:p w14:paraId="79AECEE5" w14:textId="77777777" w:rsidR="000F0341" w:rsidRPr="00832E0E" w:rsidRDefault="000F0341" w:rsidP="00E40B0D">
            <w:pPr>
              <w:spacing w:line="240" w:lineRule="auto"/>
              <w:rPr>
                <w:sz w:val="14"/>
                <w:szCs w:val="14"/>
              </w:rPr>
            </w:pPr>
          </w:p>
        </w:tc>
        <w:tc>
          <w:tcPr>
            <w:tcW w:w="621" w:type="pct"/>
            <w:vMerge/>
            <w:tcBorders>
              <w:left w:val="single" w:sz="4" w:space="0" w:color="auto"/>
              <w:bottom w:val="single" w:sz="8" w:space="0" w:color="auto"/>
              <w:right w:val="single" w:sz="4" w:space="0" w:color="auto"/>
            </w:tcBorders>
          </w:tcPr>
          <w:p w14:paraId="424417E2" w14:textId="77777777" w:rsidR="000F0341" w:rsidRPr="00832E0E" w:rsidRDefault="000F0341" w:rsidP="00E40B0D">
            <w:pPr>
              <w:spacing w:line="240" w:lineRule="auto"/>
              <w:rPr>
                <w:sz w:val="14"/>
                <w:szCs w:val="14"/>
              </w:rPr>
            </w:pPr>
          </w:p>
        </w:tc>
      </w:tr>
      <w:tr w:rsidR="000F0341" w:rsidRPr="00832E0E" w14:paraId="0EB8A3C1" w14:textId="77777777" w:rsidTr="00E40B0D">
        <w:trPr>
          <w:trHeight w:val="20"/>
        </w:trPr>
        <w:tc>
          <w:tcPr>
            <w:tcW w:w="865" w:type="pct"/>
            <w:vMerge w:val="restart"/>
            <w:tcBorders>
              <w:top w:val="single" w:sz="8" w:space="0" w:color="auto"/>
              <w:left w:val="single" w:sz="4" w:space="0" w:color="auto"/>
              <w:right w:val="single" w:sz="4" w:space="0" w:color="auto"/>
            </w:tcBorders>
          </w:tcPr>
          <w:p w14:paraId="60D86CCE" w14:textId="77777777" w:rsidR="000F0341" w:rsidRPr="00832E0E" w:rsidRDefault="000F0341" w:rsidP="00E40B0D">
            <w:pPr>
              <w:spacing w:line="240" w:lineRule="auto"/>
              <w:rPr>
                <w:color w:val="000000"/>
                <w:sz w:val="14"/>
                <w:szCs w:val="14"/>
              </w:rPr>
            </w:pPr>
            <w:r w:rsidRPr="00BF62A1">
              <w:rPr>
                <w:color w:val="000000"/>
                <w:sz w:val="14"/>
                <w:szCs w:val="14"/>
              </w:rPr>
              <w:t>Shaw 2013</w:t>
            </w:r>
            <w:r w:rsidRPr="00832E0E">
              <w:rPr>
                <w:color w:val="000000"/>
                <w:sz w:val="14"/>
                <w:szCs w:val="14"/>
              </w:rPr>
              <w:t xml:space="preserve"> </w:t>
            </w:r>
            <w:r w:rsidRPr="00832E0E">
              <w:rPr>
                <w:color w:val="000000"/>
                <w:sz w:val="14"/>
                <w:szCs w:val="14"/>
              </w:rPr>
              <w:fldChar w:fldCharType="begin"/>
            </w:r>
            <w:r>
              <w:rPr>
                <w:color w:val="000000"/>
                <w:sz w:val="14"/>
                <w:szCs w:val="14"/>
              </w:rPr>
              <w:instrText xml:space="preserve"> ADDIN ZOTERO_ITEM CSL_CITATION {"citationID":"eVd2AYNS","properties":{"formattedCitation":"[71]","plainCitation":"[71]","noteIndex":0},"citationItems":[{"id":14154,"uris":["http://zotero.org/groups/4983919/items/HSBRVXJ5"],"itemData":{"id":14154,"type":"article-journal","abstract":"BACKGROUND: Specialized procedures such as hepatectomy are performed by a variety of specialties in surgery. We aimed to determine whether variation exists among utilization of resources, cost, and patient outcomes by specialty, surgeon case volume, and center case volume for hepatectomy. METHODS: We queried centers (n = 50) in the University Health Consortium database from 2007-2010 for patients who underwent elective hepatectomy in which specialty was designated general surgeon (n = 2685; 30%) or specialist surgeon (n = 6277; 70%), surgeon volume was designated high volume (&gt;38 cases annually) and center volume was designated high volume (&gt;100 cases annually). We then stratified our cohort by primary diagnosis, defined as primary tumor (n = 2241; 25%), secondary tumor (n = 5466; 61%), and benign (n = 1255; 14%). RESULTS: Specialist surgeons performed more cases for primary malignancy (primary 26% versus 15%) while general surgeons operated more for secondary malignancies (67% versus 61%) and benign disease (18% versus 13%). Specialists were associated with a shorter total length of stay (LOS) (5 d versus 6 d; P &lt; 0.01) and lower in-hospital morbidity (7% versus 11%; P &lt; 0.01). Patients treated by high volume surgeons or at high volume centers were less likely to die than those treated by low volume surgeons or at low volume centers, (OR 0.55; 95% CI 0.33-0.89) and (OR 0.44; 95% CI 0.13-0.56). CONCLUSIONS: Surgical specialization, surgeon volume and center volume may be important metrics for quality and utilization in complex procedures like hepatectomy. Further studies are necessary to link direct factors related to hospital performance in the changing healthcare environment.","container-title":"J Surg Res","DOI":"10.1016/j.jss.2013.04.072","ISSN":"0022-4804 (Print) 0022-4804","issue":"1","language":"eng","note":"publisher-place: Department of Surgery, Surgical Outcomes Analysis &amp; Research (SOAR), University of Massachusetts Medical School, Worcester, Massachusetts. Electronic address: joshua.shaw3@umassmemorial.org.","page":"433-40","title":"Specialization and utilization after hepatectomy in academic medical centers","volume":"185","author":[{"family":"Shaw","given":"J. J."},{"family":"Santry","given":"H. P."},{"family":"Shah","given":"S. A."}],"issued":{"date-parts":[["2013",11]]}}}],"schema":"https://github.com/citation-style-language/schema/raw/master/csl-citation.json"} </w:instrText>
            </w:r>
            <w:r w:rsidRPr="00832E0E">
              <w:rPr>
                <w:color w:val="000000"/>
                <w:sz w:val="14"/>
                <w:szCs w:val="14"/>
              </w:rPr>
              <w:fldChar w:fldCharType="separate"/>
            </w:r>
            <w:r w:rsidRPr="004125CE">
              <w:rPr>
                <w:sz w:val="14"/>
              </w:rPr>
              <w:t>[71]</w:t>
            </w:r>
            <w:r w:rsidRPr="00832E0E">
              <w:rPr>
                <w:color w:val="000000"/>
                <w:sz w:val="14"/>
                <w:szCs w:val="14"/>
              </w:rPr>
              <w:fldChar w:fldCharType="end"/>
            </w:r>
          </w:p>
        </w:tc>
        <w:tc>
          <w:tcPr>
            <w:tcW w:w="464" w:type="pct"/>
            <w:vMerge w:val="restart"/>
            <w:tcBorders>
              <w:top w:val="single" w:sz="8" w:space="0" w:color="auto"/>
              <w:left w:val="single" w:sz="4" w:space="0" w:color="auto"/>
              <w:right w:val="single" w:sz="4" w:space="0" w:color="auto"/>
            </w:tcBorders>
          </w:tcPr>
          <w:p w14:paraId="69D30E99" w14:textId="77777777" w:rsidR="000F0341" w:rsidRPr="00832E0E" w:rsidRDefault="000F0341" w:rsidP="00E40B0D">
            <w:pPr>
              <w:spacing w:line="240" w:lineRule="auto"/>
              <w:rPr>
                <w:sz w:val="14"/>
                <w:szCs w:val="14"/>
              </w:rPr>
            </w:pPr>
            <w:r w:rsidRPr="00BF62A1">
              <w:rPr>
                <w:sz w:val="14"/>
                <w:szCs w:val="14"/>
              </w:rPr>
              <w:t>8692</w:t>
            </w:r>
          </w:p>
        </w:tc>
        <w:tc>
          <w:tcPr>
            <w:tcW w:w="234" w:type="pct"/>
            <w:vMerge w:val="restart"/>
            <w:tcBorders>
              <w:top w:val="single" w:sz="8" w:space="0" w:color="auto"/>
              <w:left w:val="single" w:sz="4" w:space="0" w:color="auto"/>
              <w:right w:val="single" w:sz="4" w:space="0" w:color="auto"/>
            </w:tcBorders>
          </w:tcPr>
          <w:p w14:paraId="60E3F5C5" w14:textId="77777777" w:rsidR="000F0341" w:rsidRPr="00832E0E" w:rsidRDefault="000F0341" w:rsidP="00E40B0D">
            <w:pPr>
              <w:spacing w:line="240" w:lineRule="auto"/>
              <w:rPr>
                <w:sz w:val="14"/>
                <w:szCs w:val="14"/>
              </w:rPr>
            </w:pPr>
            <w:r w:rsidRPr="00BF62A1">
              <w:rPr>
                <w:sz w:val="14"/>
                <w:szCs w:val="14"/>
              </w:rPr>
              <w:t>-</w:t>
            </w:r>
          </w:p>
        </w:tc>
        <w:tc>
          <w:tcPr>
            <w:tcW w:w="626" w:type="pct"/>
            <w:tcBorders>
              <w:top w:val="single" w:sz="8" w:space="0" w:color="auto"/>
              <w:left w:val="single" w:sz="4" w:space="0" w:color="auto"/>
              <w:bottom w:val="single" w:sz="4" w:space="0" w:color="auto"/>
              <w:right w:val="single" w:sz="4" w:space="0" w:color="auto"/>
            </w:tcBorders>
          </w:tcPr>
          <w:p w14:paraId="24587FE1" w14:textId="77777777" w:rsidR="000F0341" w:rsidRPr="00832E0E" w:rsidRDefault="000F0341" w:rsidP="00E40B0D">
            <w:pPr>
              <w:spacing w:line="240" w:lineRule="auto"/>
              <w:rPr>
                <w:sz w:val="14"/>
                <w:szCs w:val="14"/>
              </w:rPr>
            </w:pPr>
            <w:r w:rsidRPr="00BF62A1">
              <w:rPr>
                <w:sz w:val="14"/>
                <w:szCs w:val="14"/>
              </w:rPr>
              <w:t>Low</w:t>
            </w:r>
          </w:p>
        </w:tc>
        <w:tc>
          <w:tcPr>
            <w:tcW w:w="704" w:type="pct"/>
            <w:tcBorders>
              <w:top w:val="single" w:sz="8" w:space="0" w:color="auto"/>
              <w:left w:val="single" w:sz="4" w:space="0" w:color="auto"/>
              <w:right w:val="single" w:sz="4" w:space="0" w:color="auto"/>
            </w:tcBorders>
          </w:tcPr>
          <w:p w14:paraId="722E9122" w14:textId="77777777" w:rsidR="000F0341" w:rsidRPr="00832E0E" w:rsidRDefault="000F0341" w:rsidP="00E40B0D">
            <w:pPr>
              <w:spacing w:line="240" w:lineRule="auto"/>
              <w:rPr>
                <w:sz w:val="14"/>
                <w:szCs w:val="14"/>
              </w:rPr>
            </w:pPr>
            <w:r w:rsidRPr="00BF62A1">
              <w:rPr>
                <w:sz w:val="14"/>
                <w:szCs w:val="14"/>
              </w:rPr>
              <w:t>&lt;40</w:t>
            </w:r>
          </w:p>
        </w:tc>
        <w:tc>
          <w:tcPr>
            <w:tcW w:w="707" w:type="pct"/>
            <w:tcBorders>
              <w:top w:val="single" w:sz="8" w:space="0" w:color="auto"/>
              <w:left w:val="single" w:sz="4" w:space="0" w:color="auto"/>
              <w:right w:val="single" w:sz="4" w:space="0" w:color="auto"/>
            </w:tcBorders>
          </w:tcPr>
          <w:p w14:paraId="7F82C09B" w14:textId="77777777" w:rsidR="000F0341" w:rsidRPr="00832E0E" w:rsidRDefault="000F0341" w:rsidP="00E40B0D">
            <w:pPr>
              <w:spacing w:line="240" w:lineRule="auto"/>
              <w:rPr>
                <w:sz w:val="14"/>
                <w:szCs w:val="14"/>
              </w:rPr>
            </w:pPr>
            <w:r w:rsidRPr="00BF62A1">
              <w:rPr>
                <w:sz w:val="14"/>
                <w:szCs w:val="14"/>
              </w:rPr>
              <w:t>&lt;12</w:t>
            </w:r>
          </w:p>
        </w:tc>
        <w:tc>
          <w:tcPr>
            <w:tcW w:w="780" w:type="pct"/>
            <w:vMerge w:val="restart"/>
            <w:tcBorders>
              <w:top w:val="single" w:sz="8" w:space="0" w:color="auto"/>
              <w:left w:val="single" w:sz="4" w:space="0" w:color="auto"/>
              <w:right w:val="single" w:sz="4" w:space="0" w:color="auto"/>
            </w:tcBorders>
          </w:tcPr>
          <w:p w14:paraId="5623F2DE" w14:textId="77777777" w:rsidR="000F0341" w:rsidRPr="00832E0E" w:rsidRDefault="000F0341" w:rsidP="00E40B0D">
            <w:pPr>
              <w:spacing w:line="240" w:lineRule="auto"/>
              <w:rPr>
                <w:sz w:val="14"/>
                <w:szCs w:val="14"/>
              </w:rPr>
            </w:pPr>
            <w:r w:rsidRPr="00BF62A1">
              <w:rPr>
                <w:sz w:val="14"/>
                <w:szCs w:val="14"/>
              </w:rPr>
              <w:t>-</w:t>
            </w:r>
          </w:p>
        </w:tc>
        <w:tc>
          <w:tcPr>
            <w:tcW w:w="621" w:type="pct"/>
            <w:tcBorders>
              <w:top w:val="single" w:sz="8" w:space="0" w:color="auto"/>
              <w:left w:val="single" w:sz="4" w:space="0" w:color="auto"/>
              <w:right w:val="single" w:sz="4" w:space="0" w:color="auto"/>
            </w:tcBorders>
          </w:tcPr>
          <w:p w14:paraId="3C291287" w14:textId="77777777" w:rsidR="000F0341" w:rsidRPr="00832E0E" w:rsidRDefault="000F0341" w:rsidP="00E40B0D">
            <w:pPr>
              <w:spacing w:line="240" w:lineRule="auto"/>
              <w:rPr>
                <w:sz w:val="14"/>
                <w:szCs w:val="14"/>
              </w:rPr>
            </w:pPr>
            <w:r w:rsidRPr="00BF62A1">
              <w:rPr>
                <w:sz w:val="14"/>
                <w:szCs w:val="14"/>
              </w:rPr>
              <w:t>- / 27</w:t>
            </w:r>
          </w:p>
        </w:tc>
      </w:tr>
      <w:tr w:rsidR="000F0341" w:rsidRPr="00832E0E" w14:paraId="669F0F64" w14:textId="77777777" w:rsidTr="00E40B0D">
        <w:trPr>
          <w:trHeight w:val="20"/>
        </w:trPr>
        <w:tc>
          <w:tcPr>
            <w:tcW w:w="865" w:type="pct"/>
            <w:vMerge/>
            <w:tcBorders>
              <w:left w:val="single" w:sz="4" w:space="0" w:color="auto"/>
              <w:right w:val="single" w:sz="4" w:space="0" w:color="auto"/>
            </w:tcBorders>
          </w:tcPr>
          <w:p w14:paraId="5C6EED5E" w14:textId="77777777" w:rsidR="000F0341" w:rsidRPr="00832E0E" w:rsidRDefault="000F0341" w:rsidP="00E40B0D">
            <w:pPr>
              <w:spacing w:line="240" w:lineRule="auto"/>
              <w:rPr>
                <w:color w:val="000000"/>
                <w:sz w:val="14"/>
                <w:szCs w:val="14"/>
              </w:rPr>
            </w:pPr>
          </w:p>
        </w:tc>
        <w:tc>
          <w:tcPr>
            <w:tcW w:w="464" w:type="pct"/>
            <w:vMerge/>
            <w:tcBorders>
              <w:left w:val="single" w:sz="4" w:space="0" w:color="auto"/>
              <w:right w:val="single" w:sz="4" w:space="0" w:color="auto"/>
            </w:tcBorders>
          </w:tcPr>
          <w:p w14:paraId="26950937" w14:textId="77777777" w:rsidR="000F0341" w:rsidRPr="00832E0E" w:rsidRDefault="000F0341" w:rsidP="00E40B0D">
            <w:pPr>
              <w:spacing w:line="240" w:lineRule="auto"/>
              <w:rPr>
                <w:sz w:val="14"/>
                <w:szCs w:val="14"/>
              </w:rPr>
            </w:pPr>
          </w:p>
        </w:tc>
        <w:tc>
          <w:tcPr>
            <w:tcW w:w="234" w:type="pct"/>
            <w:vMerge/>
            <w:tcBorders>
              <w:left w:val="single" w:sz="4" w:space="0" w:color="auto"/>
              <w:right w:val="single" w:sz="4" w:space="0" w:color="auto"/>
            </w:tcBorders>
          </w:tcPr>
          <w:p w14:paraId="3E8F4332" w14:textId="77777777" w:rsidR="000F0341" w:rsidRPr="00832E0E" w:rsidRDefault="000F0341" w:rsidP="00E40B0D">
            <w:pPr>
              <w:spacing w:line="240" w:lineRule="auto"/>
              <w:rPr>
                <w:sz w:val="14"/>
                <w:szCs w:val="14"/>
              </w:rPr>
            </w:pPr>
          </w:p>
        </w:tc>
        <w:tc>
          <w:tcPr>
            <w:tcW w:w="626" w:type="pct"/>
            <w:tcBorders>
              <w:top w:val="single" w:sz="4" w:space="0" w:color="auto"/>
              <w:left w:val="single" w:sz="4" w:space="0" w:color="auto"/>
              <w:bottom w:val="single" w:sz="4" w:space="0" w:color="auto"/>
              <w:right w:val="single" w:sz="4" w:space="0" w:color="auto"/>
            </w:tcBorders>
          </w:tcPr>
          <w:p w14:paraId="1911A231" w14:textId="77777777" w:rsidR="000F0341" w:rsidRPr="00832E0E" w:rsidRDefault="000F0341" w:rsidP="00E40B0D">
            <w:pPr>
              <w:spacing w:line="240" w:lineRule="auto"/>
              <w:rPr>
                <w:sz w:val="14"/>
                <w:szCs w:val="14"/>
              </w:rPr>
            </w:pPr>
            <w:r w:rsidRPr="00BF62A1">
              <w:rPr>
                <w:sz w:val="14"/>
                <w:szCs w:val="14"/>
              </w:rPr>
              <w:t>Intermediate</w:t>
            </w:r>
          </w:p>
        </w:tc>
        <w:tc>
          <w:tcPr>
            <w:tcW w:w="704" w:type="pct"/>
            <w:tcBorders>
              <w:left w:val="single" w:sz="4" w:space="0" w:color="auto"/>
              <w:right w:val="single" w:sz="4" w:space="0" w:color="auto"/>
            </w:tcBorders>
          </w:tcPr>
          <w:p w14:paraId="54880126" w14:textId="77777777" w:rsidR="000F0341" w:rsidRPr="00832E0E" w:rsidRDefault="000F0341" w:rsidP="00E40B0D">
            <w:pPr>
              <w:spacing w:line="240" w:lineRule="auto"/>
              <w:rPr>
                <w:sz w:val="14"/>
                <w:szCs w:val="14"/>
              </w:rPr>
            </w:pPr>
            <w:r w:rsidRPr="00BF62A1">
              <w:rPr>
                <w:sz w:val="14"/>
                <w:szCs w:val="14"/>
              </w:rPr>
              <w:t>40-100</w:t>
            </w:r>
          </w:p>
        </w:tc>
        <w:tc>
          <w:tcPr>
            <w:tcW w:w="707" w:type="pct"/>
            <w:tcBorders>
              <w:left w:val="single" w:sz="4" w:space="0" w:color="auto"/>
              <w:right w:val="single" w:sz="4" w:space="0" w:color="auto"/>
            </w:tcBorders>
          </w:tcPr>
          <w:p w14:paraId="00A0F65C" w14:textId="77777777" w:rsidR="000F0341" w:rsidRPr="00832E0E" w:rsidRDefault="000F0341" w:rsidP="00E40B0D">
            <w:pPr>
              <w:spacing w:line="240" w:lineRule="auto"/>
              <w:rPr>
                <w:sz w:val="14"/>
                <w:szCs w:val="14"/>
              </w:rPr>
            </w:pPr>
            <w:r w:rsidRPr="00BF62A1">
              <w:rPr>
                <w:sz w:val="14"/>
                <w:szCs w:val="14"/>
              </w:rPr>
              <w:t>12-38</w:t>
            </w:r>
          </w:p>
        </w:tc>
        <w:tc>
          <w:tcPr>
            <w:tcW w:w="780" w:type="pct"/>
            <w:vMerge/>
            <w:tcBorders>
              <w:left w:val="single" w:sz="4" w:space="0" w:color="auto"/>
              <w:right w:val="single" w:sz="4" w:space="0" w:color="auto"/>
            </w:tcBorders>
          </w:tcPr>
          <w:p w14:paraId="3A17DBF3" w14:textId="77777777" w:rsidR="000F0341" w:rsidRPr="00832E0E" w:rsidRDefault="000F0341" w:rsidP="00E40B0D">
            <w:pPr>
              <w:spacing w:line="240" w:lineRule="auto"/>
              <w:rPr>
                <w:sz w:val="14"/>
                <w:szCs w:val="14"/>
              </w:rPr>
            </w:pPr>
          </w:p>
        </w:tc>
        <w:tc>
          <w:tcPr>
            <w:tcW w:w="621" w:type="pct"/>
            <w:tcBorders>
              <w:left w:val="single" w:sz="4" w:space="0" w:color="auto"/>
              <w:right w:val="single" w:sz="4" w:space="0" w:color="auto"/>
            </w:tcBorders>
          </w:tcPr>
          <w:p w14:paraId="405DB96B" w14:textId="77777777" w:rsidR="000F0341" w:rsidRPr="00832E0E" w:rsidRDefault="000F0341" w:rsidP="00E40B0D">
            <w:pPr>
              <w:spacing w:line="240" w:lineRule="auto"/>
              <w:rPr>
                <w:sz w:val="14"/>
                <w:szCs w:val="14"/>
              </w:rPr>
            </w:pPr>
            <w:r w:rsidRPr="00BF62A1">
              <w:rPr>
                <w:sz w:val="14"/>
                <w:szCs w:val="14"/>
              </w:rPr>
              <w:t>- / 13</w:t>
            </w:r>
          </w:p>
        </w:tc>
      </w:tr>
      <w:tr w:rsidR="000F0341" w:rsidRPr="00832E0E" w14:paraId="6EA46A0B" w14:textId="77777777" w:rsidTr="00E40B0D">
        <w:trPr>
          <w:trHeight w:val="20"/>
        </w:trPr>
        <w:tc>
          <w:tcPr>
            <w:tcW w:w="865" w:type="pct"/>
            <w:vMerge/>
            <w:tcBorders>
              <w:left w:val="single" w:sz="4" w:space="0" w:color="auto"/>
              <w:bottom w:val="single" w:sz="4" w:space="0" w:color="auto"/>
              <w:right w:val="single" w:sz="4" w:space="0" w:color="auto"/>
            </w:tcBorders>
          </w:tcPr>
          <w:p w14:paraId="7F1E6124" w14:textId="77777777" w:rsidR="000F0341" w:rsidRPr="00832E0E" w:rsidRDefault="000F0341" w:rsidP="00E40B0D">
            <w:pPr>
              <w:spacing w:line="240" w:lineRule="auto"/>
              <w:rPr>
                <w:color w:val="000000"/>
                <w:sz w:val="14"/>
                <w:szCs w:val="14"/>
              </w:rPr>
            </w:pPr>
          </w:p>
        </w:tc>
        <w:tc>
          <w:tcPr>
            <w:tcW w:w="464" w:type="pct"/>
            <w:vMerge/>
            <w:tcBorders>
              <w:left w:val="single" w:sz="4" w:space="0" w:color="auto"/>
              <w:bottom w:val="single" w:sz="4" w:space="0" w:color="auto"/>
              <w:right w:val="single" w:sz="4" w:space="0" w:color="auto"/>
            </w:tcBorders>
          </w:tcPr>
          <w:p w14:paraId="4B819EE9" w14:textId="77777777" w:rsidR="000F0341" w:rsidRPr="00832E0E" w:rsidRDefault="000F0341" w:rsidP="00E40B0D">
            <w:pPr>
              <w:spacing w:line="240" w:lineRule="auto"/>
              <w:rPr>
                <w:sz w:val="14"/>
                <w:szCs w:val="14"/>
              </w:rPr>
            </w:pPr>
          </w:p>
        </w:tc>
        <w:tc>
          <w:tcPr>
            <w:tcW w:w="234" w:type="pct"/>
            <w:vMerge/>
            <w:tcBorders>
              <w:left w:val="single" w:sz="4" w:space="0" w:color="auto"/>
              <w:bottom w:val="single" w:sz="4" w:space="0" w:color="auto"/>
              <w:right w:val="single" w:sz="4" w:space="0" w:color="auto"/>
            </w:tcBorders>
          </w:tcPr>
          <w:p w14:paraId="46BA1BCC" w14:textId="77777777" w:rsidR="000F0341" w:rsidRPr="00832E0E" w:rsidRDefault="000F0341" w:rsidP="00E40B0D">
            <w:pPr>
              <w:spacing w:line="240" w:lineRule="auto"/>
              <w:rPr>
                <w:sz w:val="14"/>
                <w:szCs w:val="14"/>
              </w:rPr>
            </w:pPr>
          </w:p>
        </w:tc>
        <w:tc>
          <w:tcPr>
            <w:tcW w:w="626" w:type="pct"/>
            <w:tcBorders>
              <w:top w:val="single" w:sz="4" w:space="0" w:color="auto"/>
              <w:left w:val="single" w:sz="4" w:space="0" w:color="auto"/>
              <w:bottom w:val="single" w:sz="4" w:space="0" w:color="auto"/>
              <w:right w:val="single" w:sz="4" w:space="0" w:color="auto"/>
            </w:tcBorders>
          </w:tcPr>
          <w:p w14:paraId="6CC94210" w14:textId="77777777" w:rsidR="000F0341" w:rsidRPr="00832E0E" w:rsidRDefault="000F0341" w:rsidP="00E40B0D">
            <w:pPr>
              <w:spacing w:line="240" w:lineRule="auto"/>
              <w:rPr>
                <w:sz w:val="14"/>
                <w:szCs w:val="14"/>
              </w:rPr>
            </w:pPr>
            <w:r w:rsidRPr="00BF62A1">
              <w:rPr>
                <w:sz w:val="14"/>
                <w:szCs w:val="14"/>
              </w:rPr>
              <w:t>High</w:t>
            </w:r>
          </w:p>
        </w:tc>
        <w:tc>
          <w:tcPr>
            <w:tcW w:w="704" w:type="pct"/>
            <w:tcBorders>
              <w:left w:val="single" w:sz="4" w:space="0" w:color="auto"/>
              <w:bottom w:val="single" w:sz="4" w:space="0" w:color="auto"/>
              <w:right w:val="single" w:sz="4" w:space="0" w:color="auto"/>
            </w:tcBorders>
          </w:tcPr>
          <w:p w14:paraId="7FF861A9" w14:textId="77777777" w:rsidR="000F0341" w:rsidRPr="00832E0E" w:rsidRDefault="000F0341" w:rsidP="00E40B0D">
            <w:pPr>
              <w:spacing w:line="240" w:lineRule="auto"/>
              <w:rPr>
                <w:sz w:val="14"/>
                <w:szCs w:val="14"/>
              </w:rPr>
            </w:pPr>
            <w:r w:rsidRPr="00BF62A1">
              <w:rPr>
                <w:sz w:val="14"/>
                <w:szCs w:val="14"/>
              </w:rPr>
              <w:t>&gt;100</w:t>
            </w:r>
          </w:p>
        </w:tc>
        <w:tc>
          <w:tcPr>
            <w:tcW w:w="707" w:type="pct"/>
            <w:tcBorders>
              <w:left w:val="single" w:sz="4" w:space="0" w:color="auto"/>
              <w:bottom w:val="single" w:sz="4" w:space="0" w:color="auto"/>
              <w:right w:val="single" w:sz="4" w:space="0" w:color="auto"/>
            </w:tcBorders>
          </w:tcPr>
          <w:p w14:paraId="76C7885A" w14:textId="77777777" w:rsidR="000F0341" w:rsidRPr="00832E0E" w:rsidRDefault="000F0341" w:rsidP="00E40B0D">
            <w:pPr>
              <w:spacing w:line="240" w:lineRule="auto"/>
              <w:rPr>
                <w:sz w:val="14"/>
                <w:szCs w:val="14"/>
              </w:rPr>
            </w:pPr>
            <w:r w:rsidRPr="00BF62A1">
              <w:rPr>
                <w:sz w:val="14"/>
                <w:szCs w:val="14"/>
              </w:rPr>
              <w:sym w:font="Symbol" w:char="F03E"/>
            </w:r>
            <w:r w:rsidRPr="00832E0E">
              <w:rPr>
                <w:sz w:val="14"/>
                <w:szCs w:val="14"/>
              </w:rPr>
              <w:t>38</w:t>
            </w:r>
          </w:p>
        </w:tc>
        <w:tc>
          <w:tcPr>
            <w:tcW w:w="780" w:type="pct"/>
            <w:vMerge/>
            <w:tcBorders>
              <w:left w:val="single" w:sz="4" w:space="0" w:color="auto"/>
              <w:bottom w:val="single" w:sz="4" w:space="0" w:color="auto"/>
              <w:right w:val="single" w:sz="4" w:space="0" w:color="auto"/>
            </w:tcBorders>
          </w:tcPr>
          <w:p w14:paraId="5FC6DD8E" w14:textId="77777777" w:rsidR="000F0341" w:rsidRPr="00832E0E" w:rsidRDefault="000F0341" w:rsidP="00E40B0D">
            <w:pPr>
              <w:spacing w:line="240" w:lineRule="auto"/>
              <w:rPr>
                <w:sz w:val="14"/>
                <w:szCs w:val="14"/>
              </w:rPr>
            </w:pPr>
          </w:p>
        </w:tc>
        <w:tc>
          <w:tcPr>
            <w:tcW w:w="621" w:type="pct"/>
            <w:tcBorders>
              <w:left w:val="single" w:sz="4" w:space="0" w:color="auto"/>
              <w:bottom w:val="single" w:sz="4" w:space="0" w:color="auto"/>
              <w:right w:val="single" w:sz="4" w:space="0" w:color="auto"/>
            </w:tcBorders>
          </w:tcPr>
          <w:p w14:paraId="6B2E69F9" w14:textId="77777777" w:rsidR="000F0341" w:rsidRPr="00832E0E" w:rsidRDefault="000F0341" w:rsidP="00E40B0D">
            <w:pPr>
              <w:spacing w:line="240" w:lineRule="auto"/>
              <w:rPr>
                <w:sz w:val="14"/>
                <w:szCs w:val="14"/>
              </w:rPr>
            </w:pPr>
            <w:r w:rsidRPr="00BF62A1">
              <w:rPr>
                <w:sz w:val="14"/>
                <w:szCs w:val="14"/>
              </w:rPr>
              <w:t>- / 10</w:t>
            </w:r>
          </w:p>
        </w:tc>
      </w:tr>
    </w:tbl>
    <w:p w14:paraId="34851A1D" w14:textId="77777777" w:rsidR="000F0341" w:rsidRDefault="000F0341" w:rsidP="000F0341">
      <w:pPr>
        <w:spacing w:line="240" w:lineRule="auto"/>
        <w:ind w:left="-567"/>
        <w:rPr>
          <w:color w:val="000000" w:themeColor="text1"/>
          <w:sz w:val="14"/>
          <w:szCs w:val="14"/>
        </w:rPr>
      </w:pPr>
      <w:r w:rsidRPr="00BF62A1">
        <w:rPr>
          <w:i/>
          <w:iCs/>
          <w:sz w:val="14"/>
          <w:szCs w:val="14"/>
        </w:rPr>
        <w:t xml:space="preserve">H </w:t>
      </w:r>
      <w:r w:rsidRPr="00BF62A1">
        <w:rPr>
          <w:sz w:val="14"/>
          <w:szCs w:val="14"/>
        </w:rPr>
        <w:t xml:space="preserve">Hospital, </w:t>
      </w:r>
      <w:r w:rsidRPr="00BF62A1">
        <w:rPr>
          <w:i/>
          <w:iCs/>
          <w:sz w:val="14"/>
          <w:szCs w:val="14"/>
        </w:rPr>
        <w:t xml:space="preserve">S </w:t>
      </w:r>
      <w:r w:rsidRPr="00BF62A1">
        <w:rPr>
          <w:sz w:val="14"/>
          <w:szCs w:val="14"/>
        </w:rPr>
        <w:t>Surgeon;</w:t>
      </w:r>
      <w:r w:rsidRPr="00BF62A1">
        <w:rPr>
          <w:sz w:val="14"/>
          <w:szCs w:val="14"/>
          <w:vertAlign w:val="superscript"/>
        </w:rPr>
        <w:t xml:space="preserve"> a</w:t>
      </w:r>
      <w:r w:rsidRPr="00BF62A1">
        <w:rPr>
          <w:sz w:val="14"/>
          <w:szCs w:val="14"/>
        </w:rPr>
        <w:t xml:space="preserve"> self-calculated; </w:t>
      </w:r>
      <w:r w:rsidRPr="00BF62A1">
        <w:rPr>
          <w:sz w:val="14"/>
          <w:szCs w:val="14"/>
          <w:vertAlign w:val="superscript"/>
        </w:rPr>
        <w:t>b</w:t>
      </w:r>
      <w:r w:rsidRPr="00BF62A1">
        <w:rPr>
          <w:sz w:val="14"/>
          <w:szCs w:val="14"/>
        </w:rPr>
        <w:t xml:space="preserve"> PSM; </w:t>
      </w:r>
      <w:r w:rsidRPr="00BF62A1">
        <w:rPr>
          <w:sz w:val="14"/>
          <w:szCs w:val="14"/>
          <w:vertAlign w:val="superscript"/>
        </w:rPr>
        <w:t>c</w:t>
      </w:r>
      <w:r w:rsidRPr="00BF62A1">
        <w:rPr>
          <w:sz w:val="14"/>
          <w:szCs w:val="14"/>
        </w:rPr>
        <w:t xml:space="preserve"> </w:t>
      </w:r>
      <w:r w:rsidRPr="00BF62A1">
        <w:rPr>
          <w:color w:val="000000" w:themeColor="text1"/>
          <w:sz w:val="14"/>
          <w:szCs w:val="14"/>
        </w:rPr>
        <w:t xml:space="preserve">July-December; </w:t>
      </w:r>
      <w:r w:rsidRPr="00BF62A1">
        <w:rPr>
          <w:color w:val="000000" w:themeColor="text1"/>
          <w:sz w:val="14"/>
          <w:szCs w:val="14"/>
          <w:vertAlign w:val="superscript"/>
        </w:rPr>
        <w:t>d</w:t>
      </w:r>
      <w:r w:rsidRPr="00BF62A1">
        <w:rPr>
          <w:color w:val="000000" w:themeColor="text1"/>
          <w:sz w:val="14"/>
          <w:szCs w:val="14"/>
        </w:rPr>
        <w:t xml:space="preserve"> November</w:t>
      </w:r>
      <w:r>
        <w:rPr>
          <w:color w:val="000000" w:themeColor="text1"/>
          <w:sz w:val="14"/>
          <w:szCs w:val="14"/>
        </w:rPr>
        <w:t>-</w:t>
      </w:r>
      <w:r w:rsidRPr="00BF62A1">
        <w:rPr>
          <w:color w:val="000000" w:themeColor="text1"/>
          <w:sz w:val="14"/>
          <w:szCs w:val="14"/>
        </w:rPr>
        <w:t xml:space="preserve">May; </w:t>
      </w:r>
      <w:r w:rsidRPr="00BF62A1">
        <w:rPr>
          <w:color w:val="000000" w:themeColor="text1"/>
          <w:sz w:val="14"/>
          <w:szCs w:val="14"/>
          <w:vertAlign w:val="superscript"/>
        </w:rPr>
        <w:t>e</w:t>
      </w:r>
      <w:r w:rsidRPr="00BF62A1">
        <w:rPr>
          <w:color w:val="000000" w:themeColor="text1"/>
          <w:sz w:val="14"/>
          <w:szCs w:val="14"/>
        </w:rPr>
        <w:t xml:space="preserve"> reported/year, available from digital appendix; </w:t>
      </w:r>
      <w:r w:rsidRPr="00BF62A1">
        <w:rPr>
          <w:sz w:val="14"/>
          <w:szCs w:val="14"/>
          <w:vertAlign w:val="superscript"/>
        </w:rPr>
        <w:t>1</w:t>
      </w:r>
      <w:r w:rsidRPr="00BF62A1">
        <w:rPr>
          <w:sz w:val="14"/>
          <w:szCs w:val="14"/>
        </w:rPr>
        <w:t xml:space="preserve"> Cases/6-years: </w:t>
      </w:r>
      <w:r w:rsidRPr="00BF62A1">
        <w:rPr>
          <w:sz w:val="14"/>
          <w:szCs w:val="14"/>
        </w:rPr>
        <w:br/>
      </w:r>
      <w:r w:rsidRPr="00BF62A1">
        <w:rPr>
          <w:sz w:val="14"/>
          <w:szCs w:val="14"/>
          <w:vertAlign w:val="superscript"/>
        </w:rPr>
        <w:t>2</w:t>
      </w:r>
      <w:r w:rsidRPr="00BF62A1">
        <w:rPr>
          <w:sz w:val="14"/>
          <w:szCs w:val="14"/>
        </w:rPr>
        <w:t xml:space="preserve"> Cases/10-years; </w:t>
      </w:r>
      <w:r w:rsidRPr="00BF62A1">
        <w:rPr>
          <w:sz w:val="14"/>
          <w:szCs w:val="14"/>
          <w:vertAlign w:val="superscript"/>
        </w:rPr>
        <w:t>3</w:t>
      </w:r>
      <w:r w:rsidRPr="00BF62A1">
        <w:rPr>
          <w:sz w:val="14"/>
          <w:szCs w:val="14"/>
        </w:rPr>
        <w:t xml:space="preserve"> Minimally invasive cases/month; </w:t>
      </w:r>
      <w:r w:rsidRPr="00BF62A1">
        <w:rPr>
          <w:sz w:val="14"/>
          <w:szCs w:val="14"/>
          <w:vertAlign w:val="superscript"/>
        </w:rPr>
        <w:t>4</w:t>
      </w:r>
      <w:r w:rsidRPr="00BF62A1">
        <w:rPr>
          <w:sz w:val="14"/>
          <w:szCs w:val="14"/>
        </w:rPr>
        <w:t xml:space="preserve"> Minimally and open surgery cases per year; </w:t>
      </w:r>
      <w:r w:rsidRPr="00BF62A1">
        <w:rPr>
          <w:sz w:val="14"/>
          <w:szCs w:val="14"/>
          <w:vertAlign w:val="superscript"/>
        </w:rPr>
        <w:t>5</w:t>
      </w:r>
      <w:r w:rsidRPr="00BF62A1">
        <w:rPr>
          <w:color w:val="000000" w:themeColor="text1"/>
          <w:sz w:val="14"/>
          <w:szCs w:val="14"/>
        </w:rPr>
        <w:t xml:space="preserve"> Study included 13222 patients: 13100 open surgery, 1112 MILS</w:t>
      </w:r>
      <w:bookmarkEnd w:id="2"/>
    </w:p>
    <w:p w14:paraId="71479696" w14:textId="77777777" w:rsidR="000F0341" w:rsidRDefault="000F0341" w:rsidP="000F0341">
      <w:pPr>
        <w:spacing w:line="240" w:lineRule="auto"/>
        <w:ind w:left="-567"/>
        <w:rPr>
          <w:i/>
          <w:iCs/>
          <w:sz w:val="14"/>
          <w:szCs w:val="14"/>
        </w:rPr>
      </w:pPr>
    </w:p>
    <w:p w14:paraId="6268E057" w14:textId="77777777" w:rsidR="000F0341" w:rsidRDefault="000F0341" w:rsidP="000F0341">
      <w:pPr>
        <w:spacing w:line="240" w:lineRule="auto"/>
        <w:jc w:val="left"/>
        <w:rPr>
          <w:i/>
          <w:iCs/>
          <w:sz w:val="14"/>
          <w:szCs w:val="14"/>
        </w:rPr>
      </w:pPr>
      <w:r>
        <w:rPr>
          <w:i/>
          <w:iCs/>
          <w:sz w:val="14"/>
          <w:szCs w:val="14"/>
        </w:rPr>
        <w:br w:type="page"/>
      </w:r>
    </w:p>
    <w:p w14:paraId="6C736084" w14:textId="77777777" w:rsidR="000F0341" w:rsidRPr="008533D9" w:rsidRDefault="000F0341" w:rsidP="000F0341">
      <w:pPr>
        <w:pStyle w:val="Heading1"/>
        <w:numPr>
          <w:ilvl w:val="0"/>
          <w:numId w:val="0"/>
        </w:numPr>
        <w:ind w:left="-135" w:hanging="432"/>
        <w:rPr>
          <w:rFonts w:cs="Times New Roman"/>
          <w:sz w:val="24"/>
          <w:szCs w:val="24"/>
        </w:rPr>
      </w:pPr>
      <w:r w:rsidRPr="008533D9">
        <w:rPr>
          <w:rFonts w:cs="Times New Roman"/>
          <w:sz w:val="24"/>
          <w:szCs w:val="24"/>
        </w:rPr>
        <w:lastRenderedPageBreak/>
        <w:t xml:space="preserve">Appendix </w:t>
      </w:r>
      <w:r>
        <w:rPr>
          <w:rFonts w:cs="Times New Roman"/>
          <w:sz w:val="24"/>
          <w:szCs w:val="24"/>
        </w:rPr>
        <w:t>5</w:t>
      </w:r>
      <w:r w:rsidRPr="008533D9">
        <w:rPr>
          <w:rFonts w:cs="Times New Roman"/>
          <w:sz w:val="24"/>
          <w:szCs w:val="24"/>
        </w:rPr>
        <w:t xml:space="preserve">: Hospital volume level mortality results, stratified by mortality type </w:t>
      </w:r>
    </w:p>
    <w:tbl>
      <w:tblPr>
        <w:tblpPr w:leftFromText="180" w:rightFromText="180" w:vertAnchor="text" w:tblpX="-303"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00" w:firstRow="0" w:lastRow="0" w:firstColumn="0" w:lastColumn="0" w:noHBand="1" w:noVBand="1"/>
      </w:tblPr>
      <w:tblGrid>
        <w:gridCol w:w="1129"/>
        <w:gridCol w:w="5954"/>
        <w:gridCol w:w="1276"/>
        <w:gridCol w:w="997"/>
      </w:tblGrid>
      <w:tr w:rsidR="000F0341" w:rsidRPr="00BF62A1" w14:paraId="4A247BB8" w14:textId="77777777" w:rsidTr="00E40B0D">
        <w:trPr>
          <w:trHeight w:val="20"/>
        </w:trPr>
        <w:tc>
          <w:tcPr>
            <w:tcW w:w="1129" w:type="dxa"/>
            <w:vMerge w:val="restart"/>
            <w:vAlign w:val="center"/>
          </w:tcPr>
          <w:p w14:paraId="214A8BE9" w14:textId="77777777" w:rsidR="000F0341" w:rsidRPr="00C47DDC" w:rsidRDefault="000F0341" w:rsidP="00E40B0D">
            <w:pPr>
              <w:spacing w:line="240" w:lineRule="auto"/>
              <w:jc w:val="center"/>
              <w:rPr>
                <w:b/>
                <w:bCs/>
                <w:color w:val="000000"/>
                <w:sz w:val="14"/>
                <w:szCs w:val="14"/>
              </w:rPr>
            </w:pPr>
            <w:r w:rsidRPr="00C47DDC">
              <w:rPr>
                <w:b/>
                <w:bCs/>
                <w:color w:val="000000"/>
                <w:sz w:val="14"/>
                <w:szCs w:val="14"/>
              </w:rPr>
              <w:t>First author and year of publication</w:t>
            </w:r>
          </w:p>
        </w:tc>
        <w:tc>
          <w:tcPr>
            <w:tcW w:w="5954" w:type="dxa"/>
            <w:vMerge w:val="restart"/>
            <w:vAlign w:val="center"/>
          </w:tcPr>
          <w:p w14:paraId="43E6291C" w14:textId="77777777" w:rsidR="000F0341" w:rsidRPr="00C47DDC" w:rsidRDefault="000F0341" w:rsidP="00E40B0D">
            <w:pPr>
              <w:spacing w:line="240" w:lineRule="auto"/>
              <w:jc w:val="center"/>
              <w:rPr>
                <w:b/>
                <w:bCs/>
                <w:color w:val="000000"/>
                <w:sz w:val="14"/>
                <w:szCs w:val="14"/>
              </w:rPr>
            </w:pPr>
            <w:r>
              <w:rPr>
                <w:b/>
                <w:bCs/>
                <w:color w:val="000000"/>
                <w:sz w:val="14"/>
                <w:szCs w:val="14"/>
              </w:rPr>
              <w:t>Hospital Mortality / FTR</w:t>
            </w:r>
          </w:p>
        </w:tc>
        <w:tc>
          <w:tcPr>
            <w:tcW w:w="2273" w:type="dxa"/>
            <w:gridSpan w:val="2"/>
            <w:vAlign w:val="center"/>
          </w:tcPr>
          <w:p w14:paraId="6FC3EB3D" w14:textId="77777777" w:rsidR="000F0341" w:rsidRPr="00C47DDC" w:rsidRDefault="000F0341" w:rsidP="00E40B0D">
            <w:pPr>
              <w:spacing w:line="276" w:lineRule="auto"/>
              <w:jc w:val="center"/>
              <w:rPr>
                <w:b/>
                <w:bCs/>
                <w:color w:val="000000"/>
                <w:sz w:val="14"/>
                <w:szCs w:val="14"/>
              </w:rPr>
            </w:pPr>
            <w:r w:rsidRPr="00C47DDC">
              <w:rPr>
                <w:b/>
                <w:sz w:val="14"/>
                <w:szCs w:val="14"/>
              </w:rPr>
              <w:t>Quality</w:t>
            </w:r>
            <w:r w:rsidRPr="00C47DDC">
              <w:rPr>
                <w:bCs/>
                <w:sz w:val="14"/>
                <w:szCs w:val="14"/>
              </w:rPr>
              <w:t xml:space="preserve"> </w:t>
            </w:r>
            <w:r w:rsidRPr="00C47DDC">
              <w:rPr>
                <w:b/>
                <w:sz w:val="14"/>
                <w:szCs w:val="14"/>
              </w:rPr>
              <w:t>appraisal</w:t>
            </w:r>
          </w:p>
        </w:tc>
      </w:tr>
      <w:tr w:rsidR="000F0341" w:rsidRPr="00BF62A1" w14:paraId="65BA0D03" w14:textId="77777777" w:rsidTr="00E40B0D">
        <w:trPr>
          <w:trHeight w:val="20"/>
        </w:trPr>
        <w:tc>
          <w:tcPr>
            <w:tcW w:w="1129" w:type="dxa"/>
            <w:vMerge/>
            <w:vAlign w:val="center"/>
            <w:hideMark/>
          </w:tcPr>
          <w:p w14:paraId="74AB25B8" w14:textId="77777777" w:rsidR="000F0341" w:rsidRPr="00BF62A1" w:rsidRDefault="000F0341" w:rsidP="00E40B0D">
            <w:pPr>
              <w:spacing w:line="240" w:lineRule="auto"/>
              <w:jc w:val="center"/>
              <w:rPr>
                <w:b/>
                <w:bCs/>
                <w:color w:val="000000"/>
                <w:sz w:val="14"/>
                <w:szCs w:val="14"/>
              </w:rPr>
            </w:pPr>
          </w:p>
        </w:tc>
        <w:tc>
          <w:tcPr>
            <w:tcW w:w="5954" w:type="dxa"/>
            <w:vMerge/>
            <w:vAlign w:val="center"/>
            <w:hideMark/>
          </w:tcPr>
          <w:p w14:paraId="64D308EA" w14:textId="77777777" w:rsidR="000F0341" w:rsidRPr="00BF62A1" w:rsidRDefault="000F0341" w:rsidP="00E40B0D">
            <w:pPr>
              <w:spacing w:line="240" w:lineRule="auto"/>
              <w:jc w:val="center"/>
              <w:rPr>
                <w:b/>
                <w:bCs/>
                <w:color w:val="000000"/>
                <w:sz w:val="14"/>
                <w:szCs w:val="14"/>
              </w:rPr>
            </w:pPr>
          </w:p>
        </w:tc>
        <w:tc>
          <w:tcPr>
            <w:tcW w:w="1276" w:type="dxa"/>
            <w:vAlign w:val="center"/>
          </w:tcPr>
          <w:p w14:paraId="0F09E9A1" w14:textId="77777777" w:rsidR="000F0341" w:rsidRPr="00C47DDC" w:rsidRDefault="000F0341" w:rsidP="00E40B0D">
            <w:pPr>
              <w:spacing w:line="276" w:lineRule="auto"/>
              <w:jc w:val="center"/>
              <w:rPr>
                <w:b/>
                <w:bCs/>
                <w:color w:val="000000"/>
                <w:sz w:val="14"/>
                <w:szCs w:val="14"/>
              </w:rPr>
            </w:pPr>
            <w:r w:rsidRPr="00C47DDC">
              <w:rPr>
                <w:b/>
                <w:bCs/>
                <w:color w:val="000000"/>
                <w:sz w:val="14"/>
                <w:szCs w:val="14"/>
              </w:rPr>
              <w:t xml:space="preserve">ISPOR </w:t>
            </w:r>
            <w:r w:rsidRPr="00C47DDC">
              <w:rPr>
                <w:color w:val="000000"/>
                <w:sz w:val="14"/>
                <w:szCs w:val="14"/>
              </w:rPr>
              <w:t>(Yes/Partially/No/NA)</w:t>
            </w:r>
          </w:p>
        </w:tc>
        <w:tc>
          <w:tcPr>
            <w:tcW w:w="997" w:type="dxa"/>
            <w:vAlign w:val="center"/>
          </w:tcPr>
          <w:p w14:paraId="0A547931" w14:textId="77777777" w:rsidR="000F0341" w:rsidRPr="00C47DDC" w:rsidRDefault="000F0341" w:rsidP="00E40B0D">
            <w:pPr>
              <w:spacing w:line="276" w:lineRule="auto"/>
              <w:jc w:val="center"/>
              <w:rPr>
                <w:b/>
                <w:bCs/>
                <w:color w:val="000000"/>
                <w:sz w:val="14"/>
                <w:szCs w:val="14"/>
              </w:rPr>
            </w:pPr>
            <w:r w:rsidRPr="00C47DDC">
              <w:rPr>
                <w:b/>
                <w:bCs/>
                <w:color w:val="000000"/>
                <w:sz w:val="14"/>
                <w:szCs w:val="14"/>
              </w:rPr>
              <w:t xml:space="preserve">ROBINS-E </w:t>
            </w:r>
            <w:r w:rsidRPr="00C47DDC">
              <w:rPr>
                <w:color w:val="000000"/>
                <w:sz w:val="14"/>
                <w:szCs w:val="14"/>
              </w:rPr>
              <w:t>(Domain 7</w:t>
            </w:r>
            <w:r w:rsidRPr="00C47DDC">
              <w:rPr>
                <w:bCs/>
                <w:sz w:val="14"/>
                <w:szCs w:val="14"/>
              </w:rPr>
              <w:t>†</w:t>
            </w:r>
            <w:r w:rsidRPr="00C47DDC">
              <w:rPr>
                <w:color w:val="000000"/>
                <w:sz w:val="14"/>
                <w:szCs w:val="14"/>
              </w:rPr>
              <w:t>)</w:t>
            </w:r>
          </w:p>
        </w:tc>
      </w:tr>
      <w:tr w:rsidR="000F0341" w:rsidRPr="00BF62A1" w14:paraId="59CE8108" w14:textId="77777777" w:rsidTr="00E40B0D">
        <w:trPr>
          <w:trHeight w:val="340"/>
        </w:trPr>
        <w:tc>
          <w:tcPr>
            <w:tcW w:w="9356" w:type="dxa"/>
            <w:gridSpan w:val="4"/>
            <w:vAlign w:val="center"/>
          </w:tcPr>
          <w:p w14:paraId="2D921F7B" w14:textId="77777777" w:rsidR="000F0341" w:rsidRPr="00C47DDC" w:rsidRDefault="000F0341" w:rsidP="00E40B0D">
            <w:pPr>
              <w:spacing w:line="276" w:lineRule="auto"/>
              <w:jc w:val="center"/>
              <w:rPr>
                <w:b/>
                <w:bCs/>
                <w:color w:val="000000"/>
                <w:sz w:val="14"/>
                <w:szCs w:val="14"/>
              </w:rPr>
            </w:pPr>
            <w:r w:rsidRPr="00C47DDC">
              <w:rPr>
                <w:b/>
                <w:bCs/>
                <w:color w:val="000000"/>
                <w:sz w:val="14"/>
                <w:szCs w:val="14"/>
              </w:rPr>
              <w:t>Anatomical resections</w:t>
            </w:r>
          </w:p>
        </w:tc>
      </w:tr>
      <w:tr w:rsidR="000F0341" w:rsidRPr="00BF62A1" w14:paraId="7330F13B" w14:textId="77777777" w:rsidTr="00E40B0D">
        <w:trPr>
          <w:trHeight w:val="20"/>
        </w:trPr>
        <w:tc>
          <w:tcPr>
            <w:tcW w:w="1129" w:type="dxa"/>
            <w:vAlign w:val="center"/>
          </w:tcPr>
          <w:p w14:paraId="6238F775" w14:textId="77777777" w:rsidR="000F0341" w:rsidRPr="00C47DDC" w:rsidRDefault="000F0341" w:rsidP="00E40B0D">
            <w:pPr>
              <w:spacing w:line="240" w:lineRule="auto"/>
              <w:jc w:val="left"/>
              <w:rPr>
                <w:color w:val="000000"/>
                <w:sz w:val="14"/>
                <w:szCs w:val="14"/>
              </w:rPr>
            </w:pPr>
            <w:r w:rsidRPr="00C47DDC">
              <w:rPr>
                <w:color w:val="000000"/>
                <w:sz w:val="14"/>
                <w:szCs w:val="14"/>
              </w:rPr>
              <w:t xml:space="preserve">Hunger 2019 </w:t>
            </w:r>
            <w:r w:rsidRPr="00C47DDC">
              <w:rPr>
                <w:color w:val="000000"/>
                <w:sz w:val="14"/>
                <w:szCs w:val="14"/>
              </w:rPr>
              <w:fldChar w:fldCharType="begin"/>
            </w:r>
            <w:r>
              <w:rPr>
                <w:color w:val="000000"/>
                <w:sz w:val="14"/>
                <w:szCs w:val="14"/>
              </w:rPr>
              <w:instrText xml:space="preserve"> ADDIN ZOTERO_ITEM CSL_CITATION {"citationID":"NJp7gWca","properties":{"formattedCitation":"[73]","plainCitation":"[73]","noteIndex":0},"citationItems":[{"id":14233,"uris":["http://zotero.org/groups/4983919/items/V82UQ8T4"],"itemData":{"id":14233,"type":"article-journal","abstract":"BACKGROUND: Approximately one-quarter of patients with colorectal carcinoma develop colorectal liver metastases (CRLM). Surgical treatment with curative intent by hepatic resection is the standard medical care. While some studies with small sample sizes have investigated the relationship between hospital procedure volume and in-hospital mortality for this diagnosis, no population-based study has been conducted. The present study was aimed at closing this gap. METHODS: Based on administrative population-based hospital discharge data (Diagnosis Related Group Statistic), patients diagnosed with CRLM and treated with hepatic resection from 2011 to 2015 were identified. The hospital operation-volume effect on risk-adjusted in-hospital mortality was examined by logistic regression models. RESULTS: During the study period, 5900 patients with CRLM were treated with hepatic resection, of whom 189 (3.2%) died before hospital discharge. Hospitals of different operation-volume quartiles did not differ in terms of mortality rates. Sensitivity analysis investigating the volume-mortality relationship separately for every resection procedure showed no clear result. Procedure frequencies vary among hospitals of different volume quartiles, with low-volume hospitals performing systematically more low-risk procedures (in terms of reduced mortality rate), than high-volume hospitals. CONCLUSION: Based on almost complete German hospital discharge data, the results did not confirm unconditional volume-outcome relationship for CRLM patients.","container-title":"J Hepatobiliary Pancreat Sci","DOI":"10.1002/jhbp.680","ISSN":"1868-6974","issue":"12","language":"eng","note":"publisher-place: Department of General and Visceral Surgery, Brandenburg Medical School Theodor Fontane, Municipal Hospital Brandenburg, Brandenburg a. d. Havel, Germany.","page":"548-556","title":"Hospital volume and mortality in liver resections for colorectal metastasis using population-based administrative data","volume":"26","author":[{"family":"Hunger","given":"R."},{"family":"Mantke","given":"A."},{"family":"Herrmann","given":"C."},{"family":"Grimm","given":"A. L."},{"family":"Ludwig","given":"J."},{"family":"Mantke","given":"R."}],"issued":{"date-parts":[["2019",12]]}}}],"schema":"https://github.com/citation-style-language/schema/raw/master/csl-citation.json"} </w:instrText>
            </w:r>
            <w:r w:rsidRPr="00C47DDC">
              <w:rPr>
                <w:color w:val="000000"/>
                <w:sz w:val="14"/>
                <w:szCs w:val="14"/>
              </w:rPr>
              <w:fldChar w:fldCharType="separate"/>
            </w:r>
            <w:r w:rsidRPr="004125CE">
              <w:rPr>
                <w:sz w:val="14"/>
              </w:rPr>
              <w:t>[73]</w:t>
            </w:r>
            <w:r w:rsidRPr="00C47DDC">
              <w:rPr>
                <w:color w:val="000000"/>
                <w:sz w:val="14"/>
                <w:szCs w:val="14"/>
              </w:rPr>
              <w:fldChar w:fldCharType="end"/>
            </w:r>
          </w:p>
        </w:tc>
        <w:tc>
          <w:tcPr>
            <w:tcW w:w="5954" w:type="dxa"/>
            <w:vAlign w:val="center"/>
          </w:tcPr>
          <w:p w14:paraId="3E7A1E64" w14:textId="77777777" w:rsidR="000F0341" w:rsidRPr="00C47DDC" w:rsidRDefault="000F0341" w:rsidP="00E40B0D">
            <w:pPr>
              <w:spacing w:line="240" w:lineRule="auto"/>
              <w:jc w:val="left"/>
              <w:rPr>
                <w:b/>
                <w:bCs/>
                <w:color w:val="000000"/>
                <w:sz w:val="14"/>
                <w:szCs w:val="14"/>
              </w:rPr>
            </w:pPr>
            <w:r w:rsidRPr="00C47DDC">
              <w:rPr>
                <w:b/>
                <w:bCs/>
                <w:color w:val="000000"/>
                <w:sz w:val="14"/>
                <w:szCs w:val="14"/>
              </w:rPr>
              <w:t>Hospital mortality:</w:t>
            </w:r>
            <w:r w:rsidRPr="00C47DDC">
              <w:rPr>
                <w:color w:val="000000"/>
                <w:sz w:val="14"/>
                <w:szCs w:val="14"/>
              </w:rPr>
              <w:t xml:space="preserve"> (OR): </w:t>
            </w:r>
            <w:r w:rsidRPr="00C47DDC">
              <w:rPr>
                <w:color w:val="000000"/>
                <w:sz w:val="14"/>
                <w:szCs w:val="14"/>
                <w:u w:val="single"/>
              </w:rPr>
              <w:t>1-2</w:t>
            </w:r>
            <w:r w:rsidRPr="00C47DDC">
              <w:rPr>
                <w:color w:val="000000"/>
                <w:sz w:val="14"/>
                <w:szCs w:val="14"/>
              </w:rPr>
              <w:t xml:space="preserve"> vs. 3-5: 0.94</w:t>
            </w:r>
            <w:r w:rsidRPr="00C47DDC">
              <w:rPr>
                <w:color w:val="000000"/>
                <w:sz w:val="14"/>
                <w:szCs w:val="14"/>
                <w:vertAlign w:val="superscript"/>
              </w:rPr>
              <w:t>a</w:t>
            </w:r>
            <w:r w:rsidRPr="00C47DDC">
              <w:rPr>
                <w:color w:val="000000"/>
                <w:sz w:val="14"/>
                <w:szCs w:val="14"/>
              </w:rPr>
              <w:t xml:space="preserve"> [0.61-1.44]; 6-12: 1.19</w:t>
            </w:r>
            <w:r w:rsidRPr="00C47DDC">
              <w:rPr>
                <w:color w:val="000000"/>
                <w:sz w:val="14"/>
                <w:szCs w:val="14"/>
                <w:vertAlign w:val="superscript"/>
              </w:rPr>
              <w:t xml:space="preserve"> a</w:t>
            </w:r>
            <w:r w:rsidRPr="00C47DDC">
              <w:rPr>
                <w:color w:val="000000"/>
                <w:sz w:val="14"/>
                <w:szCs w:val="14"/>
              </w:rPr>
              <w:t xml:space="preserve"> [0.78-1.84]; 13-40: 1.25</w:t>
            </w:r>
            <w:r w:rsidRPr="00C47DDC">
              <w:rPr>
                <w:color w:val="000000"/>
                <w:sz w:val="14"/>
                <w:szCs w:val="14"/>
                <w:vertAlign w:val="superscript"/>
              </w:rPr>
              <w:t xml:space="preserve"> a</w:t>
            </w:r>
            <w:r w:rsidRPr="00C47DDC">
              <w:rPr>
                <w:color w:val="000000"/>
                <w:sz w:val="14"/>
                <w:szCs w:val="14"/>
              </w:rPr>
              <w:t xml:space="preserve"> [0.82-1.94]</w:t>
            </w:r>
          </w:p>
        </w:tc>
        <w:tc>
          <w:tcPr>
            <w:tcW w:w="1276" w:type="dxa"/>
            <w:vAlign w:val="center"/>
          </w:tcPr>
          <w:p w14:paraId="6DECC8D4" w14:textId="77777777" w:rsidR="000F0341" w:rsidRPr="00C47DDC" w:rsidRDefault="000F0341" w:rsidP="00E40B0D">
            <w:pPr>
              <w:spacing w:line="276" w:lineRule="auto"/>
              <w:jc w:val="left"/>
              <w:rPr>
                <w:color w:val="000000"/>
                <w:sz w:val="14"/>
                <w:szCs w:val="14"/>
              </w:rPr>
            </w:pPr>
            <w:r w:rsidRPr="00C47DDC">
              <w:rPr>
                <w:color w:val="000000"/>
                <w:sz w:val="14"/>
                <w:szCs w:val="14"/>
              </w:rPr>
              <w:t>10/8/3/6</w:t>
            </w:r>
          </w:p>
        </w:tc>
        <w:tc>
          <w:tcPr>
            <w:tcW w:w="997" w:type="dxa"/>
            <w:vAlign w:val="center"/>
          </w:tcPr>
          <w:p w14:paraId="2FE15970" w14:textId="77777777" w:rsidR="000F0341" w:rsidRPr="00C47DDC" w:rsidRDefault="000F0341" w:rsidP="00E40B0D">
            <w:pPr>
              <w:spacing w:line="276" w:lineRule="auto"/>
              <w:jc w:val="left"/>
              <w:rPr>
                <w:color w:val="000000"/>
                <w:sz w:val="14"/>
                <w:szCs w:val="14"/>
              </w:rPr>
            </w:pPr>
            <w:r w:rsidRPr="00C47DDC">
              <w:rPr>
                <w:color w:val="000000"/>
                <w:sz w:val="14"/>
                <w:szCs w:val="14"/>
              </w:rPr>
              <w:t>High Risk</w:t>
            </w:r>
          </w:p>
        </w:tc>
      </w:tr>
      <w:tr w:rsidR="000F0341" w:rsidRPr="00BF62A1" w14:paraId="4144ED40" w14:textId="77777777" w:rsidTr="00E40B0D">
        <w:trPr>
          <w:trHeight w:val="20"/>
        </w:trPr>
        <w:tc>
          <w:tcPr>
            <w:tcW w:w="1129" w:type="dxa"/>
            <w:vAlign w:val="center"/>
          </w:tcPr>
          <w:p w14:paraId="37A35294" w14:textId="00B41318" w:rsidR="000F0341" w:rsidRPr="00C47DDC" w:rsidRDefault="000F0341" w:rsidP="00E40B0D">
            <w:pPr>
              <w:spacing w:line="240" w:lineRule="auto"/>
              <w:jc w:val="left"/>
              <w:rPr>
                <w:color w:val="000000"/>
                <w:sz w:val="14"/>
                <w:szCs w:val="14"/>
              </w:rPr>
            </w:pPr>
            <w:r w:rsidRPr="00C47DDC">
              <w:rPr>
                <w:color w:val="000000"/>
                <w:sz w:val="14"/>
                <w:szCs w:val="14"/>
              </w:rPr>
              <w:t xml:space="preserve">Krautz 2020 </w:t>
            </w:r>
            <w:r w:rsidRPr="00C47DDC">
              <w:rPr>
                <w:color w:val="000000"/>
                <w:sz w:val="14"/>
                <w:szCs w:val="14"/>
              </w:rPr>
              <w:fldChar w:fldCharType="begin"/>
            </w:r>
            <w:r>
              <w:rPr>
                <w:color w:val="000000"/>
                <w:sz w:val="14"/>
                <w:szCs w:val="14"/>
              </w:rPr>
              <w:instrText xml:space="preserve"> ADDIN ZOTERO_ITEM CSL_CITATION {"citationID":"y2oltliT","properties":{"formattedCitation":"[75]","plainCitation":"[75]","noteIndex":0},"citationItems":[{"id":14177,"uris":["http://zotero.org/groups/4983919/items/VVCH96K8"],"itemData":{"id":14177,"type":"article-journal","abstract":"BACKGROUND: Recent observational studies on volume-outcome associations in hepatobiliary surgery were not designed to account for the varying extent of hepatobiliary resections and the consequential risk of perioperative morbidity and mortality. Therefore, this study aimed to determine the risk-adjusted in-hospital mortality for minor and major hepatobiliary resections at the national level in Germany and to examine the effect of hospital volume on in-hospital mortality, and failure to rescue. METHODS: All inpatient cases of hepatobiliary surgery (n = 31,114) in Germany from 2009 to 2015 were studied using national hospital discharge data. After ranking hospitals according to increasing hospital volumes, five volume categories were established based on all hepatobiliary resections. The association between hospital volume and in-hospital mortality following minor and major hepatobiliary resections was evaluated by multivariable regression methods. RESULTS: Minor hepatobiliary resections were associated with an overall mortality rate of 3.9% and showed no significant volume-outcome associations. In contrast, overall mortality rate of major hepatobiliary resections was 10.3%. In this cohort, risk-adjusted in-hospital mortality following major resections varied widely across hospital volume categories, from 11.4% (95% CI 10.4-12.5) in very low volume hospitals to 7.4% (95% CI 6.6-8.2) in very high volume hospitals (risk-adjusted OR 0.59, 95% CI 0.41-0.54). Moreover, rates of failure to rescue decreased from 29.38% (95% CI 26.7-32.2) in very low volume hospitals to 21.38% (95% CI 19.2-23.8) in very high volume hospitals. CONCLUSIONS: In Germany, patients who are undergoing major hepatobiliary resections have improved outcomes, if they are admitted to higher volume hospitals. However, such associations are not evident following minor hepatobiliary resections. Following major hepatobiliary resections, 70-80% of the excess mortality in very low volume hospitals was estimated to be attributable to failure to rescue.","container-title":"BMC Surg","DOI":"10.1186/s12893-020-00817-5","ISSN":"1471-2482","issue":"1","language":"eng","note":"publisher-place: Universitätsklinikum Erlangen, Friedrich-Alexander-Universität Erlangen-Nürnberg, Klinik für Allgemein- und Viszeralchirurgie, Krankenhausstraße 12, 91054, Erlangen, Germany. christian.krautz@uk-erlangen.de. Friedrich-Alexander-Universität Erlangen-Nürnberg, Institut für Medizininformatik, Biometrie und Epidemiologie, Waldstraße 6, 91054, Erlangen, Germany. Technische Universität Berlin, Department of Health Care Management, Straße des 17. Juni 135, 10623, Berlin, Germany. Technische Universität Berlin, Department for Structural Advancement and Quality Management in Health Care, Straße des 17. Juni 135, 10623, Berlin, Germany. Universitätsklinikum Erlangen, Friedrich-Alexander-Universität Erlangen-Nürnberg, Klinik für Allgemein- und Viszeralchirurgie, Krankenhausstraße 12, 91054, Erlangen, Germany.","page":"171","title":"In-hospital mortality and failure to rescue following hepatobiliary surgery in Germany - a nationwide analysis","volume":"20","author":[{"family":"Krautz","given":"C."},{"family":"Gall","given":"C."},{"family":"Gefeller","given":"O."},{"family":"Nimptsch","given":"U."},{"family":"Mansky","given":"T."},{"family":"Brunner","given":"M."},{"family":"Weber","given":"G. F."},{"family":"Grützmann","given":"R."},{"family":"Kersting","given":"S."}],"issued":{"date-parts":[["2020",7]]}}}],"schema":"https://github.com/citation-style-language/schema/raw/master/csl-citation.json"} </w:instrText>
            </w:r>
            <w:r w:rsidRPr="00C47DDC">
              <w:rPr>
                <w:color w:val="000000"/>
                <w:sz w:val="14"/>
                <w:szCs w:val="14"/>
              </w:rPr>
              <w:fldChar w:fldCharType="separate"/>
            </w:r>
            <w:r w:rsidRPr="004125CE">
              <w:rPr>
                <w:sz w:val="14"/>
              </w:rPr>
              <w:t>[</w:t>
            </w:r>
            <w:r w:rsidR="00D03F0D">
              <w:rPr>
                <w:sz w:val="14"/>
              </w:rPr>
              <w:t>2</w:t>
            </w:r>
            <w:r w:rsidRPr="004125CE">
              <w:rPr>
                <w:sz w:val="14"/>
              </w:rPr>
              <w:t>]</w:t>
            </w:r>
            <w:r w:rsidRPr="00C47DDC">
              <w:rPr>
                <w:color w:val="000000"/>
                <w:sz w:val="14"/>
                <w:szCs w:val="14"/>
              </w:rPr>
              <w:fldChar w:fldCharType="end"/>
            </w:r>
          </w:p>
        </w:tc>
        <w:tc>
          <w:tcPr>
            <w:tcW w:w="5954" w:type="dxa"/>
            <w:vAlign w:val="center"/>
          </w:tcPr>
          <w:p w14:paraId="0FA3D235" w14:textId="77777777" w:rsidR="000F0341" w:rsidRPr="00C47DDC" w:rsidRDefault="000F0341" w:rsidP="00E40B0D">
            <w:pPr>
              <w:spacing w:line="240" w:lineRule="auto"/>
              <w:jc w:val="left"/>
              <w:rPr>
                <w:color w:val="000000"/>
                <w:sz w:val="14"/>
                <w:szCs w:val="14"/>
              </w:rPr>
            </w:pPr>
            <w:r w:rsidRPr="00C47DDC">
              <w:rPr>
                <w:b/>
                <w:bCs/>
                <w:color w:val="000000"/>
                <w:sz w:val="14"/>
                <w:szCs w:val="14"/>
              </w:rPr>
              <w:t>Hospital mortality:</w:t>
            </w:r>
            <w:r w:rsidRPr="00C47DDC">
              <w:rPr>
                <w:color w:val="000000"/>
                <w:sz w:val="14"/>
                <w:szCs w:val="14"/>
              </w:rPr>
              <w:t xml:space="preserve"> Major hepatectomies: (OR): </w:t>
            </w:r>
            <w:r w:rsidRPr="00C47DDC">
              <w:rPr>
                <w:color w:val="000000"/>
                <w:sz w:val="14"/>
                <w:szCs w:val="14"/>
                <w:u w:val="single"/>
              </w:rPr>
              <w:t>Very low</w:t>
            </w:r>
            <w:r w:rsidRPr="00C47DDC">
              <w:rPr>
                <w:color w:val="000000"/>
                <w:sz w:val="14"/>
                <w:szCs w:val="14"/>
              </w:rPr>
              <w:t xml:space="preserve"> vs. Low: -; Medium: 0.73</w:t>
            </w:r>
            <w:r w:rsidRPr="00C47DDC">
              <w:rPr>
                <w:color w:val="000000"/>
                <w:sz w:val="14"/>
                <w:szCs w:val="14"/>
                <w:vertAlign w:val="superscript"/>
              </w:rPr>
              <w:t>a</w:t>
            </w:r>
            <w:r w:rsidRPr="00C47DDC">
              <w:rPr>
                <w:color w:val="000000"/>
                <w:sz w:val="14"/>
                <w:szCs w:val="14"/>
              </w:rPr>
              <w:t xml:space="preserve"> [0.6-0.9]; High: 0.65</w:t>
            </w:r>
            <w:r w:rsidRPr="00C47DDC">
              <w:rPr>
                <w:color w:val="000000"/>
                <w:sz w:val="14"/>
                <w:szCs w:val="14"/>
                <w:vertAlign w:val="superscript"/>
              </w:rPr>
              <w:t>a</w:t>
            </w:r>
            <w:r w:rsidRPr="00C47DDC">
              <w:rPr>
                <w:color w:val="000000"/>
                <w:sz w:val="14"/>
                <w:szCs w:val="14"/>
              </w:rPr>
              <w:t xml:space="preserve"> [0.5-0.8]; Very high: 0.59</w:t>
            </w:r>
            <w:r w:rsidRPr="00C47DDC">
              <w:rPr>
                <w:color w:val="000000"/>
                <w:sz w:val="14"/>
                <w:szCs w:val="14"/>
                <w:vertAlign w:val="superscript"/>
              </w:rPr>
              <w:t>a</w:t>
            </w:r>
            <w:r w:rsidRPr="00C47DDC">
              <w:rPr>
                <w:color w:val="000000"/>
                <w:sz w:val="14"/>
                <w:szCs w:val="14"/>
              </w:rPr>
              <w:t xml:space="preserve"> [0.4–0.9]|</w:t>
            </w:r>
            <w:r w:rsidRPr="00C47DDC">
              <w:rPr>
                <w:color w:val="000000"/>
                <w:sz w:val="14"/>
                <w:szCs w:val="14"/>
              </w:rPr>
              <w:br/>
            </w:r>
            <w:r w:rsidRPr="00C47DDC">
              <w:rPr>
                <w:b/>
                <w:bCs/>
                <w:color w:val="000000"/>
                <w:sz w:val="14"/>
                <w:szCs w:val="14"/>
              </w:rPr>
              <w:t>FTR:</w:t>
            </w:r>
            <w:r w:rsidRPr="00C47DDC">
              <w:rPr>
                <w:color w:val="000000"/>
                <w:sz w:val="14"/>
                <w:szCs w:val="14"/>
              </w:rPr>
              <w:t xml:space="preserve"> (%): Very low: 29.38</w:t>
            </w:r>
            <w:r w:rsidRPr="00C47DDC">
              <w:rPr>
                <w:sz w:val="14"/>
                <w:szCs w:val="14"/>
                <w:vertAlign w:val="superscript"/>
              </w:rPr>
              <w:t>d</w:t>
            </w:r>
            <w:r w:rsidRPr="00C47DDC">
              <w:rPr>
                <w:color w:val="000000"/>
                <w:sz w:val="14"/>
                <w:szCs w:val="14"/>
              </w:rPr>
              <w:t xml:space="preserve"> [26.7–32.2]; Low : 27.13</w:t>
            </w:r>
            <w:r w:rsidRPr="00C47DDC">
              <w:rPr>
                <w:sz w:val="14"/>
                <w:szCs w:val="14"/>
                <w:vertAlign w:val="superscript"/>
              </w:rPr>
              <w:t>d</w:t>
            </w:r>
            <w:r w:rsidRPr="00C47DDC">
              <w:rPr>
                <w:color w:val="000000"/>
                <w:sz w:val="14"/>
                <w:szCs w:val="14"/>
              </w:rPr>
              <w:t xml:space="preserve"> [23.9–30.7]; Medium: 28.05</w:t>
            </w:r>
            <w:r w:rsidRPr="00C47DDC">
              <w:rPr>
                <w:sz w:val="14"/>
                <w:szCs w:val="14"/>
                <w:vertAlign w:val="superscript"/>
              </w:rPr>
              <w:t>d</w:t>
            </w:r>
            <w:r w:rsidRPr="00C47DDC">
              <w:rPr>
                <w:color w:val="000000"/>
                <w:sz w:val="14"/>
                <w:szCs w:val="14"/>
              </w:rPr>
              <w:t xml:space="preserve"> [24.8–31.6]; 41-100: 24.0</w:t>
            </w:r>
            <w:r w:rsidRPr="00C47DDC">
              <w:rPr>
                <w:sz w:val="14"/>
                <w:szCs w:val="14"/>
                <w:vertAlign w:val="superscript"/>
              </w:rPr>
              <w:t>d</w:t>
            </w:r>
            <w:r w:rsidRPr="00C47DDC">
              <w:rPr>
                <w:color w:val="000000"/>
                <w:sz w:val="14"/>
                <w:szCs w:val="14"/>
              </w:rPr>
              <w:t xml:space="preserve"> [21.7–26.5]; High: 21.38</w:t>
            </w:r>
            <w:r w:rsidRPr="00C47DDC">
              <w:rPr>
                <w:sz w:val="14"/>
                <w:szCs w:val="14"/>
                <w:vertAlign w:val="superscript"/>
              </w:rPr>
              <w:t>d</w:t>
            </w:r>
            <w:r w:rsidRPr="00C47DDC">
              <w:rPr>
                <w:color w:val="000000"/>
                <w:sz w:val="14"/>
                <w:szCs w:val="14"/>
              </w:rPr>
              <w:t xml:space="preserve"> [19.2–23.8]|</w:t>
            </w:r>
            <w:r w:rsidRPr="00C47DDC">
              <w:rPr>
                <w:color w:val="000000"/>
                <w:sz w:val="14"/>
                <w:szCs w:val="14"/>
              </w:rPr>
              <w:br/>
            </w:r>
            <w:r w:rsidRPr="00C47DDC">
              <w:rPr>
                <w:b/>
                <w:bCs/>
                <w:color w:val="000000"/>
                <w:sz w:val="14"/>
                <w:szCs w:val="14"/>
              </w:rPr>
              <w:t>Hospital mortality:</w:t>
            </w:r>
            <w:r w:rsidRPr="00C47DDC">
              <w:rPr>
                <w:color w:val="000000"/>
                <w:sz w:val="14"/>
                <w:szCs w:val="14"/>
              </w:rPr>
              <w:t xml:space="preserve"> Minor hepatectomies (OR): </w:t>
            </w:r>
            <w:r w:rsidRPr="00C47DDC">
              <w:rPr>
                <w:color w:val="000000"/>
                <w:sz w:val="14"/>
                <w:szCs w:val="14"/>
                <w:u w:val="single"/>
              </w:rPr>
              <w:t>Very low</w:t>
            </w:r>
            <w:r w:rsidRPr="00C47DDC">
              <w:rPr>
                <w:color w:val="000000"/>
                <w:sz w:val="14"/>
                <w:szCs w:val="14"/>
              </w:rPr>
              <w:t xml:space="preserve"> vs. Low: -; Medium: 0.73</w:t>
            </w:r>
            <w:r w:rsidRPr="00C47DDC">
              <w:rPr>
                <w:color w:val="000000"/>
                <w:sz w:val="14"/>
                <w:szCs w:val="14"/>
                <w:vertAlign w:val="superscript"/>
              </w:rPr>
              <w:t>a</w:t>
            </w:r>
            <w:r w:rsidRPr="00C47DDC">
              <w:rPr>
                <w:color w:val="000000"/>
                <w:sz w:val="14"/>
                <w:szCs w:val="14"/>
              </w:rPr>
              <w:t xml:space="preserve"> [0.6-0.9]; High: 0.65</w:t>
            </w:r>
            <w:r w:rsidRPr="00C47DDC">
              <w:rPr>
                <w:color w:val="000000"/>
                <w:sz w:val="14"/>
                <w:szCs w:val="14"/>
                <w:vertAlign w:val="superscript"/>
              </w:rPr>
              <w:t xml:space="preserve">a </w:t>
            </w:r>
            <w:r w:rsidRPr="00C47DDC">
              <w:rPr>
                <w:color w:val="000000"/>
                <w:sz w:val="14"/>
                <w:szCs w:val="14"/>
              </w:rPr>
              <w:t xml:space="preserve"> [0.5-0.8]; Very high: 0.59</w:t>
            </w:r>
            <w:r w:rsidRPr="00C47DDC">
              <w:rPr>
                <w:color w:val="000000"/>
                <w:sz w:val="14"/>
                <w:szCs w:val="14"/>
                <w:vertAlign w:val="superscript"/>
              </w:rPr>
              <w:t>a</w:t>
            </w:r>
            <w:r w:rsidRPr="00C47DDC">
              <w:rPr>
                <w:color w:val="000000"/>
                <w:sz w:val="14"/>
                <w:szCs w:val="14"/>
              </w:rPr>
              <w:t xml:space="preserve"> [0.4–0.9]|</w:t>
            </w:r>
            <w:r w:rsidRPr="00C47DDC">
              <w:rPr>
                <w:color w:val="000000"/>
                <w:sz w:val="14"/>
                <w:szCs w:val="14"/>
              </w:rPr>
              <w:br/>
            </w:r>
            <w:r w:rsidRPr="00C47DDC">
              <w:rPr>
                <w:b/>
                <w:bCs/>
                <w:color w:val="000000"/>
                <w:sz w:val="14"/>
                <w:szCs w:val="14"/>
              </w:rPr>
              <w:t>FTR:</w:t>
            </w:r>
            <w:r w:rsidRPr="00C47DDC">
              <w:rPr>
                <w:color w:val="000000"/>
                <w:sz w:val="14"/>
                <w:szCs w:val="14"/>
              </w:rPr>
              <w:t xml:space="preserve"> (%): Very low: 17.9</w:t>
            </w:r>
            <w:r w:rsidRPr="00C47DDC">
              <w:rPr>
                <w:sz w:val="14"/>
                <w:szCs w:val="14"/>
                <w:vertAlign w:val="superscript"/>
              </w:rPr>
              <w:t>d</w:t>
            </w:r>
            <w:r w:rsidRPr="00C47DDC">
              <w:rPr>
                <w:color w:val="000000"/>
                <w:sz w:val="14"/>
                <w:szCs w:val="14"/>
              </w:rPr>
              <w:t xml:space="preserve"> [15.6–20.5]; Low: 15.33</w:t>
            </w:r>
            <w:r w:rsidRPr="00C47DDC">
              <w:rPr>
                <w:sz w:val="14"/>
                <w:szCs w:val="14"/>
                <w:vertAlign w:val="superscript"/>
              </w:rPr>
              <w:t>d</w:t>
            </w:r>
            <w:r w:rsidRPr="00C47DDC">
              <w:rPr>
                <w:color w:val="000000"/>
                <w:sz w:val="14"/>
                <w:szCs w:val="14"/>
              </w:rPr>
              <w:t xml:space="preserve"> [12.0–19.3]; Medium: 14.0</w:t>
            </w:r>
            <w:r w:rsidRPr="00C47DDC">
              <w:rPr>
                <w:sz w:val="14"/>
                <w:szCs w:val="14"/>
                <w:vertAlign w:val="superscript"/>
              </w:rPr>
              <w:t>d</w:t>
            </w:r>
            <w:r w:rsidRPr="00C47DDC">
              <w:rPr>
                <w:color w:val="000000"/>
                <w:sz w:val="14"/>
                <w:szCs w:val="14"/>
              </w:rPr>
              <w:t xml:space="preserve"> [10.6–18.1]; High: 17.1</w:t>
            </w:r>
            <w:r w:rsidRPr="00C47DDC">
              <w:rPr>
                <w:sz w:val="14"/>
                <w:szCs w:val="14"/>
                <w:vertAlign w:val="superscript"/>
              </w:rPr>
              <w:t>d</w:t>
            </w:r>
            <w:r w:rsidRPr="00C47DDC">
              <w:rPr>
                <w:color w:val="000000"/>
                <w:sz w:val="14"/>
                <w:szCs w:val="14"/>
              </w:rPr>
              <w:t xml:space="preserve"> [13.7–21.1]; Very high: 13.54</w:t>
            </w:r>
            <w:r w:rsidRPr="00C47DDC">
              <w:rPr>
                <w:sz w:val="14"/>
                <w:szCs w:val="14"/>
                <w:vertAlign w:val="superscript"/>
              </w:rPr>
              <w:t>d</w:t>
            </w:r>
            <w:r w:rsidRPr="00C47DDC">
              <w:rPr>
                <w:color w:val="000000"/>
                <w:sz w:val="14"/>
                <w:szCs w:val="14"/>
              </w:rPr>
              <w:t xml:space="preserve"> [10.1–17.7]</w:t>
            </w:r>
          </w:p>
        </w:tc>
        <w:tc>
          <w:tcPr>
            <w:tcW w:w="1276" w:type="dxa"/>
            <w:vAlign w:val="center"/>
          </w:tcPr>
          <w:p w14:paraId="1AC3F7F3" w14:textId="77777777" w:rsidR="000F0341" w:rsidRPr="00C47DDC" w:rsidRDefault="000F0341" w:rsidP="00E40B0D">
            <w:pPr>
              <w:spacing w:line="276" w:lineRule="auto"/>
              <w:jc w:val="left"/>
              <w:rPr>
                <w:color w:val="000000"/>
                <w:sz w:val="14"/>
                <w:szCs w:val="14"/>
              </w:rPr>
            </w:pPr>
            <w:r w:rsidRPr="00C47DDC">
              <w:rPr>
                <w:color w:val="000000"/>
                <w:sz w:val="14"/>
                <w:szCs w:val="14"/>
              </w:rPr>
              <w:t>11/3/7/6</w:t>
            </w:r>
          </w:p>
        </w:tc>
        <w:tc>
          <w:tcPr>
            <w:tcW w:w="997" w:type="dxa"/>
            <w:vAlign w:val="center"/>
          </w:tcPr>
          <w:p w14:paraId="6B0BDDB2" w14:textId="77777777" w:rsidR="000F0341" w:rsidRPr="00C47DDC" w:rsidRDefault="000F0341" w:rsidP="00E40B0D">
            <w:pPr>
              <w:spacing w:line="276" w:lineRule="auto"/>
              <w:jc w:val="left"/>
              <w:rPr>
                <w:color w:val="000000"/>
                <w:sz w:val="14"/>
                <w:szCs w:val="14"/>
              </w:rPr>
            </w:pPr>
            <w:r w:rsidRPr="00C47DDC">
              <w:rPr>
                <w:color w:val="000000"/>
                <w:sz w:val="14"/>
                <w:szCs w:val="14"/>
              </w:rPr>
              <w:t>High Risk</w:t>
            </w:r>
          </w:p>
        </w:tc>
      </w:tr>
      <w:tr w:rsidR="000F0341" w:rsidRPr="00BF62A1" w14:paraId="63B68D49" w14:textId="77777777" w:rsidTr="00E40B0D">
        <w:trPr>
          <w:trHeight w:val="20"/>
        </w:trPr>
        <w:tc>
          <w:tcPr>
            <w:tcW w:w="1129" w:type="dxa"/>
            <w:vAlign w:val="center"/>
            <w:hideMark/>
          </w:tcPr>
          <w:p w14:paraId="0C4E8632" w14:textId="2BF5B851" w:rsidR="000F0341" w:rsidRPr="00C47DDC" w:rsidRDefault="000F0341" w:rsidP="00E40B0D">
            <w:pPr>
              <w:spacing w:line="240" w:lineRule="auto"/>
              <w:jc w:val="left"/>
              <w:rPr>
                <w:color w:val="000000"/>
                <w:sz w:val="14"/>
                <w:szCs w:val="14"/>
              </w:rPr>
            </w:pPr>
            <w:r w:rsidRPr="00C47DDC">
              <w:rPr>
                <w:color w:val="000000"/>
                <w:sz w:val="14"/>
                <w:szCs w:val="14"/>
              </w:rPr>
              <w:t xml:space="preserve">Kohn 2010 </w:t>
            </w:r>
            <w:r w:rsidRPr="00C47DDC">
              <w:rPr>
                <w:color w:val="000000"/>
                <w:sz w:val="14"/>
                <w:szCs w:val="14"/>
              </w:rPr>
              <w:fldChar w:fldCharType="begin"/>
            </w:r>
            <w:r>
              <w:rPr>
                <w:color w:val="000000"/>
                <w:sz w:val="14"/>
                <w:szCs w:val="14"/>
              </w:rPr>
              <w:instrText xml:space="preserve"> ADDIN ZOTERO_ITEM CSL_CITATION {"citationID":"8MN66Tf6","properties":{"formattedCitation":"[74]","plainCitation":"[74]","noteIndex":0},"citationItems":[{"id":14179,"uris":["http://zotero.org/groups/4983919/items/AMZC46SD"],"itemData":{"id":14179,"type":"article-journal","abstract":"BACKGROUND: Positive volume-outcomes relationships have been demonstrated for hepatic resection using arbitrary criteria to define high-volume centers. The safety of training programs has not been evaluated. The association of surgical volume, as a continuous variable and the influence of a surgical residency and a fellowship program on outcomes after major hepatectomy were determined. METHODS: The Nationwide Inpatient Sample (NIS) was queried from 1998 to 2006. Quantification of patients' comorbidities was made using the Charlson index, and mortality, and complication rates were determined. Institutions' annual case volumes were correlated with risk-adjusted outcomes over time, as well as presence or absence of residency or fellowship training program using logistic regression modeling. RESULTS: A total of 5,298 major hepatectomies were recorded, representing a weighted nationwide total of 26,396 cases. In-hospital unadjusted mortality for the study period was 6%. Adjusting for comorbidities, greater major hepatectomy volume was associated with improvements in the incidence of most measured complications, with plateauing of mortality of between 2% and 3% at approximately 50 cases per year. The mortality rate increased once greater than approximately 70 cases were performed per annum. Hospitals supporting a surgical residency program had lower overall morbidity and mortality. A fellowship program however was not associated with overall lower morbidity and mortality and appeared to result in a higher rate of certain complications. CONCLUSIONS: Greater annual major hepatectomy volume improves outcomes with reduced mortality up to a certain point. The presence of surgical residency program but not a fellowship program is associated with reduced predicted morbidity and mortality.","container-title":"J Gastrointest Surg","DOI":"10.1007/s11605-010-1310-z","ISSN":"1091-255x","issue":"12","language":"eng","note":"publisher-place: Department of Surgery, Monash University, Maroondah Hospital, 1 Davey Drive Ringwood East, Victoria, 3135, Australia. gkohn@uppergi.net","page":"1981-9","title":"The effect of surgical volume and the provision of residency and fellowship training on complications of major hepatic resection","volume":"14","author":[{"family":"Kohn","given":"G. P."},{"family":"Nikfarjam","given":"M."}],"issued":{"date-parts":[["2010",12]]}}}],"schema":"https://github.com/citation-style-language/schema/raw/master/csl-citation.json"} </w:instrText>
            </w:r>
            <w:r w:rsidRPr="00C47DDC">
              <w:rPr>
                <w:color w:val="000000"/>
                <w:sz w:val="14"/>
                <w:szCs w:val="14"/>
              </w:rPr>
              <w:fldChar w:fldCharType="separate"/>
            </w:r>
            <w:r w:rsidRPr="004125CE">
              <w:rPr>
                <w:sz w:val="14"/>
              </w:rPr>
              <w:t>[7</w:t>
            </w:r>
            <w:r w:rsidR="00D03F0D">
              <w:rPr>
                <w:sz w:val="14"/>
              </w:rPr>
              <w:t>4</w:t>
            </w:r>
            <w:r w:rsidRPr="004125CE">
              <w:rPr>
                <w:sz w:val="14"/>
              </w:rPr>
              <w:t>]</w:t>
            </w:r>
            <w:r w:rsidRPr="00C47DDC">
              <w:rPr>
                <w:color w:val="000000"/>
                <w:sz w:val="14"/>
                <w:szCs w:val="14"/>
              </w:rPr>
              <w:fldChar w:fldCharType="end"/>
            </w:r>
          </w:p>
        </w:tc>
        <w:tc>
          <w:tcPr>
            <w:tcW w:w="5954" w:type="dxa"/>
            <w:vAlign w:val="center"/>
            <w:hideMark/>
          </w:tcPr>
          <w:p w14:paraId="3B7EECC1" w14:textId="77777777" w:rsidR="000F0341" w:rsidRPr="00C47DDC" w:rsidRDefault="000F0341" w:rsidP="00E40B0D">
            <w:pPr>
              <w:spacing w:line="240" w:lineRule="auto"/>
              <w:jc w:val="left"/>
              <w:rPr>
                <w:color w:val="000000"/>
                <w:sz w:val="14"/>
                <w:szCs w:val="14"/>
              </w:rPr>
            </w:pPr>
            <w:r w:rsidRPr="00C47DDC">
              <w:rPr>
                <w:b/>
                <w:bCs/>
                <w:color w:val="000000"/>
                <w:sz w:val="14"/>
                <w:szCs w:val="14"/>
              </w:rPr>
              <w:t>Hospital mortality:</w:t>
            </w:r>
            <w:r w:rsidRPr="00C47DDC">
              <w:rPr>
                <w:color w:val="000000"/>
                <w:sz w:val="14"/>
                <w:szCs w:val="14"/>
              </w:rPr>
              <w:t xml:space="preserve"> (OR): Incremental effect: 0.975</w:t>
            </w:r>
            <w:r w:rsidRPr="00C47DDC">
              <w:rPr>
                <w:color w:val="000000"/>
                <w:sz w:val="14"/>
                <w:szCs w:val="14"/>
                <w:vertAlign w:val="superscript"/>
              </w:rPr>
              <w:t>a</w:t>
            </w:r>
            <w:r w:rsidRPr="00C47DDC">
              <w:rPr>
                <w:color w:val="000000"/>
                <w:sz w:val="14"/>
                <w:szCs w:val="14"/>
              </w:rPr>
              <w:t xml:space="preserve"> [0.967-0.983]***</w:t>
            </w:r>
          </w:p>
        </w:tc>
        <w:tc>
          <w:tcPr>
            <w:tcW w:w="1276" w:type="dxa"/>
            <w:vAlign w:val="center"/>
          </w:tcPr>
          <w:p w14:paraId="0F4D719F" w14:textId="77777777" w:rsidR="000F0341" w:rsidRPr="00C47DDC" w:rsidRDefault="000F0341" w:rsidP="00E40B0D">
            <w:pPr>
              <w:spacing w:line="276" w:lineRule="auto"/>
              <w:jc w:val="left"/>
              <w:rPr>
                <w:color w:val="000000"/>
                <w:sz w:val="14"/>
                <w:szCs w:val="14"/>
              </w:rPr>
            </w:pPr>
            <w:r w:rsidRPr="00C47DDC">
              <w:rPr>
                <w:color w:val="000000"/>
                <w:sz w:val="14"/>
                <w:szCs w:val="14"/>
              </w:rPr>
              <w:t>9/1/11/6</w:t>
            </w:r>
          </w:p>
        </w:tc>
        <w:tc>
          <w:tcPr>
            <w:tcW w:w="997" w:type="dxa"/>
            <w:vAlign w:val="center"/>
          </w:tcPr>
          <w:p w14:paraId="290C9B82" w14:textId="77777777" w:rsidR="000F0341" w:rsidRPr="00C47DDC" w:rsidRDefault="000F0341" w:rsidP="00E40B0D">
            <w:pPr>
              <w:spacing w:line="276" w:lineRule="auto"/>
              <w:jc w:val="left"/>
              <w:rPr>
                <w:color w:val="000000"/>
                <w:sz w:val="14"/>
                <w:szCs w:val="14"/>
              </w:rPr>
            </w:pPr>
            <w:r w:rsidRPr="00C47DDC">
              <w:rPr>
                <w:color w:val="000000"/>
                <w:sz w:val="14"/>
                <w:szCs w:val="14"/>
              </w:rPr>
              <w:t>High Risk</w:t>
            </w:r>
          </w:p>
        </w:tc>
      </w:tr>
      <w:tr w:rsidR="000F0341" w:rsidRPr="00BF62A1" w14:paraId="416D2C76" w14:textId="77777777" w:rsidTr="00E40B0D">
        <w:trPr>
          <w:trHeight w:val="340"/>
        </w:trPr>
        <w:tc>
          <w:tcPr>
            <w:tcW w:w="9356" w:type="dxa"/>
            <w:gridSpan w:val="4"/>
            <w:vAlign w:val="center"/>
          </w:tcPr>
          <w:p w14:paraId="6D571929" w14:textId="77777777" w:rsidR="000F0341" w:rsidRPr="00C47DDC" w:rsidRDefault="000F0341" w:rsidP="00E40B0D">
            <w:pPr>
              <w:spacing w:line="276" w:lineRule="auto"/>
              <w:jc w:val="center"/>
              <w:rPr>
                <w:b/>
                <w:bCs/>
                <w:color w:val="000000"/>
                <w:sz w:val="14"/>
                <w:szCs w:val="14"/>
              </w:rPr>
            </w:pPr>
            <w:r w:rsidRPr="00C47DDC">
              <w:rPr>
                <w:b/>
                <w:bCs/>
                <w:color w:val="000000"/>
                <w:sz w:val="14"/>
                <w:szCs w:val="14"/>
              </w:rPr>
              <w:t>Anatomical and non-anatomical resections separately</w:t>
            </w:r>
          </w:p>
        </w:tc>
      </w:tr>
      <w:tr w:rsidR="000F0341" w:rsidRPr="00BF62A1" w14:paraId="0A10608D" w14:textId="77777777" w:rsidTr="00E40B0D">
        <w:trPr>
          <w:trHeight w:val="20"/>
        </w:trPr>
        <w:tc>
          <w:tcPr>
            <w:tcW w:w="1129" w:type="dxa"/>
            <w:vAlign w:val="center"/>
            <w:hideMark/>
          </w:tcPr>
          <w:p w14:paraId="144F7A5E" w14:textId="51BB9687" w:rsidR="000F0341" w:rsidRPr="00C47DDC" w:rsidRDefault="000F0341" w:rsidP="00E40B0D">
            <w:pPr>
              <w:spacing w:line="240" w:lineRule="auto"/>
              <w:jc w:val="left"/>
              <w:rPr>
                <w:color w:val="000000"/>
                <w:sz w:val="14"/>
                <w:szCs w:val="14"/>
              </w:rPr>
            </w:pPr>
            <w:r w:rsidRPr="00C47DDC">
              <w:rPr>
                <w:color w:val="000000"/>
                <w:sz w:val="14"/>
                <w:szCs w:val="14"/>
              </w:rPr>
              <w:t xml:space="preserve">Eguia 2021 </w:t>
            </w:r>
            <w:r w:rsidRPr="00C47DDC">
              <w:rPr>
                <w:color w:val="000000"/>
                <w:sz w:val="14"/>
                <w:szCs w:val="14"/>
              </w:rPr>
              <w:fldChar w:fldCharType="begin"/>
            </w:r>
            <w:r>
              <w:rPr>
                <w:color w:val="000000"/>
                <w:sz w:val="14"/>
                <w:szCs w:val="14"/>
              </w:rPr>
              <w:instrText xml:space="preserve"> ADDIN ZOTERO_ITEM CSL_CITATION {"citationID":"X0NDChK5","properties":{"formattedCitation":"[90]","plainCitation":"[90]","noteIndex":0},"citationItems":[{"id":14236,"uris":["http://zotero.org/groups/4983919/items/Q54D367G"],"itemData":{"id":14236,"type":"article-journal","abstract":"BACKGROUND: Prior studies comparing the efficacy of laparoscopic (LHR) and open hepatic resection (OHR) have not evaluated inpatient costs. METHODS: We conducted a retrospective cohort study using the Healthcare Cost and Utilization Project State Inpatient Databases to identify patients undergoing hepatic resection between 2010 and 2014. RESULTS: 10,239 patients underwent hepatic resection. 865 (8%) underwent LHR and 9374 (92%) underwent OHR. On adjusting for hospital volume, patients undergoing LHR had a lower risk of respiratory (OR 0.64, 95% CI [0.52, 0.78]), wound (OR 0.48; 95% CI [0.29, 0.79]) and hematologic (OR 0.57; 95% CI [0.44, 0.73]) complication as well as a lower risk of being in the highest quartile of cost (0.58; 95% CI [0.43, 0.77]) than those undergoing OHR. Patients undergoing LHR in very high volume (&gt;314 hepatectomies/year) centers had lower risk-adjusted 90-day aggregate costs of care than those undergoing OHR (-$8022; 95% CI [-$11,732, -$4311). DISCUSSION: Laparoscopic partial hepatectomy is associated with lower risk of postoperative complication than OHR. This translates to lower aggregate costs in very high-volume centers.","container-title":"Am J Surg","DOI":"10.1016/j.amjsurg.2020.12.051","ISSN":"0002-9610","issue":"3","language":"eng","note":"publisher-place: Department of Surgery, Loyola University Medical Center, Maywood, IL, USA. Electronic address: emanuel.eguia@lumc.edu. Department of Surgery, Loyola University Medical Center, Maywood, IL, USA. Department of Surgery, University of South Florida, Tampa, FL, USA.","page":"577-583","title":"Laparoscopic partial hepatectomy is cost-effective when performed in high volume centers: A five state analysis","volume":"222","author":[{"family":"Eguia","given":"E."},{"family":"Sweigert","given":"P. J."},{"family":"Li","given":"R. D."},{"family":"Kuo","given":"P. C."},{"family":"Janjua","given":"H."},{"family":"Abood","given":"G."},{"family":"Baker","given":"M. S."}],"issued":{"date-parts":[["2021",9]]}}}],"schema":"https://github.com/citation-style-language/schema/raw/master/csl-citation.json"} </w:instrText>
            </w:r>
            <w:r w:rsidRPr="00C47DDC">
              <w:rPr>
                <w:color w:val="000000"/>
                <w:sz w:val="14"/>
                <w:szCs w:val="14"/>
              </w:rPr>
              <w:fldChar w:fldCharType="separate"/>
            </w:r>
            <w:r w:rsidRPr="004125CE">
              <w:rPr>
                <w:sz w:val="14"/>
              </w:rPr>
              <w:t>[</w:t>
            </w:r>
            <w:r w:rsidR="00D03F0D">
              <w:rPr>
                <w:sz w:val="14"/>
              </w:rPr>
              <w:t>79</w:t>
            </w:r>
            <w:r w:rsidRPr="004125CE">
              <w:rPr>
                <w:sz w:val="14"/>
              </w:rPr>
              <w:t>]</w:t>
            </w:r>
            <w:r w:rsidRPr="00C47DDC">
              <w:rPr>
                <w:color w:val="000000"/>
                <w:sz w:val="14"/>
                <w:szCs w:val="14"/>
              </w:rPr>
              <w:fldChar w:fldCharType="end"/>
            </w:r>
          </w:p>
        </w:tc>
        <w:tc>
          <w:tcPr>
            <w:tcW w:w="5954" w:type="dxa"/>
            <w:vAlign w:val="center"/>
            <w:hideMark/>
          </w:tcPr>
          <w:p w14:paraId="48163746" w14:textId="77777777" w:rsidR="000F0341" w:rsidRPr="00C47DDC" w:rsidRDefault="000F0341" w:rsidP="00E40B0D">
            <w:pPr>
              <w:spacing w:line="240" w:lineRule="auto"/>
              <w:jc w:val="left"/>
              <w:rPr>
                <w:color w:val="000000"/>
                <w:sz w:val="14"/>
                <w:szCs w:val="14"/>
              </w:rPr>
            </w:pPr>
            <w:r w:rsidRPr="00C47DDC">
              <w:rPr>
                <w:b/>
                <w:bCs/>
                <w:color w:val="000000"/>
                <w:sz w:val="14"/>
                <w:szCs w:val="14"/>
              </w:rPr>
              <w:t>Hospital mortality:</w:t>
            </w:r>
            <w:r w:rsidRPr="00C47DDC">
              <w:rPr>
                <w:color w:val="000000"/>
                <w:sz w:val="14"/>
                <w:szCs w:val="14"/>
              </w:rPr>
              <w:t xml:space="preserve"> (OR): </w:t>
            </w:r>
            <w:r w:rsidRPr="004B71DA">
              <w:rPr>
                <w:b/>
                <w:bCs/>
                <w:color w:val="000000"/>
                <w:sz w:val="14"/>
                <w:szCs w:val="14"/>
              </w:rPr>
              <w:t>Lobectomy:</w:t>
            </w:r>
            <w:r w:rsidRPr="00C47DDC">
              <w:rPr>
                <w:color w:val="000000"/>
                <w:sz w:val="14"/>
                <w:szCs w:val="14"/>
              </w:rPr>
              <w:t xml:space="preserve"> </w:t>
            </w:r>
            <w:r w:rsidRPr="00C47DDC">
              <w:rPr>
                <w:color w:val="000000"/>
                <w:sz w:val="14"/>
                <w:szCs w:val="14"/>
                <w:u w:val="single"/>
              </w:rPr>
              <w:t>Low-to-high</w:t>
            </w:r>
            <w:r w:rsidRPr="00C47DDC">
              <w:rPr>
                <w:color w:val="000000"/>
                <w:sz w:val="14"/>
                <w:szCs w:val="14"/>
              </w:rPr>
              <w:t xml:space="preserve"> p&lt;0.05 vs. Very high: 0.47</w:t>
            </w:r>
            <w:r w:rsidRPr="00C47DDC">
              <w:rPr>
                <w:color w:val="000000"/>
                <w:sz w:val="14"/>
                <w:szCs w:val="14"/>
                <w:vertAlign w:val="superscript"/>
              </w:rPr>
              <w:t>a</w:t>
            </w:r>
            <w:r w:rsidRPr="00C47DDC">
              <w:rPr>
                <w:color w:val="000000"/>
                <w:sz w:val="14"/>
                <w:szCs w:val="14"/>
              </w:rPr>
              <w:t xml:space="preserve"> [0.12 -1.82]| </w:t>
            </w:r>
            <w:r w:rsidRPr="00C47DDC">
              <w:rPr>
                <w:color w:val="000000"/>
                <w:sz w:val="14"/>
                <w:szCs w:val="14"/>
              </w:rPr>
              <w:br/>
            </w:r>
            <w:r w:rsidRPr="004B71DA">
              <w:rPr>
                <w:b/>
                <w:bCs/>
                <w:color w:val="000000"/>
                <w:sz w:val="14"/>
                <w:szCs w:val="14"/>
              </w:rPr>
              <w:t>Partial hepatectomy:</w:t>
            </w:r>
            <w:r w:rsidRPr="00C47DDC">
              <w:rPr>
                <w:color w:val="000000"/>
                <w:sz w:val="14"/>
                <w:szCs w:val="14"/>
              </w:rPr>
              <w:t xml:space="preserve"> </w:t>
            </w:r>
            <w:r w:rsidRPr="00C47DDC">
              <w:rPr>
                <w:color w:val="000000"/>
                <w:sz w:val="14"/>
                <w:szCs w:val="14"/>
                <w:u w:val="single"/>
              </w:rPr>
              <w:t>Low-to-high</w:t>
            </w:r>
            <w:r w:rsidRPr="00C47DDC">
              <w:rPr>
                <w:color w:val="000000"/>
                <w:sz w:val="14"/>
                <w:szCs w:val="14"/>
              </w:rPr>
              <w:t xml:space="preserve"> p&lt;0.05 vs. Very high: 0.66</w:t>
            </w:r>
            <w:r w:rsidRPr="00C47DDC">
              <w:rPr>
                <w:color w:val="000000"/>
                <w:sz w:val="14"/>
                <w:szCs w:val="14"/>
                <w:vertAlign w:val="superscript"/>
              </w:rPr>
              <w:t>a</w:t>
            </w:r>
            <w:r w:rsidRPr="00C47DDC">
              <w:rPr>
                <w:color w:val="000000"/>
                <w:sz w:val="14"/>
                <w:szCs w:val="14"/>
              </w:rPr>
              <w:t xml:space="preserve"> [0.16-2.67]</w:t>
            </w:r>
          </w:p>
        </w:tc>
        <w:tc>
          <w:tcPr>
            <w:tcW w:w="1276" w:type="dxa"/>
            <w:vAlign w:val="center"/>
          </w:tcPr>
          <w:p w14:paraId="17534B14" w14:textId="77777777" w:rsidR="000F0341" w:rsidRPr="00C47DDC" w:rsidRDefault="000F0341" w:rsidP="00E40B0D">
            <w:pPr>
              <w:spacing w:line="276" w:lineRule="auto"/>
              <w:jc w:val="left"/>
              <w:rPr>
                <w:color w:val="000000"/>
                <w:sz w:val="14"/>
                <w:szCs w:val="14"/>
              </w:rPr>
            </w:pPr>
            <w:r w:rsidRPr="00C47DDC">
              <w:rPr>
                <w:color w:val="000000"/>
                <w:sz w:val="14"/>
                <w:szCs w:val="14"/>
              </w:rPr>
              <w:t>11/1/9/6</w:t>
            </w:r>
          </w:p>
        </w:tc>
        <w:tc>
          <w:tcPr>
            <w:tcW w:w="997" w:type="dxa"/>
            <w:vAlign w:val="center"/>
          </w:tcPr>
          <w:p w14:paraId="7173FF27" w14:textId="77777777" w:rsidR="000F0341" w:rsidRPr="00C47DDC" w:rsidRDefault="000F0341" w:rsidP="00E40B0D">
            <w:pPr>
              <w:spacing w:line="276" w:lineRule="auto"/>
              <w:jc w:val="left"/>
              <w:rPr>
                <w:color w:val="000000"/>
                <w:sz w:val="14"/>
                <w:szCs w:val="14"/>
              </w:rPr>
            </w:pPr>
            <w:r w:rsidRPr="00C47DDC">
              <w:rPr>
                <w:color w:val="000000"/>
                <w:sz w:val="14"/>
                <w:szCs w:val="14"/>
              </w:rPr>
              <w:t>High Risk</w:t>
            </w:r>
          </w:p>
        </w:tc>
      </w:tr>
      <w:tr w:rsidR="000F0341" w:rsidRPr="00BF62A1" w14:paraId="0A6936D2" w14:textId="77777777" w:rsidTr="00E40B0D">
        <w:trPr>
          <w:trHeight w:val="20"/>
        </w:trPr>
        <w:tc>
          <w:tcPr>
            <w:tcW w:w="1129" w:type="dxa"/>
            <w:vAlign w:val="center"/>
          </w:tcPr>
          <w:p w14:paraId="3154AB8F" w14:textId="77777777" w:rsidR="000F0341" w:rsidRPr="00C47DDC" w:rsidRDefault="000F0341" w:rsidP="00E40B0D">
            <w:pPr>
              <w:spacing w:line="240" w:lineRule="auto"/>
              <w:jc w:val="left"/>
              <w:rPr>
                <w:color w:val="000000"/>
                <w:sz w:val="14"/>
                <w:szCs w:val="14"/>
              </w:rPr>
            </w:pPr>
            <w:r w:rsidRPr="00C47DDC">
              <w:rPr>
                <w:color w:val="000000"/>
                <w:sz w:val="14"/>
                <w:szCs w:val="14"/>
              </w:rPr>
              <w:t xml:space="preserve">Magnin 2023 </w:t>
            </w:r>
            <w:r w:rsidRPr="00C47DDC">
              <w:rPr>
                <w:color w:val="000000"/>
                <w:sz w:val="14"/>
                <w:szCs w:val="14"/>
              </w:rPr>
              <w:fldChar w:fldCharType="begin"/>
            </w:r>
            <w:r>
              <w:rPr>
                <w:color w:val="000000"/>
                <w:sz w:val="14"/>
                <w:szCs w:val="14"/>
              </w:rPr>
              <w:instrText xml:space="preserve"> ADDIN ZOTERO_ITEM CSL_CITATION {"citationID":"RaiqKYA7","properties":{"formattedCitation":"[62]","plainCitation":"[62]","noteIndex":0},"citationItems":[{"id":14274,"uris":["http://zotero.org/groups/4983919/items/4BILQIX2"],"itemData":{"id":14274,"type":"article-journal","abstract":"BACKGROUND: This nationwide retrospective study was undertaken to evaluate impact of hospital volume and influence of liver transplantation activity on postoperative mortality and failure to rescue after liver surgery. METHODS: This was a retrospective study of patients who underwent liver resection between 2011 and 2019 using a nationwide database. A threshold of surgical activities from which in-hospital mortality declines was calculated. Hospitals were divided into high- and low-volume centres. Main outcomes were in-hospital mortality and failure to rescue. RESULTS: Among 39 286 patients included, the in-hospital mortality rate was 2.8 per cent. The activity volume threshold from which in-hospital mortality declined was 25 hepatectomies. High-volume centres (more than 25 resections per year) had more postoperative complications but a lower rate of in-hospital mortality (2.6 versus 3 per cent; P &lt; 0.001) and failure to rescue (5 versus 6.3 per cent; P &lt; 0.001), in particular related to specific complications (liver failure, biliary complications, vascular complications) (5.5 versus 7.6 per cent; P &lt; 0.001). Liver transplantation activity did not have an impact on these outcomes. CONCLUSION: From more than 25 liver resections per year, rates of in-hospital mortality and failure to rescue declined. Management of specific postoperative complications appeared to be better in high-volume centres.","container-title":"The British journal of surgery","DOI":"10.1093/bjs/znac458","ISSN":"1365-2168 (Electronic)","language":"eng","title":"Impact of hospital volume in liver surgery on postoperative mortality and morbidity: nationwide study.","URL":"https://pubmed.ncbi.nlm.nih.gov/36724824/","author":[{"family":"Magnin","given":"Josephine"},{"family":"Bernard","given":"Alain"},{"family":"Cottenet","given":"Jonathan"},{"family":"Lequeu","given":"Jean-Baptiste"},{"family":"Ortega","given":"Pablo"},{"family":"Quantin","given":"Catherine"},{"family":"Facy","given":"Oliver"}],"issued":{"date-parts":[["2023",2]]}}}],"schema":"https://github.com/citation-style-language/schema/raw/master/csl-citation.json"} </w:instrText>
            </w:r>
            <w:r w:rsidRPr="00C47DDC">
              <w:rPr>
                <w:color w:val="000000"/>
                <w:sz w:val="14"/>
                <w:szCs w:val="14"/>
              </w:rPr>
              <w:fldChar w:fldCharType="separate"/>
            </w:r>
            <w:r w:rsidRPr="004125CE">
              <w:rPr>
                <w:sz w:val="14"/>
              </w:rPr>
              <w:t>[62]</w:t>
            </w:r>
            <w:r w:rsidRPr="00C47DDC">
              <w:rPr>
                <w:color w:val="000000"/>
                <w:sz w:val="14"/>
                <w:szCs w:val="14"/>
              </w:rPr>
              <w:fldChar w:fldCharType="end"/>
            </w:r>
          </w:p>
        </w:tc>
        <w:tc>
          <w:tcPr>
            <w:tcW w:w="5954" w:type="dxa"/>
            <w:vAlign w:val="center"/>
          </w:tcPr>
          <w:p w14:paraId="1846587B" w14:textId="77777777" w:rsidR="000F0341" w:rsidRPr="00C47DDC" w:rsidRDefault="000F0341" w:rsidP="00E40B0D">
            <w:pPr>
              <w:spacing w:line="240" w:lineRule="auto"/>
              <w:jc w:val="left"/>
              <w:rPr>
                <w:color w:val="000000"/>
                <w:sz w:val="14"/>
                <w:szCs w:val="14"/>
              </w:rPr>
            </w:pPr>
            <w:r w:rsidRPr="00C47DDC">
              <w:rPr>
                <w:b/>
                <w:bCs/>
                <w:color w:val="000000"/>
                <w:sz w:val="14"/>
                <w:szCs w:val="14"/>
              </w:rPr>
              <w:t>FTR:</w:t>
            </w:r>
            <w:r w:rsidRPr="00C47DDC">
              <w:rPr>
                <w:color w:val="000000"/>
                <w:sz w:val="14"/>
                <w:szCs w:val="14"/>
              </w:rPr>
              <w:t xml:space="preserve"> (OR): </w:t>
            </w:r>
            <w:r w:rsidRPr="00C47DDC">
              <w:rPr>
                <w:color w:val="000000"/>
                <w:sz w:val="14"/>
                <w:szCs w:val="14"/>
                <w:u w:val="single"/>
              </w:rPr>
              <w:t>Low</w:t>
            </w:r>
            <w:r w:rsidRPr="00C47DDC">
              <w:rPr>
                <w:color w:val="000000"/>
                <w:sz w:val="14"/>
                <w:szCs w:val="14"/>
              </w:rPr>
              <w:t xml:space="preserve"> vs. High: 0.79</w:t>
            </w:r>
            <w:r w:rsidRPr="00C47DDC">
              <w:rPr>
                <w:color w:val="000000"/>
                <w:sz w:val="14"/>
                <w:szCs w:val="14"/>
                <w:vertAlign w:val="superscript"/>
              </w:rPr>
              <w:t>a</w:t>
            </w:r>
            <w:r w:rsidRPr="00C47DDC">
              <w:rPr>
                <w:color w:val="000000"/>
                <w:sz w:val="14"/>
                <w:szCs w:val="14"/>
              </w:rPr>
              <w:t xml:space="preserve"> [0.65-0.97]***|</w:t>
            </w:r>
            <w:r w:rsidRPr="00C47DDC">
              <w:rPr>
                <w:color w:val="000000"/>
                <w:sz w:val="14"/>
                <w:szCs w:val="14"/>
              </w:rPr>
              <w:br/>
            </w:r>
            <w:r w:rsidRPr="00C47DDC">
              <w:rPr>
                <w:b/>
                <w:bCs/>
                <w:color w:val="000000"/>
                <w:sz w:val="14"/>
                <w:szCs w:val="14"/>
              </w:rPr>
              <w:t>Hospital mortality:</w:t>
            </w:r>
            <w:r w:rsidRPr="00C47DDC">
              <w:rPr>
                <w:color w:val="000000"/>
                <w:sz w:val="14"/>
                <w:szCs w:val="14"/>
              </w:rPr>
              <w:t xml:space="preserve"> (OR): </w:t>
            </w:r>
            <w:r w:rsidRPr="00C47DDC">
              <w:rPr>
                <w:color w:val="000000"/>
                <w:sz w:val="14"/>
                <w:szCs w:val="14"/>
                <w:u w:val="single"/>
              </w:rPr>
              <w:t>Low</w:t>
            </w:r>
            <w:r w:rsidRPr="00C47DDC">
              <w:rPr>
                <w:color w:val="000000"/>
                <w:sz w:val="14"/>
                <w:szCs w:val="14"/>
              </w:rPr>
              <w:t xml:space="preserve"> vs. High: 0.74</w:t>
            </w:r>
            <w:r w:rsidRPr="00C47DDC">
              <w:rPr>
                <w:color w:val="000000"/>
                <w:sz w:val="14"/>
                <w:szCs w:val="14"/>
                <w:vertAlign w:val="superscript"/>
              </w:rPr>
              <w:t>a</w:t>
            </w:r>
            <w:r w:rsidRPr="00C47DDC">
              <w:rPr>
                <w:color w:val="000000"/>
                <w:sz w:val="14"/>
                <w:szCs w:val="14"/>
              </w:rPr>
              <w:t xml:space="preserve"> [0.58-0.93]***</w:t>
            </w:r>
            <w:r w:rsidRPr="00C47DDC">
              <w:rPr>
                <w:color w:val="000000"/>
                <w:sz w:val="14"/>
                <w:szCs w:val="14"/>
              </w:rPr>
              <w:br/>
            </w:r>
            <w:r w:rsidRPr="00C47DDC">
              <w:rPr>
                <w:b/>
                <w:bCs/>
                <w:color w:val="000000"/>
                <w:sz w:val="14"/>
                <w:szCs w:val="14"/>
              </w:rPr>
              <w:t>FTR:</w:t>
            </w:r>
            <w:r w:rsidRPr="00C47DDC">
              <w:rPr>
                <w:color w:val="000000"/>
                <w:sz w:val="14"/>
                <w:szCs w:val="14"/>
              </w:rPr>
              <w:t xml:space="preserve"> (OR): </w:t>
            </w:r>
            <w:r w:rsidRPr="004B71DA">
              <w:rPr>
                <w:b/>
                <w:bCs/>
                <w:color w:val="000000"/>
                <w:sz w:val="14"/>
                <w:szCs w:val="14"/>
              </w:rPr>
              <w:t>Minor hepatectomy:</w:t>
            </w:r>
            <w:r w:rsidRPr="00C47DDC">
              <w:rPr>
                <w:color w:val="000000"/>
                <w:sz w:val="14"/>
                <w:szCs w:val="14"/>
              </w:rPr>
              <w:t xml:space="preserve"> </w:t>
            </w:r>
            <w:r w:rsidRPr="00C47DDC">
              <w:rPr>
                <w:color w:val="000000"/>
                <w:sz w:val="14"/>
                <w:szCs w:val="14"/>
                <w:u w:val="single"/>
              </w:rPr>
              <w:t>Low</w:t>
            </w:r>
            <w:r w:rsidRPr="00C47DDC">
              <w:rPr>
                <w:color w:val="000000"/>
                <w:sz w:val="14"/>
                <w:szCs w:val="14"/>
              </w:rPr>
              <w:t xml:space="preserve"> vs. High: 0.82</w:t>
            </w:r>
            <w:r w:rsidRPr="00C47DDC">
              <w:rPr>
                <w:color w:val="000000"/>
                <w:sz w:val="14"/>
                <w:szCs w:val="14"/>
                <w:vertAlign w:val="superscript"/>
              </w:rPr>
              <w:t>a</w:t>
            </w:r>
            <w:r w:rsidRPr="00C47DDC">
              <w:rPr>
                <w:color w:val="000000"/>
                <w:sz w:val="14"/>
                <w:szCs w:val="14"/>
              </w:rPr>
              <w:t xml:space="preserve"> [0.67-0.99]***; Hospital mortality: </w:t>
            </w:r>
            <w:r w:rsidRPr="00C47DDC">
              <w:rPr>
                <w:color w:val="000000"/>
                <w:sz w:val="14"/>
                <w:szCs w:val="14"/>
                <w:u w:val="single"/>
              </w:rPr>
              <w:t>Low</w:t>
            </w:r>
            <w:r w:rsidRPr="00C47DDC">
              <w:rPr>
                <w:color w:val="000000"/>
                <w:sz w:val="14"/>
                <w:szCs w:val="14"/>
              </w:rPr>
              <w:t xml:space="preserve"> vs. High: 0.80</w:t>
            </w:r>
            <w:r w:rsidRPr="00C47DDC">
              <w:rPr>
                <w:color w:val="000000"/>
                <w:sz w:val="14"/>
                <w:szCs w:val="14"/>
                <w:vertAlign w:val="superscript"/>
              </w:rPr>
              <w:t>a</w:t>
            </w:r>
            <w:r w:rsidRPr="00C47DDC">
              <w:rPr>
                <w:color w:val="000000"/>
                <w:sz w:val="14"/>
                <w:szCs w:val="14"/>
              </w:rPr>
              <w:t xml:space="preserve"> [0.65-0.99]*|</w:t>
            </w:r>
            <w:r w:rsidRPr="00C47DDC">
              <w:rPr>
                <w:color w:val="000000"/>
                <w:sz w:val="14"/>
                <w:szCs w:val="14"/>
              </w:rPr>
              <w:br/>
            </w:r>
            <w:r w:rsidRPr="00C47DDC">
              <w:rPr>
                <w:b/>
                <w:bCs/>
                <w:color w:val="000000"/>
                <w:sz w:val="14"/>
                <w:szCs w:val="14"/>
              </w:rPr>
              <w:t>FTR:</w:t>
            </w:r>
            <w:r w:rsidRPr="00C47DDC">
              <w:rPr>
                <w:color w:val="000000"/>
                <w:sz w:val="14"/>
                <w:szCs w:val="14"/>
              </w:rPr>
              <w:t xml:space="preserve"> (OR): </w:t>
            </w:r>
            <w:r w:rsidRPr="004B71DA">
              <w:rPr>
                <w:b/>
                <w:bCs/>
                <w:color w:val="000000"/>
                <w:sz w:val="14"/>
                <w:szCs w:val="14"/>
              </w:rPr>
              <w:t>Major hepatectomy:</w:t>
            </w:r>
            <w:r w:rsidRPr="00C47DDC">
              <w:rPr>
                <w:color w:val="000000"/>
                <w:sz w:val="14"/>
                <w:szCs w:val="14"/>
              </w:rPr>
              <w:t xml:space="preserve"> </w:t>
            </w:r>
            <w:r w:rsidRPr="00C47DDC">
              <w:rPr>
                <w:color w:val="000000"/>
                <w:sz w:val="14"/>
                <w:szCs w:val="14"/>
                <w:u w:val="single"/>
              </w:rPr>
              <w:t>Low</w:t>
            </w:r>
            <w:r w:rsidRPr="00C47DDC">
              <w:rPr>
                <w:color w:val="000000"/>
                <w:sz w:val="14"/>
                <w:szCs w:val="14"/>
              </w:rPr>
              <w:t xml:space="preserve"> vs. High: 0.91</w:t>
            </w:r>
            <w:r w:rsidRPr="00C47DDC">
              <w:rPr>
                <w:color w:val="000000"/>
                <w:sz w:val="14"/>
                <w:szCs w:val="14"/>
                <w:vertAlign w:val="superscript"/>
              </w:rPr>
              <w:t>a</w:t>
            </w:r>
            <w:r w:rsidRPr="00C47DDC">
              <w:rPr>
                <w:color w:val="000000"/>
                <w:sz w:val="14"/>
                <w:szCs w:val="14"/>
              </w:rPr>
              <w:t xml:space="preserve"> [0.70-1.19]; Hospital mortality: </w:t>
            </w:r>
            <w:r w:rsidRPr="00C47DDC">
              <w:rPr>
                <w:color w:val="000000"/>
                <w:sz w:val="14"/>
                <w:szCs w:val="14"/>
                <w:u w:val="single"/>
              </w:rPr>
              <w:t>Low</w:t>
            </w:r>
            <w:r w:rsidRPr="00C47DDC">
              <w:rPr>
                <w:color w:val="000000"/>
                <w:sz w:val="14"/>
                <w:szCs w:val="14"/>
              </w:rPr>
              <w:t xml:space="preserve"> vs. High: 0.83</w:t>
            </w:r>
            <w:r w:rsidRPr="00C47DDC">
              <w:rPr>
                <w:color w:val="000000"/>
                <w:sz w:val="14"/>
                <w:szCs w:val="14"/>
                <w:vertAlign w:val="superscript"/>
              </w:rPr>
              <w:t>a</w:t>
            </w:r>
            <w:r w:rsidRPr="00C47DDC">
              <w:rPr>
                <w:color w:val="000000"/>
                <w:sz w:val="14"/>
                <w:szCs w:val="14"/>
              </w:rPr>
              <w:t xml:space="preserve"> [0.63-1.10]</w:t>
            </w:r>
          </w:p>
        </w:tc>
        <w:tc>
          <w:tcPr>
            <w:tcW w:w="1276" w:type="dxa"/>
            <w:vAlign w:val="center"/>
          </w:tcPr>
          <w:p w14:paraId="5DBD1DC1" w14:textId="77777777" w:rsidR="000F0341" w:rsidRPr="00C47DDC" w:rsidRDefault="000F0341" w:rsidP="00E40B0D">
            <w:pPr>
              <w:spacing w:line="276" w:lineRule="auto"/>
              <w:jc w:val="left"/>
              <w:rPr>
                <w:color w:val="000000"/>
                <w:sz w:val="14"/>
                <w:szCs w:val="14"/>
              </w:rPr>
            </w:pPr>
            <w:r w:rsidRPr="00C47DDC">
              <w:rPr>
                <w:color w:val="000000"/>
                <w:sz w:val="14"/>
                <w:szCs w:val="14"/>
              </w:rPr>
              <w:t>8/3/10/6</w:t>
            </w:r>
          </w:p>
        </w:tc>
        <w:tc>
          <w:tcPr>
            <w:tcW w:w="997" w:type="dxa"/>
            <w:vAlign w:val="center"/>
          </w:tcPr>
          <w:p w14:paraId="3B2B625C" w14:textId="77777777" w:rsidR="000F0341" w:rsidRPr="00C47DDC" w:rsidRDefault="000F0341" w:rsidP="00E40B0D">
            <w:pPr>
              <w:spacing w:line="276" w:lineRule="auto"/>
              <w:jc w:val="left"/>
              <w:rPr>
                <w:color w:val="000000"/>
                <w:sz w:val="14"/>
                <w:szCs w:val="14"/>
              </w:rPr>
            </w:pPr>
            <w:r w:rsidRPr="00C47DDC">
              <w:rPr>
                <w:color w:val="000000"/>
                <w:sz w:val="14"/>
                <w:szCs w:val="14"/>
              </w:rPr>
              <w:t>High Risk</w:t>
            </w:r>
          </w:p>
        </w:tc>
      </w:tr>
      <w:tr w:rsidR="000F0341" w:rsidRPr="00BF62A1" w14:paraId="2D058AE2" w14:textId="77777777" w:rsidTr="00E40B0D">
        <w:trPr>
          <w:trHeight w:val="340"/>
        </w:trPr>
        <w:tc>
          <w:tcPr>
            <w:tcW w:w="9356" w:type="dxa"/>
            <w:gridSpan w:val="4"/>
            <w:vAlign w:val="center"/>
          </w:tcPr>
          <w:p w14:paraId="0168D023" w14:textId="77777777" w:rsidR="000F0341" w:rsidRPr="00C47DDC" w:rsidRDefault="000F0341" w:rsidP="00E40B0D">
            <w:pPr>
              <w:spacing w:line="276" w:lineRule="auto"/>
              <w:jc w:val="center"/>
              <w:rPr>
                <w:b/>
                <w:bCs/>
                <w:color w:val="000000"/>
                <w:sz w:val="14"/>
                <w:szCs w:val="14"/>
              </w:rPr>
            </w:pPr>
            <w:r w:rsidRPr="00C47DDC">
              <w:rPr>
                <w:b/>
                <w:bCs/>
                <w:color w:val="000000"/>
                <w:sz w:val="14"/>
                <w:szCs w:val="14"/>
              </w:rPr>
              <w:t>Anatomical and non-anatomical resections combined</w:t>
            </w:r>
          </w:p>
        </w:tc>
      </w:tr>
      <w:tr w:rsidR="000F0341" w:rsidRPr="00BF62A1" w14:paraId="451B1596" w14:textId="77777777" w:rsidTr="00E40B0D">
        <w:trPr>
          <w:trHeight w:val="20"/>
        </w:trPr>
        <w:tc>
          <w:tcPr>
            <w:tcW w:w="1129" w:type="dxa"/>
            <w:vAlign w:val="center"/>
          </w:tcPr>
          <w:p w14:paraId="48ADD479" w14:textId="77777777" w:rsidR="000F0341" w:rsidRPr="00C47DDC" w:rsidRDefault="000F0341" w:rsidP="00E40B0D">
            <w:pPr>
              <w:spacing w:line="240" w:lineRule="auto"/>
              <w:jc w:val="left"/>
              <w:rPr>
                <w:color w:val="000000"/>
                <w:sz w:val="14"/>
                <w:szCs w:val="14"/>
              </w:rPr>
            </w:pPr>
            <w:r w:rsidRPr="00C47DDC">
              <w:rPr>
                <w:color w:val="000000"/>
                <w:sz w:val="14"/>
                <w:szCs w:val="14"/>
              </w:rPr>
              <w:t xml:space="preserve">Ardito 2019 </w:t>
            </w:r>
            <w:r w:rsidRPr="00C47DDC">
              <w:rPr>
                <w:color w:val="000000"/>
                <w:sz w:val="14"/>
                <w:szCs w:val="14"/>
              </w:rPr>
              <w:fldChar w:fldCharType="begin"/>
            </w:r>
            <w:r>
              <w:rPr>
                <w:color w:val="000000"/>
                <w:sz w:val="14"/>
                <w:szCs w:val="14"/>
              </w:rPr>
              <w:instrText xml:space="preserve"> ADDIN ZOTERO_ITEM CSL_CITATION {"citationID":"5Z4pDb0E","properties":{"formattedCitation":"[65]","plainCitation":"[65]","noteIndex":0},"citationItems":[{"id":14219,"uris":["http://zotero.org/groups/4983919/items/5P557HLN"],"itemData":{"id":14219,"type":"article-journal","abstract":"OBJECTIVE: The aim of this study was to evaluate correlation between centers' volume and incidence of failure to rescue (FTR) following liver resection for hepatocellular carcinoma (HCC). SUMMARY BACKGROUND DATA: FTR, defined as the probability of postoperative death among patients with major complication, has been proposed to assess quality of care during hospitalization. Perioperative management is challenging in cirrhotic patients and the ability to recognize and treat a complication may be fundamental to rescue patients from the risk of death. METHODS: Patients undergoing liver resection for HCC between 2008 and 2018 in 18 Centers enrolled in the He.Rc.O.Le.S. Italian register. Early results included major complications (Clavien ≥3), 90-day mortality, and FTR and were analyzed according to center's volume. RESULTS: Among 1935 included patients, major complication rate was 9.4% (8.6%, 12.3%, and 7.0% for low-, intermediate- and high-volume centers, respectively, P = 0.001). Ninety-day mortality rate was 2.6% (3.7%, 4.2% and 0.9% for low-, intermediate- and high-volume centers, respectively, P &lt; 0.001). FTR was significantly higher at low- and intermediate-volume centers (28.6% and 26.5%, respectively) than at high-volume centers (6.1%, P = 0.002). Independent predictors for major complications were American Society of Anesthesiologists (ASA) &gt;2, portal hypertension, intraoperative blood transfusions, and center's volume. Independent predictors for 90-day mortality were ASA &gt;2, Child-Pugh score B, BCLC stage B-C, and center's volume. Center's volume and BCLC stage were strongly associated with FTR. CONCLUSIONS: Risk of major complications and mortality was related with comorbidities, cirrhosis severity, and complexity of surgery. These factors were not correlated with FTR. Center's volume was the only independent predictor related with severe complications, mortality, and FTR.","container-title":"Ann Surg","DOI":"10.1097/sla.0000000000004327","ISSN":"0003-4932","issue":"5","language":"eng","note":"publisher-place: Hepatobiliary Surgery Unit, Fondazione \"Policlinico Universitario A. Gemelli, IRCCS\" Catholic University of the Sacred Heart, Rome, Italy. School of Medicine and Surgery, University of Milano-Bicocca, Department of Surgery, SanGerardo Hospital, Monza, Italy. Hepatobiliary Surgery Division, Ospedale San Raffaele, Milano, Italy. Division of Hepatobiliarypancreatic Surgery, IRCCS - Regina Elena National Cancer Institute, Rome, Italy. Department of Surgery, University of Parma, Parma, Italy. Unit of General Surgery 1, University of Pavia and Foundation IRCCS Policlinico San Matteo, Pavia, Italy. Department of Surgery, AUSL Bologna Bellaria-Maggiore Hospital, Bologna, Italy. Division of General and Hepatobiliary Surgery, Department of Surgical Sciences, Dentistry, Gynecology and Pediatrics, University of Verona, Verona, Italy. Department of Clinical and Experimental Sciences, University of Brescia, Brescia, Italy. General and Oncologic Surgery, Morgagni-Pierantoni Hospital, Forlì, Italy. HPB Surgical Unit, San Paolo Hospital, Savona, Italy. Department of Surgery, Bolzano Central Hospital, Bolzano, Italy. Department of Surgery, Oncology and Gastroenterology, Hepatobiliary Surgery and Liver Transplantation, Padua University, Italy. Department of General Surgery, Poliambulanza Foundation Hospital, Brescia, Italy. Department of Surgery, Monza Policlinic, Monza, Italy. Department of Surgery, L. Sacco Hospital, Milan, Italy. Department of Emergency and Organ Transplantation, Aldo Moro University, Bari, Italy.","page":"840-846","title":"The Impact of Hospital Volume on Failure to Rescue after Liver Resection for Hepatocellular Carcinoma: Analysis from the HE.RC.O.LE.S. Italian Registry","volume":"272","author":[{"family":"Ardito","given":"F."},{"family":"Famularo","given":"S."},{"family":"Aldrighetti","given":"L."},{"family":"Grazi","given":"G. L."},{"family":"DallaValle","given":"R."},{"family":"Maestri","given":"M."},{"family":"Jovine","given":"E."},{"family":"Ruzzenente","given":"A."},{"family":"Baiocchi","given":"G. L."},{"family":"Ercolani","given":"G."},{"family":"Griseri","given":"G."},{"family":"Frena","given":"A."},{"family":"Zanus","given":"G."},{"family":"Zimmitti","given":"G."},{"family":"Antonucci","given":"A."},{"family":"Crespi","given":"M."},{"family":"Memeo","given":"R."},{"family":"Romano","given":"F."},{"family":"Giuliante","given":"F."}],"issued":{"date-parts":[["2020",11]]}}}],"schema":"https://github.com/citation-style-language/schema/raw/master/csl-citation.json"} </w:instrText>
            </w:r>
            <w:r w:rsidRPr="00C47DDC">
              <w:rPr>
                <w:color w:val="000000"/>
                <w:sz w:val="14"/>
                <w:szCs w:val="14"/>
              </w:rPr>
              <w:fldChar w:fldCharType="separate"/>
            </w:r>
            <w:r w:rsidRPr="004125CE">
              <w:rPr>
                <w:sz w:val="14"/>
              </w:rPr>
              <w:t>[65]</w:t>
            </w:r>
            <w:r w:rsidRPr="00C47DDC">
              <w:rPr>
                <w:color w:val="000000"/>
                <w:sz w:val="14"/>
                <w:szCs w:val="14"/>
              </w:rPr>
              <w:fldChar w:fldCharType="end"/>
            </w:r>
          </w:p>
        </w:tc>
        <w:tc>
          <w:tcPr>
            <w:tcW w:w="5954" w:type="dxa"/>
            <w:vAlign w:val="center"/>
          </w:tcPr>
          <w:p w14:paraId="4FBCF92A" w14:textId="77777777" w:rsidR="000F0341" w:rsidRPr="00C47DDC" w:rsidRDefault="000F0341" w:rsidP="00E40B0D">
            <w:pPr>
              <w:spacing w:line="240" w:lineRule="auto"/>
              <w:jc w:val="left"/>
              <w:rPr>
                <w:b/>
                <w:bCs/>
                <w:color w:val="000000"/>
                <w:sz w:val="14"/>
                <w:szCs w:val="14"/>
              </w:rPr>
            </w:pPr>
            <w:r w:rsidRPr="00C47DDC">
              <w:rPr>
                <w:b/>
                <w:bCs/>
                <w:color w:val="000000"/>
                <w:sz w:val="14"/>
                <w:szCs w:val="14"/>
              </w:rPr>
              <w:t>FTR:</w:t>
            </w:r>
            <w:r w:rsidRPr="00C47DDC">
              <w:rPr>
                <w:color w:val="000000"/>
                <w:sz w:val="14"/>
                <w:szCs w:val="14"/>
              </w:rPr>
              <w:t xml:space="preserve"> </w:t>
            </w:r>
            <w:r w:rsidRPr="00C47DDC">
              <w:rPr>
                <w:color w:val="000000"/>
                <w:sz w:val="14"/>
                <w:szCs w:val="14"/>
                <w:u w:val="single"/>
              </w:rPr>
              <w:t>High</w:t>
            </w:r>
            <w:r w:rsidRPr="00C47DDC">
              <w:rPr>
                <w:color w:val="000000"/>
                <w:sz w:val="14"/>
                <w:szCs w:val="14"/>
              </w:rPr>
              <w:t xml:space="preserve"> vs. Low-intermediate: 5.995</w:t>
            </w:r>
            <w:r w:rsidRPr="00C47DDC">
              <w:rPr>
                <w:color w:val="000000"/>
                <w:sz w:val="14"/>
                <w:szCs w:val="14"/>
                <w:vertAlign w:val="superscript"/>
              </w:rPr>
              <w:t>a</w:t>
            </w:r>
            <w:r w:rsidRPr="00C47DDC">
              <w:rPr>
                <w:color w:val="000000"/>
                <w:sz w:val="14"/>
                <w:szCs w:val="14"/>
              </w:rPr>
              <w:t xml:space="preserve"> [1.961-18.328]**; </w:t>
            </w:r>
            <w:r w:rsidRPr="00C47DDC">
              <w:rPr>
                <w:color w:val="000000"/>
                <w:sz w:val="14"/>
                <w:szCs w:val="14"/>
              </w:rPr>
              <w:br/>
              <w:t xml:space="preserve">(After PSM): </w:t>
            </w:r>
            <w:r w:rsidRPr="00C47DDC">
              <w:rPr>
                <w:color w:val="000000"/>
                <w:sz w:val="14"/>
                <w:szCs w:val="14"/>
                <w:u w:val="single"/>
              </w:rPr>
              <w:t>High</w:t>
            </w:r>
            <w:r w:rsidRPr="00C47DDC">
              <w:rPr>
                <w:color w:val="000000"/>
                <w:sz w:val="14"/>
                <w:szCs w:val="14"/>
              </w:rPr>
              <w:t xml:space="preserve"> vs. Low-intermediate: 5.069</w:t>
            </w:r>
            <w:r w:rsidRPr="00C47DDC">
              <w:rPr>
                <w:color w:val="000000"/>
                <w:sz w:val="14"/>
                <w:szCs w:val="14"/>
                <w:vertAlign w:val="superscript"/>
              </w:rPr>
              <w:t>a</w:t>
            </w:r>
            <w:r w:rsidRPr="00C47DDC">
              <w:rPr>
                <w:color w:val="000000"/>
                <w:sz w:val="14"/>
                <w:szCs w:val="14"/>
              </w:rPr>
              <w:t xml:space="preserve"> [1.409–18.232]*</w:t>
            </w:r>
          </w:p>
        </w:tc>
        <w:tc>
          <w:tcPr>
            <w:tcW w:w="1276" w:type="dxa"/>
            <w:vAlign w:val="center"/>
          </w:tcPr>
          <w:p w14:paraId="1FAFA244" w14:textId="77777777" w:rsidR="000F0341" w:rsidRPr="00C47DDC" w:rsidRDefault="000F0341" w:rsidP="00E40B0D">
            <w:pPr>
              <w:spacing w:line="276" w:lineRule="auto"/>
              <w:jc w:val="left"/>
              <w:rPr>
                <w:color w:val="000000"/>
                <w:sz w:val="14"/>
                <w:szCs w:val="14"/>
              </w:rPr>
            </w:pPr>
            <w:r w:rsidRPr="00C47DDC">
              <w:rPr>
                <w:color w:val="000000"/>
                <w:sz w:val="14"/>
                <w:szCs w:val="14"/>
              </w:rPr>
              <w:t>9/4/8/6</w:t>
            </w:r>
          </w:p>
        </w:tc>
        <w:tc>
          <w:tcPr>
            <w:tcW w:w="997" w:type="dxa"/>
            <w:vAlign w:val="center"/>
          </w:tcPr>
          <w:p w14:paraId="2FF0D4A9" w14:textId="77777777" w:rsidR="000F0341" w:rsidRPr="00C47DDC" w:rsidRDefault="000F0341" w:rsidP="00E40B0D">
            <w:pPr>
              <w:spacing w:line="276" w:lineRule="auto"/>
              <w:jc w:val="left"/>
              <w:rPr>
                <w:color w:val="000000"/>
                <w:sz w:val="14"/>
                <w:szCs w:val="14"/>
              </w:rPr>
            </w:pPr>
            <w:r w:rsidRPr="00C47DDC">
              <w:rPr>
                <w:color w:val="000000"/>
                <w:sz w:val="14"/>
                <w:szCs w:val="14"/>
              </w:rPr>
              <w:t>Low Risk</w:t>
            </w:r>
          </w:p>
        </w:tc>
      </w:tr>
      <w:tr w:rsidR="000F0341" w:rsidRPr="00BF62A1" w14:paraId="27122914" w14:textId="77777777" w:rsidTr="00E40B0D">
        <w:trPr>
          <w:trHeight w:val="20"/>
        </w:trPr>
        <w:tc>
          <w:tcPr>
            <w:tcW w:w="1129" w:type="dxa"/>
            <w:vAlign w:val="center"/>
          </w:tcPr>
          <w:p w14:paraId="3B17EC31" w14:textId="73A4B499" w:rsidR="000F0341" w:rsidRPr="00C47DDC" w:rsidRDefault="000F0341" w:rsidP="00E40B0D">
            <w:pPr>
              <w:spacing w:line="240" w:lineRule="auto"/>
              <w:jc w:val="left"/>
              <w:rPr>
                <w:color w:val="000000"/>
                <w:sz w:val="14"/>
                <w:szCs w:val="14"/>
              </w:rPr>
            </w:pPr>
            <w:r w:rsidRPr="00C47DDC">
              <w:rPr>
                <w:color w:val="000000"/>
                <w:sz w:val="14"/>
                <w:szCs w:val="14"/>
              </w:rPr>
              <w:t xml:space="preserve">Buettner 2016 </w:t>
            </w:r>
            <w:r w:rsidRPr="00C47DDC">
              <w:rPr>
                <w:color w:val="000000"/>
                <w:sz w:val="14"/>
                <w:szCs w:val="14"/>
              </w:rPr>
              <w:fldChar w:fldCharType="begin"/>
            </w:r>
            <w:r>
              <w:rPr>
                <w:color w:val="000000"/>
                <w:sz w:val="14"/>
                <w:szCs w:val="14"/>
              </w:rPr>
              <w:instrText xml:space="preserve"> ADDIN ZOTERO_ITEM CSL_CITATION {"citationID":"x9n71nPr","properties":{"formattedCitation":"[89]","plainCitation":"[89]","noteIndex":0},"citationItems":[{"id":14336,"uris":["http://zotero.org/groups/4983919/items/X7K5DKAZ"],"itemData":{"id":14336,"type":"article-journal","abstract":"BACKGROUND: Although previous reports have focused on factors at the hospital level to explain variations in postoperative outcomes, less is known regarding the effect of provider-specific factors on postoperative outcomes such as failure-to-rescue (FTR) and postoperative mortality. The current study aimed to quantify the relative contributions of surgeon and hospital volume on the volume-outcomes relationship among a cohort of patients undergoing liver resection. METHODS: Patients undergoing liver surgery for cancer were identified using the Nationwide Inpatient Sample from 2001 and 2009. Multivariable logistic regression analysis was performed to identify factors associated with mortality and FTR. Point estimates were used to calculate the relative effects of hospital and surgeon volume on mortality and FTR. RESULTS: A total of 5,075 patients underwent liver surgery and met inclusion criteria. Median patient age was 62 years (interquartile range, 52-70) and 55.2% of patients were male. Mortality was lowest among patients treated at high-volume hospitals and among patients treated by high-volume surgeons (both P &lt; .001). Similar patterns in FTR were noted relative to hospital and surgeon volume (hospital volume: low vs intermediate vs high; 10.3 vs 9.0 vs 5.2%; surgeon volume: low vs intermediate vs high, 11.1 vs 9.1 vs 4.1%; both P &lt; .05). On multivariable analysis, compared with high-volume surgeons, lower volume surgeons demonstrated greater odds for mortality (intermediate: odds ratio [OR], 2.27 [95% CI, 1.27-4.06; P = .006]; low, OR, 2.83 [95% CI, 1.52-5.27; P = .001]), and FTR (intermediate: OR, 2.86 [95% CI, 1.53-5.34, P = .001]; low, OR, 3.40 [95% CI, 1.75-6.63; P &lt; .001]). While hospital volume accounted for 0.5% of the surgeon volume effect on increased FTR for low-volume surgeons, surgeon volume accounted for nearly all of the hospital volume effect on increased FTR in low-volume hospitals. CONCLUSION: The risk of complications, mortality, and FTR were less among both high-volume hospitals and high-volume surgeons, but the beneficial effect of volume on outcomes was attributable largely to surgeon volume.","container-title":"Surgery","DOI":"10.1016/j.surg.2015.10.025","ISSN":"0039-6060","issue":"4","language":"eng","page":"1004-12","title":"The relative effect of hospital and surgeon volume on failure to rescue among patients undergoing liver resection for cancer","volume":"159","author":[{"family":"Buettner","given":"S."},{"family":"Gani","given":"F."},{"family":"Amini","given":"N."},{"family":"Spolverato","given":"G."},{"family":"Kim","given":"Y."},{"family":"Kilic","given":"A."},{"family":"Wagner","given":"D."},{"family":"Pawlik","given":"T. M."}],"issued":{"date-parts":[["2016",4]]}}}],"schema":"https://github.com/citation-style-language/schema/raw/master/csl-citation.json"} </w:instrText>
            </w:r>
            <w:r w:rsidRPr="00C47DDC">
              <w:rPr>
                <w:color w:val="000000"/>
                <w:sz w:val="14"/>
                <w:szCs w:val="14"/>
              </w:rPr>
              <w:fldChar w:fldCharType="separate"/>
            </w:r>
            <w:r w:rsidRPr="004125CE">
              <w:rPr>
                <w:sz w:val="14"/>
              </w:rPr>
              <w:t>[8</w:t>
            </w:r>
            <w:r w:rsidR="00D03F0D">
              <w:rPr>
                <w:sz w:val="14"/>
              </w:rPr>
              <w:t>0</w:t>
            </w:r>
            <w:r w:rsidRPr="004125CE">
              <w:rPr>
                <w:sz w:val="14"/>
              </w:rPr>
              <w:t>]</w:t>
            </w:r>
            <w:r w:rsidRPr="00C47DDC">
              <w:rPr>
                <w:color w:val="000000"/>
                <w:sz w:val="14"/>
                <w:szCs w:val="14"/>
              </w:rPr>
              <w:fldChar w:fldCharType="end"/>
            </w:r>
          </w:p>
        </w:tc>
        <w:tc>
          <w:tcPr>
            <w:tcW w:w="5954" w:type="dxa"/>
            <w:vAlign w:val="center"/>
          </w:tcPr>
          <w:p w14:paraId="1FCCDF55" w14:textId="77777777" w:rsidR="000F0341" w:rsidRPr="00C47DDC" w:rsidRDefault="000F0341" w:rsidP="00E40B0D">
            <w:pPr>
              <w:spacing w:line="240" w:lineRule="auto"/>
              <w:jc w:val="left"/>
              <w:rPr>
                <w:color w:val="000000"/>
                <w:sz w:val="14"/>
                <w:szCs w:val="14"/>
              </w:rPr>
            </w:pPr>
            <w:r w:rsidRPr="00C47DDC">
              <w:rPr>
                <w:b/>
                <w:bCs/>
                <w:color w:val="000000"/>
                <w:sz w:val="14"/>
                <w:szCs w:val="14"/>
              </w:rPr>
              <w:t>Postoperative mortality:</w:t>
            </w:r>
            <w:r w:rsidRPr="00C47DDC">
              <w:rPr>
                <w:color w:val="000000"/>
                <w:sz w:val="14"/>
                <w:szCs w:val="14"/>
              </w:rPr>
              <w:t xml:space="preserve"> (OR): </w:t>
            </w:r>
            <w:r w:rsidRPr="00C47DDC">
              <w:rPr>
                <w:color w:val="000000"/>
                <w:sz w:val="14"/>
                <w:szCs w:val="14"/>
                <w:u w:val="single"/>
              </w:rPr>
              <w:t>High</w:t>
            </w:r>
            <w:r w:rsidRPr="00C47DDC">
              <w:rPr>
                <w:color w:val="000000"/>
                <w:sz w:val="14"/>
                <w:szCs w:val="14"/>
              </w:rPr>
              <w:t xml:space="preserve"> vs. Low: 2.13</w:t>
            </w:r>
            <w:r w:rsidRPr="00C47DDC">
              <w:rPr>
                <w:color w:val="000000"/>
                <w:sz w:val="14"/>
                <w:szCs w:val="14"/>
                <w:vertAlign w:val="superscript"/>
              </w:rPr>
              <w:t>a</w:t>
            </w:r>
            <w:r w:rsidRPr="00C47DDC">
              <w:rPr>
                <w:color w:val="000000"/>
                <w:sz w:val="14"/>
                <w:szCs w:val="14"/>
              </w:rPr>
              <w:t xml:space="preserve"> [1.31-3.47]**; Intermediate: 2.00</w:t>
            </w:r>
            <w:r w:rsidRPr="00C47DDC">
              <w:rPr>
                <w:color w:val="000000"/>
                <w:sz w:val="14"/>
                <w:szCs w:val="14"/>
                <w:vertAlign w:val="superscript"/>
              </w:rPr>
              <w:t>a</w:t>
            </w:r>
            <w:r w:rsidRPr="00C47DDC">
              <w:rPr>
                <w:color w:val="000000"/>
                <w:sz w:val="14"/>
                <w:szCs w:val="14"/>
              </w:rPr>
              <w:t xml:space="preserve"> [1.24-3.21]**| </w:t>
            </w:r>
            <w:r w:rsidRPr="00C47DDC">
              <w:rPr>
                <w:b/>
                <w:bCs/>
                <w:color w:val="000000"/>
                <w:sz w:val="14"/>
                <w:szCs w:val="14"/>
              </w:rPr>
              <w:t>FTR:</w:t>
            </w:r>
            <w:r w:rsidRPr="00C47DDC">
              <w:rPr>
                <w:color w:val="000000"/>
                <w:sz w:val="14"/>
                <w:szCs w:val="14"/>
              </w:rPr>
              <w:t xml:space="preserve"> </w:t>
            </w:r>
            <w:r w:rsidRPr="00C47DDC">
              <w:rPr>
                <w:color w:val="000000"/>
                <w:sz w:val="14"/>
                <w:szCs w:val="14"/>
                <w:u w:val="single"/>
              </w:rPr>
              <w:t>High</w:t>
            </w:r>
            <w:r w:rsidRPr="00C47DDC">
              <w:rPr>
                <w:color w:val="000000"/>
                <w:sz w:val="14"/>
                <w:szCs w:val="14"/>
              </w:rPr>
              <w:t xml:space="preserve"> vs. Low: 2.15</w:t>
            </w:r>
            <w:r w:rsidRPr="00C47DDC">
              <w:rPr>
                <w:color w:val="000000"/>
                <w:sz w:val="14"/>
                <w:szCs w:val="14"/>
                <w:vertAlign w:val="superscript"/>
              </w:rPr>
              <w:t>a</w:t>
            </w:r>
            <w:r w:rsidRPr="00C47DDC">
              <w:rPr>
                <w:color w:val="000000"/>
                <w:sz w:val="14"/>
                <w:szCs w:val="14"/>
              </w:rPr>
              <w:t xml:space="preserve"> [1.33–3.48]**; Intermediate: 2.04</w:t>
            </w:r>
            <w:r w:rsidRPr="00C47DDC">
              <w:rPr>
                <w:color w:val="000000"/>
                <w:sz w:val="14"/>
                <w:szCs w:val="14"/>
                <w:vertAlign w:val="superscript"/>
              </w:rPr>
              <w:t>a</w:t>
            </w:r>
            <w:r w:rsidRPr="00C47DDC">
              <w:rPr>
                <w:color w:val="000000"/>
                <w:sz w:val="14"/>
                <w:szCs w:val="14"/>
              </w:rPr>
              <w:t xml:space="preserve"> [1.25–3.33]**</w:t>
            </w:r>
          </w:p>
        </w:tc>
        <w:tc>
          <w:tcPr>
            <w:tcW w:w="1276" w:type="dxa"/>
            <w:vAlign w:val="center"/>
          </w:tcPr>
          <w:p w14:paraId="11A076F4" w14:textId="77777777" w:rsidR="000F0341" w:rsidRPr="00C47DDC" w:rsidRDefault="000F0341" w:rsidP="00E40B0D">
            <w:pPr>
              <w:spacing w:line="276" w:lineRule="auto"/>
              <w:jc w:val="left"/>
              <w:rPr>
                <w:color w:val="000000"/>
                <w:sz w:val="14"/>
                <w:szCs w:val="14"/>
              </w:rPr>
            </w:pPr>
            <w:r w:rsidRPr="00C47DDC">
              <w:rPr>
                <w:color w:val="000000"/>
                <w:sz w:val="14"/>
                <w:szCs w:val="14"/>
              </w:rPr>
              <w:t>12/2/7/6</w:t>
            </w:r>
          </w:p>
        </w:tc>
        <w:tc>
          <w:tcPr>
            <w:tcW w:w="997" w:type="dxa"/>
            <w:vAlign w:val="center"/>
          </w:tcPr>
          <w:p w14:paraId="54003586" w14:textId="77777777" w:rsidR="000F0341" w:rsidRPr="00C47DDC" w:rsidRDefault="000F0341" w:rsidP="00E40B0D">
            <w:pPr>
              <w:spacing w:line="276" w:lineRule="auto"/>
              <w:jc w:val="left"/>
              <w:rPr>
                <w:color w:val="000000"/>
                <w:sz w:val="14"/>
                <w:szCs w:val="14"/>
              </w:rPr>
            </w:pPr>
            <w:r w:rsidRPr="00C47DDC">
              <w:rPr>
                <w:color w:val="000000"/>
                <w:sz w:val="14"/>
                <w:szCs w:val="14"/>
              </w:rPr>
              <w:t>High Risk</w:t>
            </w:r>
          </w:p>
        </w:tc>
      </w:tr>
      <w:tr w:rsidR="000F0341" w:rsidRPr="00BF62A1" w14:paraId="116C6EF2" w14:textId="77777777" w:rsidTr="00E40B0D">
        <w:trPr>
          <w:trHeight w:val="20"/>
        </w:trPr>
        <w:tc>
          <w:tcPr>
            <w:tcW w:w="1129" w:type="dxa"/>
            <w:vAlign w:val="center"/>
          </w:tcPr>
          <w:p w14:paraId="7EBE9E1B" w14:textId="77777777" w:rsidR="000F0341" w:rsidRPr="00C47DDC" w:rsidRDefault="000F0341" w:rsidP="00E40B0D">
            <w:pPr>
              <w:spacing w:line="240" w:lineRule="auto"/>
              <w:jc w:val="left"/>
              <w:rPr>
                <w:color w:val="000000"/>
                <w:sz w:val="14"/>
                <w:szCs w:val="14"/>
              </w:rPr>
            </w:pPr>
            <w:r w:rsidRPr="00C47DDC">
              <w:rPr>
                <w:color w:val="000000"/>
                <w:sz w:val="14"/>
                <w:szCs w:val="14"/>
              </w:rPr>
              <w:t xml:space="preserve">Gani 2016 </w:t>
            </w:r>
            <w:r w:rsidRPr="00C47DDC">
              <w:rPr>
                <w:color w:val="000000"/>
                <w:sz w:val="14"/>
                <w:szCs w:val="14"/>
              </w:rPr>
              <w:fldChar w:fldCharType="begin"/>
            </w:r>
            <w:r>
              <w:rPr>
                <w:color w:val="000000"/>
                <w:sz w:val="14"/>
                <w:szCs w:val="14"/>
              </w:rPr>
              <w:instrText xml:space="preserve"> ADDIN ZOTERO_ITEM CSL_CITATION {"citationID":"PS2LENil","properties":{"formattedCitation":"[55]","plainCitation":"[55]","noteIndex":0},"citationItems":[{"id":14189,"uris":["http://zotero.org/groups/4983919/items/YC9I5MBJ"],"itemData":{"id":14189,"type":"article-journal","abstract":"BACKGROUND: Although proposed as a means for quality improvement, little is known regarding the economic consequences of volume-based referral. The objective of the current study was to investigate the relationship between inpatient costs and hospital volume. METHODS: Patients undergoing elective liver surgery were identified using the Nationwide Inpatient Sample from 2001 to 2012. Multivariable hierarchical regression analyses were performed to calculate and compare risk-adjusted costs and postoperative outcomes across hospital volume terciles. RESULTS: A total of 27,813 patients underwent surgery at 2207 hospitals. Although costs were comparable across the three volume groups (all p &gt; 0.05), patients who developed a postoperative complication incurred a higher overall cost (complication vs. no complication; median costs $17,974 [IQR 13,865-25,623] vs. $41,731 [IQR 27,008-64,266], p &lt; 0.001). In contrast, while the incidence of postoperative complications (low vs. intermediate vs. high; 22.0 vs. 19.2 vs. 13.0 %, p &lt; 0.001) and subsequent failure-to-rescue (low vs. intermediate vs. high; 16.6 vs. 24.7 vs. 15.1 %, p &lt; 0.001) was lower at high-volume hospitals, costs associated with \"rescue\" were substantially higher at high-volume hospitals (low vs. intermediate vs. high; $39,289 vs. $36,157 vs. $48,559, both p &lt; 0.001). CONCLUSIONS: Compared with lower volume hospitals, improved outcomes among patients who developed a complication at high-volume hospitals were associated with an increased cost.","container-title":"J Gastrointest Surg","DOI":"10.1007/s11605-015-3071-1","ISSN":"1091-255x","issue":"5","language":"eng","note":"publisher-place: Department of Surgery, Johns Hopkins University School of Medicine, 600 North Wolfe Street Blalock 688, Baltimore, MD, 21287, USA. Department of Surgery, Johns Hopkins University School of Medicine, 600 North Wolfe Street Blalock 688, Baltimore, MD, 21287, USA. tpawlik1@jhmi.edu.","page":"945-52","title":"Assessing the Costs Associated with Volume-Based Referral for Hepatic Surgery","volume":"20","author":[{"family":"Gani","given":"F."},{"family":"Pawlik","given":"T. M."}],"issued":{"date-parts":[["2016",5]]}}}],"schema":"https://github.com/citation-style-language/schema/raw/master/csl-citation.json"} </w:instrText>
            </w:r>
            <w:r w:rsidRPr="00C47DDC">
              <w:rPr>
                <w:color w:val="000000"/>
                <w:sz w:val="14"/>
                <w:szCs w:val="14"/>
              </w:rPr>
              <w:fldChar w:fldCharType="separate"/>
            </w:r>
            <w:r w:rsidRPr="004125CE">
              <w:rPr>
                <w:sz w:val="14"/>
              </w:rPr>
              <w:t>[55]</w:t>
            </w:r>
            <w:r w:rsidRPr="00C47DDC">
              <w:rPr>
                <w:color w:val="000000"/>
                <w:sz w:val="14"/>
                <w:szCs w:val="14"/>
              </w:rPr>
              <w:fldChar w:fldCharType="end"/>
            </w:r>
          </w:p>
        </w:tc>
        <w:tc>
          <w:tcPr>
            <w:tcW w:w="5954" w:type="dxa"/>
            <w:vAlign w:val="center"/>
          </w:tcPr>
          <w:p w14:paraId="71C47AB3" w14:textId="77777777" w:rsidR="000F0341" w:rsidRPr="00C47DDC" w:rsidRDefault="000F0341" w:rsidP="00E40B0D">
            <w:pPr>
              <w:spacing w:line="240" w:lineRule="auto"/>
              <w:jc w:val="left"/>
              <w:rPr>
                <w:color w:val="000000"/>
                <w:sz w:val="14"/>
                <w:szCs w:val="14"/>
              </w:rPr>
            </w:pPr>
            <w:r w:rsidRPr="00C47DDC">
              <w:rPr>
                <w:b/>
                <w:bCs/>
                <w:color w:val="000000"/>
                <w:sz w:val="14"/>
                <w:szCs w:val="14"/>
              </w:rPr>
              <w:t>Postoperative mortality:</w:t>
            </w:r>
            <w:r w:rsidRPr="00C47DDC">
              <w:rPr>
                <w:color w:val="000000"/>
                <w:sz w:val="14"/>
                <w:szCs w:val="14"/>
              </w:rPr>
              <w:t xml:space="preserve"> (%): Low: 9.0</w:t>
            </w:r>
            <w:r w:rsidRPr="00C47DDC">
              <w:rPr>
                <w:sz w:val="14"/>
                <w:szCs w:val="14"/>
                <w:vertAlign w:val="superscript"/>
              </w:rPr>
              <w:t>d</w:t>
            </w:r>
            <w:r w:rsidRPr="00C47DDC">
              <w:rPr>
                <w:color w:val="000000"/>
                <w:sz w:val="14"/>
                <w:szCs w:val="14"/>
              </w:rPr>
              <w:t xml:space="preserve"> ; Intermediate: 7.6</w:t>
            </w:r>
            <w:r w:rsidRPr="00C47DDC">
              <w:rPr>
                <w:sz w:val="14"/>
                <w:szCs w:val="14"/>
                <w:vertAlign w:val="superscript"/>
              </w:rPr>
              <w:t>d</w:t>
            </w:r>
            <w:r w:rsidRPr="00C47DDC">
              <w:rPr>
                <w:color w:val="000000"/>
                <w:sz w:val="14"/>
                <w:szCs w:val="14"/>
              </w:rPr>
              <w:t>; High: 1.3</w:t>
            </w:r>
            <w:r w:rsidRPr="00C47DDC">
              <w:rPr>
                <w:sz w:val="14"/>
                <w:szCs w:val="14"/>
                <w:vertAlign w:val="superscript"/>
              </w:rPr>
              <w:t xml:space="preserve">d </w:t>
            </w:r>
            <w:r w:rsidRPr="00C47DDC">
              <w:rPr>
                <w:color w:val="000000"/>
                <w:sz w:val="14"/>
                <w:szCs w:val="14"/>
              </w:rPr>
              <w:t>*|</w:t>
            </w:r>
            <w:r w:rsidRPr="00C47DDC">
              <w:rPr>
                <w:color w:val="000000"/>
                <w:sz w:val="14"/>
                <w:szCs w:val="14"/>
              </w:rPr>
              <w:br/>
            </w:r>
            <w:r w:rsidRPr="00C47DDC">
              <w:rPr>
                <w:b/>
                <w:bCs/>
                <w:color w:val="000000"/>
                <w:sz w:val="14"/>
                <w:szCs w:val="14"/>
              </w:rPr>
              <w:t>FTR:</w:t>
            </w:r>
            <w:r w:rsidRPr="00C47DDC">
              <w:rPr>
                <w:color w:val="000000"/>
                <w:sz w:val="14"/>
                <w:szCs w:val="14"/>
              </w:rPr>
              <w:t xml:space="preserve"> Low: 16.6</w:t>
            </w:r>
            <w:r w:rsidRPr="00C47DDC">
              <w:rPr>
                <w:sz w:val="14"/>
                <w:szCs w:val="14"/>
                <w:vertAlign w:val="superscript"/>
              </w:rPr>
              <w:t>d</w:t>
            </w:r>
            <w:r w:rsidRPr="00C47DDC">
              <w:rPr>
                <w:color w:val="000000"/>
                <w:sz w:val="14"/>
                <w:szCs w:val="14"/>
              </w:rPr>
              <w:t>; Intermediate: 24.7</w:t>
            </w:r>
            <w:r w:rsidRPr="00C47DDC">
              <w:rPr>
                <w:sz w:val="14"/>
                <w:szCs w:val="14"/>
                <w:vertAlign w:val="superscript"/>
              </w:rPr>
              <w:t>d</w:t>
            </w:r>
            <w:r w:rsidRPr="00C47DDC">
              <w:rPr>
                <w:color w:val="000000"/>
                <w:sz w:val="14"/>
                <w:szCs w:val="14"/>
              </w:rPr>
              <w:t>; High: 15.1</w:t>
            </w:r>
            <w:r w:rsidRPr="00C47DDC">
              <w:rPr>
                <w:sz w:val="14"/>
                <w:szCs w:val="14"/>
                <w:vertAlign w:val="superscript"/>
              </w:rPr>
              <w:t>d</w:t>
            </w:r>
            <w:r w:rsidRPr="00C47DDC">
              <w:rPr>
                <w:color w:val="000000"/>
                <w:sz w:val="14"/>
                <w:szCs w:val="14"/>
              </w:rPr>
              <w:t xml:space="preserve"> **</w:t>
            </w:r>
          </w:p>
        </w:tc>
        <w:tc>
          <w:tcPr>
            <w:tcW w:w="1276" w:type="dxa"/>
            <w:vAlign w:val="center"/>
          </w:tcPr>
          <w:p w14:paraId="19A41FD6" w14:textId="77777777" w:rsidR="000F0341" w:rsidRPr="00C47DDC" w:rsidRDefault="000F0341" w:rsidP="00E40B0D">
            <w:pPr>
              <w:spacing w:line="276" w:lineRule="auto"/>
              <w:jc w:val="left"/>
              <w:rPr>
                <w:color w:val="000000"/>
                <w:sz w:val="14"/>
                <w:szCs w:val="14"/>
              </w:rPr>
            </w:pPr>
            <w:r w:rsidRPr="00C47DDC">
              <w:rPr>
                <w:color w:val="000000"/>
                <w:sz w:val="14"/>
                <w:szCs w:val="14"/>
              </w:rPr>
              <w:t>11/4/6/6</w:t>
            </w:r>
          </w:p>
        </w:tc>
        <w:tc>
          <w:tcPr>
            <w:tcW w:w="997" w:type="dxa"/>
            <w:vAlign w:val="center"/>
          </w:tcPr>
          <w:p w14:paraId="4866237E" w14:textId="77777777" w:rsidR="000F0341" w:rsidRPr="00C47DDC" w:rsidRDefault="000F0341" w:rsidP="00E40B0D">
            <w:pPr>
              <w:spacing w:line="276" w:lineRule="auto"/>
              <w:jc w:val="left"/>
              <w:rPr>
                <w:color w:val="000000"/>
                <w:sz w:val="14"/>
                <w:szCs w:val="14"/>
              </w:rPr>
            </w:pPr>
            <w:r w:rsidRPr="00C47DDC">
              <w:rPr>
                <w:color w:val="000000"/>
                <w:sz w:val="14"/>
                <w:szCs w:val="14"/>
              </w:rPr>
              <w:t>High Risk</w:t>
            </w:r>
          </w:p>
        </w:tc>
      </w:tr>
      <w:tr w:rsidR="000F0341" w:rsidRPr="00BF62A1" w14:paraId="0B108DF1" w14:textId="77777777" w:rsidTr="00E40B0D">
        <w:trPr>
          <w:trHeight w:val="20"/>
        </w:trPr>
        <w:tc>
          <w:tcPr>
            <w:tcW w:w="1129" w:type="dxa"/>
            <w:vAlign w:val="center"/>
          </w:tcPr>
          <w:p w14:paraId="07E8E90C" w14:textId="77777777" w:rsidR="000F0341" w:rsidRPr="00C47DDC" w:rsidRDefault="000F0341" w:rsidP="00E40B0D">
            <w:pPr>
              <w:spacing w:line="240" w:lineRule="auto"/>
              <w:jc w:val="left"/>
              <w:rPr>
                <w:color w:val="000000"/>
                <w:sz w:val="14"/>
                <w:szCs w:val="14"/>
              </w:rPr>
            </w:pPr>
            <w:r w:rsidRPr="00C47DDC">
              <w:rPr>
                <w:color w:val="000000"/>
                <w:sz w:val="14"/>
                <w:szCs w:val="14"/>
              </w:rPr>
              <w:t xml:space="preserve">Shaw 2013 </w:t>
            </w:r>
            <w:r w:rsidRPr="00C47DDC">
              <w:rPr>
                <w:color w:val="000000"/>
                <w:sz w:val="14"/>
                <w:szCs w:val="14"/>
              </w:rPr>
              <w:fldChar w:fldCharType="begin"/>
            </w:r>
            <w:r>
              <w:rPr>
                <w:color w:val="000000"/>
                <w:sz w:val="14"/>
                <w:szCs w:val="14"/>
              </w:rPr>
              <w:instrText xml:space="preserve"> ADDIN ZOTERO_ITEM CSL_CITATION {"citationID":"GrCqWKh1","properties":{"formattedCitation":"[71]","plainCitation":"[71]","noteIndex":0},"citationItems":[{"id":14154,"uris":["http://zotero.org/groups/4983919/items/HSBRVXJ5"],"itemData":{"id":14154,"type":"article-journal","abstract":"BACKGROUND: Specialized procedures such as hepatectomy are performed by a variety of specialties in surgery. We aimed to determine whether variation exists among utilization of resources, cost, and patient outcomes by specialty, surgeon case volume, and center case volume for hepatectomy. METHODS: We queried centers (n = 50) in the University Health Consortium database from 2007-2010 for patients who underwent elective hepatectomy in which specialty was designated general surgeon (n = 2685; 30%) or specialist surgeon (n = 6277; 70%), surgeon volume was designated high volume (&gt;38 cases annually) and center volume was designated high volume (&gt;100 cases annually). We then stratified our cohort by primary diagnosis, defined as primary tumor (n = 2241; 25%), secondary tumor (n = 5466; 61%), and benign (n = 1255; 14%). RESULTS: Specialist surgeons performed more cases for primary malignancy (primary 26% versus 15%) while general surgeons operated more for secondary malignancies (67% versus 61%) and benign disease (18% versus 13%). Specialists were associated with a shorter total length of stay (LOS) (5 d versus 6 d; P &lt; 0.01) and lower in-hospital morbidity (7% versus 11%; P &lt; 0.01). Patients treated by high volume surgeons or at high volume centers were less likely to die than those treated by low volume surgeons or at low volume centers, (OR 0.55; 95% CI 0.33-0.89) and (OR 0.44; 95% CI 0.13-0.56). CONCLUSIONS: Surgical specialization, surgeon volume and center volume may be important metrics for quality and utilization in complex procedures like hepatectomy. Further studies are necessary to link direct factors related to hospital performance in the changing healthcare environment.","container-title":"J Surg Res","DOI":"10.1016/j.jss.2013.04.072","ISSN":"0022-4804 (Print) 0022-4804","issue":"1","language":"eng","note":"publisher-place: Department of Surgery, Surgical Outcomes Analysis &amp; Research (SOAR), University of Massachusetts Medical School, Worcester, Massachusetts. Electronic address: joshua.shaw3@umassmemorial.org.","page":"433-40","title":"Specialization and utilization after hepatectomy in academic medical centers","volume":"185","author":[{"family":"Shaw","given":"J. J."},{"family":"Santry","given":"H. P."},{"family":"Shah","given":"S. A."}],"issued":{"date-parts":[["2013",11]]}}}],"schema":"https://github.com/citation-style-language/schema/raw/master/csl-citation.json"} </w:instrText>
            </w:r>
            <w:r w:rsidRPr="00C47DDC">
              <w:rPr>
                <w:color w:val="000000"/>
                <w:sz w:val="14"/>
                <w:szCs w:val="14"/>
              </w:rPr>
              <w:fldChar w:fldCharType="separate"/>
            </w:r>
            <w:r w:rsidRPr="004125CE">
              <w:rPr>
                <w:sz w:val="14"/>
              </w:rPr>
              <w:t>[71]</w:t>
            </w:r>
            <w:r w:rsidRPr="00C47DDC">
              <w:rPr>
                <w:color w:val="000000"/>
                <w:sz w:val="14"/>
                <w:szCs w:val="14"/>
              </w:rPr>
              <w:fldChar w:fldCharType="end"/>
            </w:r>
          </w:p>
        </w:tc>
        <w:tc>
          <w:tcPr>
            <w:tcW w:w="5954" w:type="dxa"/>
            <w:vAlign w:val="center"/>
          </w:tcPr>
          <w:p w14:paraId="0D412E81" w14:textId="77777777" w:rsidR="000F0341" w:rsidRPr="00C47DDC" w:rsidRDefault="000F0341" w:rsidP="00E40B0D">
            <w:pPr>
              <w:spacing w:line="240" w:lineRule="auto"/>
              <w:jc w:val="left"/>
              <w:rPr>
                <w:b/>
                <w:bCs/>
                <w:color w:val="000000"/>
                <w:sz w:val="14"/>
                <w:szCs w:val="14"/>
              </w:rPr>
            </w:pPr>
            <w:r w:rsidRPr="00C47DDC">
              <w:rPr>
                <w:b/>
                <w:bCs/>
                <w:color w:val="000000"/>
                <w:sz w:val="14"/>
                <w:szCs w:val="14"/>
              </w:rPr>
              <w:t>Hospital Mortality:</w:t>
            </w:r>
            <w:r w:rsidRPr="00C47DDC">
              <w:rPr>
                <w:color w:val="000000"/>
                <w:sz w:val="14"/>
                <w:szCs w:val="14"/>
              </w:rPr>
              <w:t xml:space="preserve"> (OR): </w:t>
            </w:r>
            <w:r w:rsidRPr="00C47DDC">
              <w:rPr>
                <w:color w:val="000000"/>
                <w:sz w:val="14"/>
                <w:szCs w:val="14"/>
                <w:u w:val="single"/>
              </w:rPr>
              <w:t>Low</w:t>
            </w:r>
            <w:r w:rsidRPr="00C47DDC">
              <w:rPr>
                <w:color w:val="000000"/>
                <w:sz w:val="14"/>
                <w:szCs w:val="14"/>
              </w:rPr>
              <w:t xml:space="preserve"> vs. Intermediate -; High: 0.44</w:t>
            </w:r>
            <w:r w:rsidRPr="00C47DDC">
              <w:rPr>
                <w:color w:val="000000"/>
                <w:sz w:val="14"/>
                <w:szCs w:val="14"/>
                <w:vertAlign w:val="superscript"/>
              </w:rPr>
              <w:t>a</w:t>
            </w:r>
            <w:r w:rsidRPr="00C47DDC">
              <w:rPr>
                <w:color w:val="000000"/>
                <w:sz w:val="14"/>
                <w:szCs w:val="14"/>
              </w:rPr>
              <w:t xml:space="preserve"> [0.13-0.56]</w:t>
            </w:r>
          </w:p>
        </w:tc>
        <w:tc>
          <w:tcPr>
            <w:tcW w:w="1276" w:type="dxa"/>
            <w:vAlign w:val="center"/>
          </w:tcPr>
          <w:p w14:paraId="18A1C6BC" w14:textId="77777777" w:rsidR="000F0341" w:rsidRPr="00C47DDC" w:rsidRDefault="000F0341" w:rsidP="00E40B0D">
            <w:pPr>
              <w:spacing w:line="276" w:lineRule="auto"/>
              <w:jc w:val="left"/>
              <w:rPr>
                <w:color w:val="000000"/>
                <w:sz w:val="14"/>
                <w:szCs w:val="14"/>
              </w:rPr>
            </w:pPr>
            <w:r w:rsidRPr="00C47DDC">
              <w:rPr>
                <w:color w:val="000000"/>
                <w:sz w:val="14"/>
                <w:szCs w:val="14"/>
              </w:rPr>
              <w:t>11/4/6/6</w:t>
            </w:r>
          </w:p>
        </w:tc>
        <w:tc>
          <w:tcPr>
            <w:tcW w:w="997" w:type="dxa"/>
            <w:vAlign w:val="center"/>
          </w:tcPr>
          <w:p w14:paraId="1151D2CC" w14:textId="77777777" w:rsidR="000F0341" w:rsidRPr="00C47DDC" w:rsidRDefault="000F0341" w:rsidP="00E40B0D">
            <w:pPr>
              <w:spacing w:line="276" w:lineRule="auto"/>
              <w:jc w:val="left"/>
              <w:rPr>
                <w:color w:val="000000"/>
                <w:sz w:val="14"/>
                <w:szCs w:val="14"/>
              </w:rPr>
            </w:pPr>
            <w:r w:rsidRPr="00C47DDC">
              <w:rPr>
                <w:color w:val="000000"/>
                <w:sz w:val="14"/>
                <w:szCs w:val="14"/>
              </w:rPr>
              <w:t>High Risk</w:t>
            </w:r>
          </w:p>
        </w:tc>
      </w:tr>
      <w:tr w:rsidR="000F0341" w:rsidRPr="00BF62A1" w14:paraId="3A4D4AEE" w14:textId="77777777" w:rsidTr="00E40B0D">
        <w:trPr>
          <w:trHeight w:val="20"/>
        </w:trPr>
        <w:tc>
          <w:tcPr>
            <w:tcW w:w="1129" w:type="dxa"/>
            <w:vAlign w:val="center"/>
          </w:tcPr>
          <w:p w14:paraId="15220203" w14:textId="77777777" w:rsidR="000F0341" w:rsidRPr="00C47DDC" w:rsidRDefault="000F0341" w:rsidP="00E40B0D">
            <w:pPr>
              <w:spacing w:line="240" w:lineRule="auto"/>
              <w:jc w:val="left"/>
              <w:rPr>
                <w:color w:val="000000"/>
                <w:sz w:val="14"/>
                <w:szCs w:val="14"/>
              </w:rPr>
            </w:pPr>
            <w:r w:rsidRPr="00C47DDC">
              <w:rPr>
                <w:color w:val="000000"/>
                <w:sz w:val="14"/>
                <w:szCs w:val="14"/>
              </w:rPr>
              <w:t xml:space="preserve">Gani 2017 </w:t>
            </w:r>
            <w:r w:rsidRPr="00C47DDC">
              <w:rPr>
                <w:color w:val="000000"/>
                <w:sz w:val="14"/>
                <w:szCs w:val="14"/>
              </w:rPr>
              <w:fldChar w:fldCharType="begin"/>
            </w:r>
            <w:r>
              <w:rPr>
                <w:color w:val="000000"/>
                <w:sz w:val="14"/>
                <w:szCs w:val="14"/>
              </w:rPr>
              <w:instrText xml:space="preserve"> ADDIN ZOTERO_ITEM CSL_CITATION {"citationID":"FesSluhb","properties":{"formattedCitation":"[54]","plainCitation":"[54]","noteIndex":0},"citationItems":[{"id":14190,"uris":["http://zotero.org/groups/4983919/items/6BABBFND"],"itemData":{"id":14190,"type":"article-journal","abstract":"INTRODUCTION: Data evaluating trends in hospital volume are lacking. The current study sought to examine trends in outcomes relative to hospital volume following liver surgery. METHODS: A total of 14,296 patients &gt;18 years undergoing an elective liver resection (LR) for cancer were identified using the National Inpatient Sample from 2001 to 2011. Multivariable logistic regression analysis was performed to compare postoperative morbidity and mortality relative to hospital volume over time. RESULTS: Over time, the proportion of patients undergoing a LR at a high-volume hospital (HVH) increased from 24.4 to 45.0 %, while the proportion of patients undergoing a LR at a low-volume hospital (LVH) decreased from 40.4 to 22.7 %. On multivariable analysis, patients undergoing a LR at high-volume hospitals demonstrated a 29 % lower odds of mortality (OR = 0.71, 95 % CI = 0.59-0.86, p &lt; 0.001) compared with patients undergoing a LR at a LVH. The rate of regionalization, however, was not equal among all patients as older patients, patients belonging to a racial minority, and those presenting with substantial comorbidity were less likely to undergo a LR at a HVH. CONCLUSION: An increase in the regionalization of liver surgery was observed over time. Trends in regionalization were, however, associated with discrepancies in access to HVH among specific patient populations.","container-title":"J Gastrointest Surg","DOI":"10.1007/s11605-016-3316-7","ISSN":"1091-255x","issue":"3","language":"eng","note":"publisher-place: Department of Surgery, Johns Hopkins University School of Medicine, Baltimore, MD, USA. Department of Hepatobiliary, Pancreatic Surgery and Liver Transplantation, Henri Mondor Hospital, Unite ISERM 955, Creteil, France. Department of Surgery, Johns Hopkins University School of Medicine, Baltimore, MD, USA. tim.pawlik@osumc.edu. Department of Surgery, The Urban Meyer III and Shelley Meyer Chair for Cancer Research, Wexner Medical Center at The Ohio State University, 395 W. 12th Avenue, Suite 670, Columbus, OH, 43210, USA. tim.pawlik@osumc.edu.","page":"463-471","title":"Evaluating Trends in the Volume-Outcomes Relationship Following Liver Surgery: Does Regionalization Benefit All Patients the Same?","volume":"21","author":[{"family":"Gani","given":"F."},{"family":"Azoulay","given":"D."},{"family":"Pawlik","given":"T. M."}],"issued":{"date-parts":[["2017",3]]}}}],"schema":"https://github.com/citation-style-language/schema/raw/master/csl-citation.json"} </w:instrText>
            </w:r>
            <w:r w:rsidRPr="00C47DDC">
              <w:rPr>
                <w:color w:val="000000"/>
                <w:sz w:val="14"/>
                <w:szCs w:val="14"/>
              </w:rPr>
              <w:fldChar w:fldCharType="separate"/>
            </w:r>
            <w:r w:rsidRPr="004125CE">
              <w:rPr>
                <w:sz w:val="14"/>
              </w:rPr>
              <w:t>[54]</w:t>
            </w:r>
            <w:r w:rsidRPr="00C47DDC">
              <w:rPr>
                <w:color w:val="000000"/>
                <w:sz w:val="14"/>
                <w:szCs w:val="14"/>
              </w:rPr>
              <w:fldChar w:fldCharType="end"/>
            </w:r>
          </w:p>
        </w:tc>
        <w:tc>
          <w:tcPr>
            <w:tcW w:w="5954" w:type="dxa"/>
            <w:vAlign w:val="center"/>
          </w:tcPr>
          <w:p w14:paraId="54B3EE0D" w14:textId="77777777" w:rsidR="000F0341" w:rsidRPr="00C47DDC" w:rsidRDefault="000F0341" w:rsidP="00E40B0D">
            <w:pPr>
              <w:spacing w:line="240" w:lineRule="auto"/>
              <w:jc w:val="left"/>
              <w:rPr>
                <w:b/>
                <w:bCs/>
                <w:color w:val="000000"/>
                <w:sz w:val="14"/>
                <w:szCs w:val="14"/>
              </w:rPr>
            </w:pPr>
            <w:r w:rsidRPr="00C47DDC">
              <w:rPr>
                <w:b/>
                <w:bCs/>
                <w:color w:val="000000"/>
                <w:sz w:val="14"/>
                <w:szCs w:val="14"/>
              </w:rPr>
              <w:t>Postoperative mortality:</w:t>
            </w:r>
            <w:r w:rsidRPr="00C47DDC">
              <w:rPr>
                <w:color w:val="000000"/>
                <w:sz w:val="14"/>
                <w:szCs w:val="14"/>
              </w:rPr>
              <w:t xml:space="preserve"> (OR): </w:t>
            </w:r>
            <w:r w:rsidRPr="00C47DDC">
              <w:rPr>
                <w:color w:val="000000"/>
                <w:sz w:val="14"/>
                <w:szCs w:val="14"/>
                <w:u w:val="single"/>
              </w:rPr>
              <w:t>Low</w:t>
            </w:r>
            <w:r w:rsidRPr="00C47DDC">
              <w:rPr>
                <w:color w:val="000000"/>
                <w:sz w:val="14"/>
                <w:szCs w:val="14"/>
              </w:rPr>
              <w:t xml:space="preserve"> vs. Intermediate: 0.78</w:t>
            </w:r>
            <w:r w:rsidRPr="00C47DDC">
              <w:rPr>
                <w:color w:val="000000"/>
                <w:sz w:val="14"/>
                <w:szCs w:val="14"/>
                <w:vertAlign w:val="superscript"/>
              </w:rPr>
              <w:t>a</w:t>
            </w:r>
            <w:r w:rsidRPr="00C47DDC">
              <w:rPr>
                <w:color w:val="000000"/>
                <w:sz w:val="14"/>
                <w:szCs w:val="14"/>
              </w:rPr>
              <w:t xml:space="preserve"> [0.61-0.99]*; High: 0.68</w:t>
            </w:r>
            <w:r w:rsidRPr="00C47DDC">
              <w:rPr>
                <w:color w:val="000000"/>
                <w:sz w:val="14"/>
                <w:szCs w:val="14"/>
                <w:vertAlign w:val="superscript"/>
              </w:rPr>
              <w:t>a</w:t>
            </w:r>
            <w:r w:rsidRPr="00C47DDC">
              <w:rPr>
                <w:color w:val="000000"/>
                <w:sz w:val="14"/>
                <w:szCs w:val="14"/>
              </w:rPr>
              <w:t xml:space="preserve"> [0.51-0.92]**</w:t>
            </w:r>
          </w:p>
        </w:tc>
        <w:tc>
          <w:tcPr>
            <w:tcW w:w="1276" w:type="dxa"/>
            <w:vAlign w:val="center"/>
          </w:tcPr>
          <w:p w14:paraId="15C05512" w14:textId="77777777" w:rsidR="000F0341" w:rsidRPr="00C47DDC" w:rsidRDefault="000F0341" w:rsidP="00E40B0D">
            <w:pPr>
              <w:spacing w:line="276" w:lineRule="auto"/>
              <w:jc w:val="left"/>
              <w:rPr>
                <w:color w:val="000000"/>
                <w:sz w:val="14"/>
                <w:szCs w:val="14"/>
              </w:rPr>
            </w:pPr>
            <w:r w:rsidRPr="00C47DDC">
              <w:rPr>
                <w:color w:val="000000"/>
                <w:sz w:val="14"/>
                <w:szCs w:val="14"/>
              </w:rPr>
              <w:t>11/2/8/6</w:t>
            </w:r>
          </w:p>
        </w:tc>
        <w:tc>
          <w:tcPr>
            <w:tcW w:w="997" w:type="dxa"/>
            <w:vAlign w:val="center"/>
          </w:tcPr>
          <w:p w14:paraId="0E8C600B" w14:textId="77777777" w:rsidR="000F0341" w:rsidRPr="00C47DDC" w:rsidRDefault="000F0341" w:rsidP="00E40B0D">
            <w:pPr>
              <w:spacing w:line="276" w:lineRule="auto"/>
              <w:jc w:val="left"/>
              <w:rPr>
                <w:color w:val="000000"/>
                <w:sz w:val="14"/>
                <w:szCs w:val="14"/>
              </w:rPr>
            </w:pPr>
            <w:r w:rsidRPr="00C47DDC">
              <w:rPr>
                <w:color w:val="000000"/>
                <w:sz w:val="14"/>
                <w:szCs w:val="14"/>
              </w:rPr>
              <w:t>High Risk</w:t>
            </w:r>
          </w:p>
        </w:tc>
      </w:tr>
      <w:tr w:rsidR="000F0341" w:rsidRPr="00BF62A1" w14:paraId="3B5FEB3A" w14:textId="77777777" w:rsidTr="00E40B0D">
        <w:trPr>
          <w:trHeight w:val="20"/>
        </w:trPr>
        <w:tc>
          <w:tcPr>
            <w:tcW w:w="1129" w:type="dxa"/>
            <w:vAlign w:val="center"/>
          </w:tcPr>
          <w:p w14:paraId="42406A7F" w14:textId="7BD53232" w:rsidR="000F0341" w:rsidRPr="00C47DDC" w:rsidRDefault="000F0341" w:rsidP="00E40B0D">
            <w:pPr>
              <w:spacing w:line="240" w:lineRule="auto"/>
              <w:jc w:val="left"/>
              <w:rPr>
                <w:color w:val="000000"/>
                <w:sz w:val="14"/>
                <w:szCs w:val="14"/>
              </w:rPr>
            </w:pPr>
            <w:r w:rsidRPr="00C47DDC">
              <w:rPr>
                <w:color w:val="000000"/>
                <w:sz w:val="14"/>
                <w:szCs w:val="14"/>
              </w:rPr>
              <w:t xml:space="preserve">Farges 2012 </w:t>
            </w:r>
            <w:r w:rsidRPr="00C47DDC">
              <w:rPr>
                <w:color w:val="000000"/>
                <w:sz w:val="14"/>
                <w:szCs w:val="14"/>
              </w:rPr>
              <w:fldChar w:fldCharType="begin"/>
            </w:r>
            <w:r>
              <w:rPr>
                <w:color w:val="000000"/>
                <w:sz w:val="14"/>
                <w:szCs w:val="14"/>
              </w:rPr>
              <w:instrText xml:space="preserve"> ADDIN ZOTERO_ITEM CSL_CITATION {"citationID":"6dobkWFR","properties":{"formattedCitation":"[85]","plainCitation":"[85]","noteIndex":0},"citationItems":[{"id":14195,"uris":["http://zotero.org/groups/4983919/items/RGM7KH6Z"],"itemData":{"id":14195,"type":"article-journal","abstract":"OBJECTIVE: To evaluate at a national level the incidence of liver resection, postoperative mortality, and variables that predict this outcome. BACKGROUND: Data on indications of and results of liver resection are mainly derived from high-volume centers. Nationwide data are lacking. METHODS: French health care databases were screened to identify all patients who had undergone elective hepatectomy between 2007 and 2010. The patients' age, address, associated conditions, indication and extent of hepatic (or extrahepatic) surgery and the hospital type, location, and hepatectomy caseload were retrieved. Logistic regression was used to measure the influence of these parameters on in-hospital and 90-day mortality rates. The model, created using patients operated on in 2007 and 2009, was tested in those operated on in 2008 and 2010. RESULTS: Overall, 28,708 hepatectomies were performed. The annual incidence (13.2 per 10 adult inhabitants) varied between regions, but the extremal quotient was limited to 2.2 because 15% of the operations took place outside the patients' home region. Hospitals performed a median of 4 resections per year but 53% of all resections were performed in institutions with a volume of more than 50 per year. Treatment for primary tumors and major resections correlated with hepatectomy caseload. In-hospital and 90-day mortality were 3.4% and 5.8%, respectively. The area under the receiver operating characteristic curve of the prognostic model was 0.78/0.77 in the training and validation sample. CONCLUSIONS: There were significant disparities in practice. In-hospital mortality underestimated true, postoperative mortality by more than 50%. The model created may be useful for more efficient regionalization of care and patient counseling.","container-title":"Ann Surg","DOI":"10.1097/SLA.0b013e31827241d5","ISSN":"0003-4932","issue":"5","language":"eng","note":"publisher-place: Department of Hepatobiliopancreatic Surgery and Liver Transplantation, Hôpital Beaujon, AP-HP, Université Paris 7, 100 bld du General Leclerc, Clichy, France. olivier.farges@bjn.aphp.fr","page":"697-704; discussion 704-5","title":"Incidence and risks of liver resection: an all-inclusive French nationwide study","volume":"256","author":[{"family":"Farges","given":"O."},{"family":"Goutte","given":"N."},{"family":"Bendersky","given":"N."},{"family":"Falissard","given":"B."}],"issued":{"date-parts":[["2012",11]]}}}],"schema":"https://github.com/citation-style-language/schema/raw/master/csl-citation.json"} </w:instrText>
            </w:r>
            <w:r w:rsidRPr="00C47DDC">
              <w:rPr>
                <w:color w:val="000000"/>
                <w:sz w:val="14"/>
                <w:szCs w:val="14"/>
              </w:rPr>
              <w:fldChar w:fldCharType="separate"/>
            </w:r>
            <w:r w:rsidRPr="004125CE">
              <w:rPr>
                <w:sz w:val="14"/>
              </w:rPr>
              <w:t>[8</w:t>
            </w:r>
            <w:r w:rsidR="00D03F0D">
              <w:rPr>
                <w:sz w:val="14"/>
              </w:rPr>
              <w:t>8</w:t>
            </w:r>
            <w:r w:rsidRPr="004125CE">
              <w:rPr>
                <w:sz w:val="14"/>
              </w:rPr>
              <w:t>]</w:t>
            </w:r>
            <w:r w:rsidRPr="00C47DDC">
              <w:rPr>
                <w:color w:val="000000"/>
                <w:sz w:val="14"/>
                <w:szCs w:val="14"/>
              </w:rPr>
              <w:fldChar w:fldCharType="end"/>
            </w:r>
          </w:p>
        </w:tc>
        <w:tc>
          <w:tcPr>
            <w:tcW w:w="5954" w:type="dxa"/>
            <w:vAlign w:val="center"/>
          </w:tcPr>
          <w:p w14:paraId="3C426267" w14:textId="77777777" w:rsidR="000F0341" w:rsidRPr="00C47DDC" w:rsidRDefault="000F0341" w:rsidP="00E40B0D">
            <w:pPr>
              <w:spacing w:line="240" w:lineRule="auto"/>
              <w:jc w:val="left"/>
              <w:rPr>
                <w:color w:val="000000"/>
                <w:sz w:val="14"/>
                <w:szCs w:val="14"/>
              </w:rPr>
            </w:pPr>
            <w:r w:rsidRPr="00C47DDC">
              <w:rPr>
                <w:b/>
                <w:bCs/>
                <w:color w:val="000000"/>
                <w:sz w:val="14"/>
                <w:szCs w:val="14"/>
              </w:rPr>
              <w:t>Hospital mortality</w:t>
            </w:r>
            <w:r w:rsidRPr="00C47DDC">
              <w:rPr>
                <w:color w:val="000000"/>
                <w:sz w:val="14"/>
                <w:szCs w:val="14"/>
              </w:rPr>
              <w:t xml:space="preserve">: </w:t>
            </w:r>
            <w:r w:rsidRPr="00C47DDC">
              <w:rPr>
                <w:color w:val="000000"/>
                <w:sz w:val="14"/>
                <w:szCs w:val="14"/>
                <w:u w:val="single"/>
              </w:rPr>
              <w:t>≤ 5</w:t>
            </w:r>
            <w:r w:rsidRPr="00C47DDC">
              <w:rPr>
                <w:color w:val="000000"/>
                <w:sz w:val="14"/>
                <w:szCs w:val="14"/>
              </w:rPr>
              <w:t xml:space="preserve"> vs. 6-10: 0.89</w:t>
            </w:r>
            <w:r w:rsidRPr="00C47DDC">
              <w:rPr>
                <w:color w:val="000000"/>
                <w:sz w:val="14"/>
                <w:szCs w:val="14"/>
                <w:vertAlign w:val="superscript"/>
              </w:rPr>
              <w:t>a</w:t>
            </w:r>
            <w:r w:rsidRPr="00C47DDC">
              <w:rPr>
                <w:color w:val="000000"/>
                <w:sz w:val="14"/>
                <w:szCs w:val="14"/>
              </w:rPr>
              <w:t xml:space="preserve"> [0.53–1.49]; 11-25: 0.56</w:t>
            </w:r>
            <w:r w:rsidRPr="00C47DDC">
              <w:rPr>
                <w:color w:val="000000"/>
                <w:sz w:val="14"/>
                <w:szCs w:val="14"/>
                <w:vertAlign w:val="superscript"/>
              </w:rPr>
              <w:t>a</w:t>
            </w:r>
            <w:r w:rsidRPr="00C47DDC">
              <w:rPr>
                <w:color w:val="000000"/>
                <w:sz w:val="14"/>
                <w:szCs w:val="14"/>
              </w:rPr>
              <w:t xml:space="preserve"> [0.34–0.93]*;</w:t>
            </w:r>
            <w:r w:rsidRPr="00C47DDC">
              <w:rPr>
                <w:color w:val="000000"/>
                <w:sz w:val="14"/>
                <w:szCs w:val="14"/>
              </w:rPr>
              <w:br/>
              <w:t>26-50: 0.54</w:t>
            </w:r>
            <w:r w:rsidRPr="00C47DDC">
              <w:rPr>
                <w:color w:val="000000"/>
                <w:sz w:val="14"/>
                <w:szCs w:val="14"/>
                <w:vertAlign w:val="superscript"/>
              </w:rPr>
              <w:t>a</w:t>
            </w:r>
            <w:r w:rsidRPr="00C47DDC">
              <w:rPr>
                <w:color w:val="000000"/>
                <w:sz w:val="14"/>
                <w:szCs w:val="14"/>
              </w:rPr>
              <w:t xml:space="preserve"> [0.30–0.96]*; 51-100: 0.52</w:t>
            </w:r>
            <w:r w:rsidRPr="00C47DDC">
              <w:rPr>
                <w:color w:val="000000"/>
                <w:sz w:val="14"/>
                <w:szCs w:val="14"/>
                <w:vertAlign w:val="superscript"/>
              </w:rPr>
              <w:t>a</w:t>
            </w:r>
            <w:r w:rsidRPr="00C47DDC">
              <w:rPr>
                <w:color w:val="000000"/>
                <w:sz w:val="14"/>
                <w:szCs w:val="14"/>
              </w:rPr>
              <w:t xml:space="preserve"> [0.29–0.94]*; &gt; 100: 0.56</w:t>
            </w:r>
            <w:r w:rsidRPr="00C47DDC">
              <w:rPr>
                <w:color w:val="000000"/>
                <w:sz w:val="14"/>
                <w:szCs w:val="14"/>
                <w:vertAlign w:val="superscript"/>
              </w:rPr>
              <w:t>a</w:t>
            </w:r>
            <w:r w:rsidRPr="00C47DDC">
              <w:rPr>
                <w:color w:val="000000"/>
                <w:sz w:val="14"/>
                <w:szCs w:val="14"/>
              </w:rPr>
              <w:t xml:space="preserve"> [0.30–0.95]*</w:t>
            </w:r>
          </w:p>
        </w:tc>
        <w:tc>
          <w:tcPr>
            <w:tcW w:w="1276" w:type="dxa"/>
            <w:vAlign w:val="center"/>
          </w:tcPr>
          <w:p w14:paraId="59C5E235" w14:textId="77777777" w:rsidR="000F0341" w:rsidRPr="00C47DDC" w:rsidRDefault="000F0341" w:rsidP="00E40B0D">
            <w:pPr>
              <w:spacing w:line="276" w:lineRule="auto"/>
              <w:jc w:val="left"/>
              <w:rPr>
                <w:color w:val="000000"/>
                <w:sz w:val="14"/>
                <w:szCs w:val="14"/>
              </w:rPr>
            </w:pPr>
            <w:r w:rsidRPr="00C47DDC">
              <w:rPr>
                <w:color w:val="000000"/>
                <w:sz w:val="14"/>
                <w:szCs w:val="14"/>
              </w:rPr>
              <w:t>10/1/10/6</w:t>
            </w:r>
          </w:p>
        </w:tc>
        <w:tc>
          <w:tcPr>
            <w:tcW w:w="997" w:type="dxa"/>
            <w:vAlign w:val="center"/>
          </w:tcPr>
          <w:p w14:paraId="1783EE76" w14:textId="77777777" w:rsidR="000F0341" w:rsidRPr="00C47DDC" w:rsidRDefault="000F0341" w:rsidP="00E40B0D">
            <w:pPr>
              <w:spacing w:line="276" w:lineRule="auto"/>
              <w:jc w:val="left"/>
              <w:rPr>
                <w:color w:val="000000"/>
                <w:sz w:val="14"/>
                <w:szCs w:val="14"/>
              </w:rPr>
            </w:pPr>
            <w:r w:rsidRPr="00C47DDC">
              <w:rPr>
                <w:color w:val="000000"/>
                <w:sz w:val="14"/>
                <w:szCs w:val="14"/>
              </w:rPr>
              <w:t>High Risk</w:t>
            </w:r>
          </w:p>
        </w:tc>
      </w:tr>
      <w:tr w:rsidR="000F0341" w:rsidRPr="00BF62A1" w14:paraId="6071BAE5" w14:textId="77777777" w:rsidTr="00E40B0D">
        <w:trPr>
          <w:trHeight w:val="140"/>
        </w:trPr>
        <w:tc>
          <w:tcPr>
            <w:tcW w:w="1129" w:type="dxa"/>
            <w:vAlign w:val="center"/>
            <w:hideMark/>
          </w:tcPr>
          <w:p w14:paraId="69CFD90C" w14:textId="00B5D464" w:rsidR="000F0341" w:rsidRPr="00C47DDC" w:rsidRDefault="000F0341" w:rsidP="00E40B0D">
            <w:pPr>
              <w:spacing w:line="240" w:lineRule="auto"/>
              <w:jc w:val="left"/>
              <w:rPr>
                <w:color w:val="000000"/>
                <w:sz w:val="14"/>
                <w:szCs w:val="14"/>
              </w:rPr>
            </w:pPr>
            <w:r w:rsidRPr="00C47DDC">
              <w:rPr>
                <w:color w:val="000000"/>
                <w:sz w:val="14"/>
                <w:szCs w:val="14"/>
              </w:rPr>
              <w:t xml:space="preserve">Chiu 2015 </w:t>
            </w:r>
            <w:r w:rsidRPr="00C47DDC">
              <w:rPr>
                <w:color w:val="000000"/>
                <w:sz w:val="14"/>
                <w:szCs w:val="14"/>
              </w:rPr>
              <w:fldChar w:fldCharType="begin"/>
            </w:r>
            <w:r>
              <w:rPr>
                <w:color w:val="000000"/>
                <w:sz w:val="14"/>
                <w:szCs w:val="14"/>
              </w:rPr>
              <w:instrText xml:space="preserve"> ADDIN ZOTERO_ITEM CSL_CITATION {"citationID":"9LSSGthl","properties":{"formattedCitation":"[88]","plainCitation":"[88]","noteIndex":0},"citationItems":[{"id":14354,"uris":["http://zotero.org/groups/4983919/items/85AI84VG"],"itemData":{"id":14354,"type":"article-journal","abstract":"BACKGROUND: Despite the huge and growing global burden of hepatocellular carcinoma (HCC), high-quality population-based studies of HCC prevalence and outcomes are scarce. PURPOSE: To analyze trends and predictors of hospital resource utilization and mortality rates in a population of patients who had received HCC surgery. PATIENTS AND MATERIALS: This population-based patient cohort study retrospectively analyzed 23,107 patients who had received surgical treatment for HCC from 1998 to 2009. RESULTS: The prevalence rate of surgical treatment in HCC patients significantly increased by 167.4% from 4.857 per 100,000 persons in 1998 to 12.989 per 100,000 persons in 2009 (P &lt; 0.001). Age, gender, Deyo-Charlson co-morbidity index score, hospital volume, surgeon volume, digestive system disease, hepatitis type and liver cirrhosis were significantly associated with HCC surgical outcomes (P &lt; 0.05). Over the 12-year period analyzed, the estimated mean hospital treatment cost increased 9.4% whereas mean length of stay (LOS) decreased 25.3%. The estimated mean overall survival time after HCC surgery was 40.9 months (SD 1.2 months), and the overall in-hospital 1-, 3-, and 5-year survival rates were 97.2%, 79.9%, 61.1%, and 54.6%, respectively. CONCLUSIONS: These population-based data reveal that the prevalence of HCC has increased, especially in older patients. Additionally, hospital treatment costs for HCC have increased despite decreases in LOS. These analytical results should be applicable to most countries with relatively small populations. Additionally, healthcare providers and patients should recognize that attributes of both the patient and the hospital may affect outcomes.","container-title":"Eur J Surg Oncol","DOI":"10.1016/j.ejso.2015.04.023","ISSN":"0748-7983","issue":"9","language":"eng","page":"1170-8","title":"Trends and predictors of outcomes after surgery for hepatocellular carcinoma: A nationwide population-based study in Taiwan","volume":"41","author":[{"family":"Chiu","given":"C. C."},{"family":"Wang","given":"J. J."},{"family":"Chen","given":"Y. S."},{"family":"Chen","given":"J. J."},{"family":"Tsai","given":"T. C."},{"family":"Lai","given":"C. C."},{"family":"Sun","given":"D. P."},{"family":"Shi","given":"H. Y."}],"issued":{"date-parts":[["2015",9]]}}}],"schema":"https://github.com/citation-style-language/schema/raw/master/csl-citation.json"} </w:instrText>
            </w:r>
            <w:r w:rsidRPr="00C47DDC">
              <w:rPr>
                <w:color w:val="000000"/>
                <w:sz w:val="14"/>
                <w:szCs w:val="14"/>
              </w:rPr>
              <w:fldChar w:fldCharType="separate"/>
            </w:r>
            <w:r w:rsidRPr="004125CE">
              <w:rPr>
                <w:sz w:val="14"/>
              </w:rPr>
              <w:t>[</w:t>
            </w:r>
            <w:r w:rsidR="00D03F0D">
              <w:rPr>
                <w:sz w:val="14"/>
              </w:rPr>
              <w:t>52</w:t>
            </w:r>
            <w:r w:rsidRPr="004125CE">
              <w:rPr>
                <w:sz w:val="14"/>
              </w:rPr>
              <w:t>]</w:t>
            </w:r>
            <w:r w:rsidRPr="00C47DDC">
              <w:rPr>
                <w:color w:val="000000"/>
                <w:sz w:val="14"/>
                <w:szCs w:val="14"/>
              </w:rPr>
              <w:fldChar w:fldCharType="end"/>
            </w:r>
            <w:r w:rsidRPr="00C47DDC">
              <w:rPr>
                <w:color w:val="000000"/>
                <w:sz w:val="14"/>
                <w:szCs w:val="14"/>
              </w:rPr>
              <w:t xml:space="preserve"> </w:t>
            </w:r>
          </w:p>
        </w:tc>
        <w:tc>
          <w:tcPr>
            <w:tcW w:w="5954" w:type="dxa"/>
            <w:vAlign w:val="center"/>
            <w:hideMark/>
          </w:tcPr>
          <w:p w14:paraId="65C69E6A" w14:textId="77777777" w:rsidR="000F0341" w:rsidRPr="00C47DDC" w:rsidRDefault="000F0341" w:rsidP="00E40B0D">
            <w:pPr>
              <w:spacing w:line="240" w:lineRule="auto"/>
              <w:jc w:val="left"/>
              <w:rPr>
                <w:color w:val="000000"/>
                <w:sz w:val="14"/>
                <w:szCs w:val="14"/>
              </w:rPr>
            </w:pPr>
            <w:r w:rsidRPr="00C47DDC">
              <w:rPr>
                <w:b/>
                <w:bCs/>
                <w:color w:val="000000"/>
                <w:sz w:val="14"/>
                <w:szCs w:val="14"/>
              </w:rPr>
              <w:t>Hospital mortality</w:t>
            </w:r>
            <w:r w:rsidRPr="00C47DDC">
              <w:rPr>
                <w:b/>
                <w:bCs/>
                <w:color w:val="000000"/>
                <w:sz w:val="14"/>
                <w:szCs w:val="14"/>
                <w:vertAlign w:val="superscript"/>
              </w:rPr>
              <w:t>1</w:t>
            </w:r>
            <w:r w:rsidRPr="00C47DDC">
              <w:rPr>
                <w:b/>
                <w:bCs/>
                <w:color w:val="000000"/>
                <w:sz w:val="14"/>
                <w:szCs w:val="14"/>
              </w:rPr>
              <w:t>:</w:t>
            </w:r>
            <w:r w:rsidRPr="00C47DDC">
              <w:rPr>
                <w:color w:val="000000"/>
                <w:sz w:val="14"/>
                <w:szCs w:val="14"/>
              </w:rPr>
              <w:t xml:space="preserve"> (%): Low:  3.4</w:t>
            </w:r>
            <w:r w:rsidRPr="00C47DDC">
              <w:rPr>
                <w:sz w:val="14"/>
                <w:szCs w:val="14"/>
                <w:vertAlign w:val="superscript"/>
              </w:rPr>
              <w:t>d</w:t>
            </w:r>
            <w:r w:rsidRPr="00C47DDC">
              <w:rPr>
                <w:color w:val="000000"/>
                <w:sz w:val="14"/>
                <w:szCs w:val="14"/>
              </w:rPr>
              <w:t xml:space="preserve"> ; High: 1.4</w:t>
            </w:r>
            <w:r w:rsidRPr="00C47DDC">
              <w:rPr>
                <w:sz w:val="14"/>
                <w:szCs w:val="14"/>
                <w:vertAlign w:val="superscript"/>
              </w:rPr>
              <w:t xml:space="preserve">d </w:t>
            </w:r>
            <w:r w:rsidRPr="00C47DDC">
              <w:rPr>
                <w:color w:val="000000"/>
                <w:sz w:val="14"/>
                <w:szCs w:val="14"/>
              </w:rPr>
              <w:t xml:space="preserve"> ***| </w:t>
            </w:r>
          </w:p>
        </w:tc>
        <w:tc>
          <w:tcPr>
            <w:tcW w:w="1276" w:type="dxa"/>
            <w:vAlign w:val="center"/>
          </w:tcPr>
          <w:p w14:paraId="0FB8286B" w14:textId="77777777" w:rsidR="000F0341" w:rsidRPr="00C47DDC" w:rsidRDefault="000F0341" w:rsidP="00E40B0D">
            <w:pPr>
              <w:spacing w:line="276" w:lineRule="auto"/>
              <w:jc w:val="left"/>
              <w:rPr>
                <w:color w:val="000000"/>
                <w:sz w:val="14"/>
                <w:szCs w:val="14"/>
              </w:rPr>
            </w:pPr>
            <w:r w:rsidRPr="00C47DDC">
              <w:rPr>
                <w:color w:val="000000"/>
                <w:sz w:val="14"/>
                <w:szCs w:val="14"/>
              </w:rPr>
              <w:t>9/2/10/6</w:t>
            </w:r>
          </w:p>
        </w:tc>
        <w:tc>
          <w:tcPr>
            <w:tcW w:w="997" w:type="dxa"/>
            <w:vAlign w:val="center"/>
          </w:tcPr>
          <w:p w14:paraId="26F35788" w14:textId="77777777" w:rsidR="000F0341" w:rsidRPr="00C47DDC" w:rsidRDefault="000F0341" w:rsidP="00E40B0D">
            <w:pPr>
              <w:spacing w:line="276" w:lineRule="auto"/>
              <w:jc w:val="left"/>
              <w:rPr>
                <w:color w:val="000000"/>
                <w:sz w:val="14"/>
                <w:szCs w:val="14"/>
              </w:rPr>
            </w:pPr>
            <w:r w:rsidRPr="00C47DDC">
              <w:rPr>
                <w:color w:val="000000"/>
                <w:sz w:val="14"/>
                <w:szCs w:val="14"/>
              </w:rPr>
              <w:t>High Risk</w:t>
            </w:r>
          </w:p>
        </w:tc>
      </w:tr>
      <w:tr w:rsidR="000F0341" w:rsidRPr="00BF62A1" w14:paraId="241D0C6D" w14:textId="77777777" w:rsidTr="00E40B0D">
        <w:trPr>
          <w:trHeight w:val="44"/>
        </w:trPr>
        <w:tc>
          <w:tcPr>
            <w:tcW w:w="1129" w:type="dxa"/>
            <w:vAlign w:val="center"/>
          </w:tcPr>
          <w:p w14:paraId="061BCFC4" w14:textId="77777777" w:rsidR="000F0341" w:rsidRPr="00C47DDC" w:rsidRDefault="000F0341" w:rsidP="00E40B0D">
            <w:pPr>
              <w:spacing w:line="240" w:lineRule="auto"/>
              <w:jc w:val="left"/>
              <w:rPr>
                <w:color w:val="000000"/>
                <w:sz w:val="14"/>
                <w:szCs w:val="14"/>
              </w:rPr>
            </w:pPr>
            <w:r w:rsidRPr="00C47DDC">
              <w:rPr>
                <w:color w:val="000000"/>
                <w:sz w:val="14"/>
                <w:szCs w:val="14"/>
              </w:rPr>
              <w:t xml:space="preserve">Sato 2012 </w:t>
            </w:r>
            <w:r w:rsidRPr="00C47DDC">
              <w:rPr>
                <w:color w:val="000000"/>
                <w:sz w:val="14"/>
                <w:szCs w:val="14"/>
              </w:rPr>
              <w:fldChar w:fldCharType="begin"/>
            </w:r>
            <w:r>
              <w:rPr>
                <w:color w:val="000000"/>
                <w:sz w:val="14"/>
                <w:szCs w:val="14"/>
              </w:rPr>
              <w:instrText xml:space="preserve"> ADDIN ZOTERO_ITEM CSL_CITATION {"citationID":"LoWa5nXs","properties":{"formattedCitation":"[57]","plainCitation":"[57]","noteIndex":0},"citationItems":[{"id":14167,"uris":["http://zotero.org/groups/4983919/items/4SPP6UWC"],"itemData":{"id":14167,"type":"article-journal","abstract":"BACKGROUND: Reported mortalities and morbidities of therapeutic procedures for liver tumors vary between studies, because of different designs and small sample sizes. We investigated the mortalities and complication rates for hepatectomy, radiofrequency ablation (RFA), and trans-catheter arterial embolization (TAE) for hepatocellular carcinoma (HCC) in a large sample, using a nationwide Japanese database (the Diagnosis Procedure Combination database). METHODS: Data from the Diagnosis Procedure Combination database were analyzed for July 1 to December 31, 2007 and the same period in 2008. We identified 54,145 patients with HCC who underwent hepatectomy (n = 5,270), RFA (n = 11,688), or TAE (n = 37,187). In-hospital mortality and morbidity were analyzed for each procedure. The relationships between mortality and factors including patient characteristics and procedural backgrounds were assessed. RESULTS: In-hospital mortalities associated with hepatectomy, RFA, and TAE were 2.6 % [95 % confidence interval (CI) 2.2-3.1], 0.3 % (0.2-0.4), and 1.0 % (0.9-1.1), and post-procedural complication rates were 14.5 % (13.5-15.5), 4.5 % (4.2-4.9), and 4.5 % (4.3-4.7), respectively. Increased mortality following hepatectomy was significantly associated with older age, extended lobectomy (vs. partial hepatectomy; odds ratio [OR] 3.80, p &lt; 0.001), lower hospital volume (OR 2.74, p &lt; 0.001), and renal comorbidity (OR 3.01, p = 0.02). Older age and cardiac comorbidity (OR 5.14, p = 0.001) were significantly associated with RFA-related mortality, and lower hospital volume was significantly associated with TAE-related mortality (OR 1.60, p &lt; 0.001). CONCLUSIONS: Mortalities and morbidities associated with therapeutic procedures for liver tumors were acceptably low in Japan, but were affected by patient and institutional characteristics.","container-title":"J Gastroenterol","DOI":"10.1007/s00535-012-0569-0","ISSN":"0944-1174","issue":"10","language":"eng","note":"publisher-place: Department of Gastroenterology, Graduate School of Medicine, The University of Tokyo, 7-3-1 Hongo, Bunkyo-ku, Tokyo 113-8655, Japan.","page":"1125-33","title":"Mortality and morbidity of hepatectomy, radiofrequency ablation, and embolization for hepatocellular carcinoma: a national survey of 54,145 patients","volume":"47","author":[{"family":"Sato","given":"M."},{"family":"Tateishi","given":"R."},{"family":"Yasunaga","given":"H."},{"family":"Horiguchi","given":"H."},{"family":"Yoshida","given":"H."},{"family":"Matsuda","given":"S."},{"family":"Koike","given":"K."}],"issued":{"date-parts":[["2012",10]]}}}],"schema":"https://github.com/citation-style-language/schema/raw/master/csl-citation.json"} </w:instrText>
            </w:r>
            <w:r w:rsidRPr="00C47DDC">
              <w:rPr>
                <w:color w:val="000000"/>
                <w:sz w:val="14"/>
                <w:szCs w:val="14"/>
              </w:rPr>
              <w:fldChar w:fldCharType="separate"/>
            </w:r>
            <w:r w:rsidRPr="004125CE">
              <w:rPr>
                <w:sz w:val="14"/>
              </w:rPr>
              <w:t>[57]</w:t>
            </w:r>
            <w:r w:rsidRPr="00C47DDC">
              <w:rPr>
                <w:color w:val="000000"/>
                <w:sz w:val="14"/>
                <w:szCs w:val="14"/>
              </w:rPr>
              <w:fldChar w:fldCharType="end"/>
            </w:r>
          </w:p>
        </w:tc>
        <w:tc>
          <w:tcPr>
            <w:tcW w:w="5954" w:type="dxa"/>
            <w:vAlign w:val="center"/>
          </w:tcPr>
          <w:p w14:paraId="73FE4D3E" w14:textId="77777777" w:rsidR="000F0341" w:rsidRPr="00C47DDC" w:rsidRDefault="000F0341" w:rsidP="00E40B0D">
            <w:pPr>
              <w:spacing w:line="240" w:lineRule="auto"/>
              <w:jc w:val="left"/>
              <w:rPr>
                <w:color w:val="000000"/>
                <w:sz w:val="14"/>
                <w:szCs w:val="14"/>
              </w:rPr>
            </w:pPr>
            <w:r w:rsidRPr="00C47DDC">
              <w:rPr>
                <w:b/>
                <w:bCs/>
                <w:color w:val="000000"/>
                <w:sz w:val="14"/>
                <w:szCs w:val="14"/>
              </w:rPr>
              <w:t>Hospital mortality:</w:t>
            </w:r>
            <w:r w:rsidRPr="00C47DDC">
              <w:rPr>
                <w:color w:val="000000"/>
                <w:sz w:val="14"/>
                <w:szCs w:val="14"/>
              </w:rPr>
              <w:t xml:space="preserve"> (OR): </w:t>
            </w:r>
            <w:r w:rsidRPr="00C47DDC">
              <w:rPr>
                <w:color w:val="000000"/>
                <w:sz w:val="14"/>
                <w:szCs w:val="14"/>
                <w:u w:val="single"/>
              </w:rPr>
              <w:t>High</w:t>
            </w:r>
            <w:r w:rsidRPr="00C47DDC">
              <w:rPr>
                <w:color w:val="000000"/>
                <w:sz w:val="14"/>
                <w:szCs w:val="14"/>
              </w:rPr>
              <w:t xml:space="preserve"> vs. Low:  2.74</w:t>
            </w:r>
            <w:r w:rsidRPr="00C47DDC">
              <w:rPr>
                <w:color w:val="000000"/>
                <w:sz w:val="14"/>
                <w:szCs w:val="14"/>
                <w:vertAlign w:val="superscript"/>
              </w:rPr>
              <w:t>a</w:t>
            </w:r>
            <w:r w:rsidRPr="00C47DDC">
              <w:rPr>
                <w:color w:val="000000"/>
                <w:sz w:val="14"/>
                <w:szCs w:val="14"/>
              </w:rPr>
              <w:t xml:space="preserve"> [1.74-4.30]***; Intermediate: 1.45</w:t>
            </w:r>
            <w:r w:rsidRPr="00C47DDC">
              <w:rPr>
                <w:color w:val="000000"/>
                <w:sz w:val="14"/>
                <w:szCs w:val="14"/>
                <w:vertAlign w:val="superscript"/>
              </w:rPr>
              <w:t>a</w:t>
            </w:r>
            <w:r w:rsidRPr="00C47DDC">
              <w:rPr>
                <w:color w:val="000000"/>
                <w:sz w:val="14"/>
                <w:szCs w:val="14"/>
              </w:rPr>
              <w:t xml:space="preserve"> [0.88-2.38]</w:t>
            </w:r>
          </w:p>
        </w:tc>
        <w:tc>
          <w:tcPr>
            <w:tcW w:w="1276" w:type="dxa"/>
            <w:vAlign w:val="center"/>
          </w:tcPr>
          <w:p w14:paraId="7DE648D1" w14:textId="77777777" w:rsidR="000F0341" w:rsidRPr="00C47DDC" w:rsidRDefault="000F0341" w:rsidP="00E40B0D">
            <w:pPr>
              <w:spacing w:line="276" w:lineRule="auto"/>
              <w:jc w:val="left"/>
              <w:rPr>
                <w:color w:val="000000"/>
                <w:sz w:val="14"/>
                <w:szCs w:val="14"/>
              </w:rPr>
            </w:pPr>
            <w:r w:rsidRPr="00C47DDC">
              <w:rPr>
                <w:color w:val="000000"/>
                <w:sz w:val="14"/>
                <w:szCs w:val="14"/>
              </w:rPr>
              <w:t>8/1/12/6</w:t>
            </w:r>
          </w:p>
        </w:tc>
        <w:tc>
          <w:tcPr>
            <w:tcW w:w="997" w:type="dxa"/>
            <w:vAlign w:val="center"/>
          </w:tcPr>
          <w:p w14:paraId="06847F87" w14:textId="77777777" w:rsidR="000F0341" w:rsidRPr="00C47DDC" w:rsidRDefault="000F0341" w:rsidP="00E40B0D">
            <w:pPr>
              <w:spacing w:line="276" w:lineRule="auto"/>
              <w:jc w:val="left"/>
              <w:rPr>
                <w:color w:val="000000"/>
                <w:sz w:val="14"/>
                <w:szCs w:val="14"/>
              </w:rPr>
            </w:pPr>
            <w:r w:rsidRPr="00C47DDC">
              <w:rPr>
                <w:color w:val="000000"/>
                <w:sz w:val="14"/>
                <w:szCs w:val="14"/>
              </w:rPr>
              <w:t>High Risk</w:t>
            </w:r>
          </w:p>
        </w:tc>
      </w:tr>
      <w:tr w:rsidR="000F0341" w:rsidRPr="00BF62A1" w14:paraId="175F1380" w14:textId="77777777" w:rsidTr="00E40B0D">
        <w:trPr>
          <w:trHeight w:val="20"/>
        </w:trPr>
        <w:tc>
          <w:tcPr>
            <w:tcW w:w="1129" w:type="dxa"/>
            <w:vAlign w:val="center"/>
          </w:tcPr>
          <w:p w14:paraId="097275C9" w14:textId="41A019A8" w:rsidR="000F0341" w:rsidRPr="00C47DDC" w:rsidRDefault="000F0341" w:rsidP="00E40B0D">
            <w:pPr>
              <w:spacing w:line="240" w:lineRule="auto"/>
              <w:jc w:val="left"/>
              <w:rPr>
                <w:color w:val="000000"/>
                <w:sz w:val="14"/>
                <w:szCs w:val="14"/>
              </w:rPr>
            </w:pPr>
            <w:r w:rsidRPr="00C47DDC">
              <w:rPr>
                <w:color w:val="000000"/>
                <w:sz w:val="14"/>
                <w:szCs w:val="14"/>
              </w:rPr>
              <w:t xml:space="preserve">Spolverato 2014 </w:t>
            </w:r>
            <w:r w:rsidRPr="00C47DDC">
              <w:rPr>
                <w:color w:val="000000"/>
                <w:sz w:val="14"/>
                <w:szCs w:val="14"/>
              </w:rPr>
              <w:fldChar w:fldCharType="begin"/>
            </w:r>
            <w:r>
              <w:rPr>
                <w:color w:val="000000"/>
                <w:sz w:val="14"/>
                <w:szCs w:val="14"/>
              </w:rPr>
              <w:instrText xml:space="preserve"> ADDIN ZOTERO_ITEM CSL_CITATION {"citationID":"LzLg7XTZ","properties":{"formattedCitation":"[91]","plainCitation":"[91]","noteIndex":0},"citationItems":[{"id":14153,"uris":["http://zotero.org/groups/4983919/items/BVMJ69S8"],"itemData":{"id":14153,"type":"article-journal","abstract":"BACKGROUND: The mechanisms that underlie the association between high surgical volume and improved outcomes remain uncertain. This study examined the impact of complications and failure to rescue patients from these complications on mortality following hepatic resection. METHODS: The Nationwide Inpatient Sample was used to identify patients who had liver surgery between 2000 and 2010. Hospital volume was stratified into tertiles (low, intermediate and high). Rates of major complications, failure to rescue and mortality following hepatic surgery were compared. RESULTS: Some 9874 patients were identified. The major complication rate was 19.6 per cent in low-volume, 19.3 per cent in intermediate-volume and 16.6 per cent in high-volume hospitals (P &lt; 0.001). Most common major complications included respiratory insufficiency or failure (8.8 per cent), acute renal failure (4.2 per cent) and gastrointestinal bleeding (3.9 per cent), with each of these complications being less common in high-volume hospitals (P &lt; 0.050). The incidence of major morbidity following hepatectomy remained the same over the past decade, but failure to rescue patients from these complications decreased (P = 0.011). The overall inpatient mortality rate following liver surgery was 3.2 per cent (3.8, 3.6 and 2.3 per cent for low-, intermediate- and high-volume hospitals respectively; P &lt; 0.001). The rate of failure to rescue (death after a complication) was higher at low- and intermediate-volume hospitals (16.8 and 16.1 per cent respectively) compared with high-volume hospitals (11.8 per cent) (P = 0.032). After accounting for patient and hospital characteristics, patients treated at low-volume hospitals who had a complication were 40 per cent more likely to die than patients with a complication in a high-volume hospital (odds ratio 1.40, 95 per cent confidence interval 1.02 to 1.93). CONCLUSION: The risk of death following hepatic surgery is lower at high-volume hospitals. The reduction in mortality appears to be the result of both lower complication rates and a better ability in high-volume hospitals to rescue patients with major complications.","container-title":"Br J Surg","DOI":"10.1002/bjs.9492","ISSN":"0007-1323","issue":"7","language":"eng","note":"publisher-place: Department of Surgery, The Johns Hopkins University School of Medicine, Baltimore, Maryland, USA.","page":"836-46","title":"Failure to rescue as a source of variation in hospital mortality after hepatic surgery","volume":"101","author":[{"family":"Spolverato","given":"G."},{"family":"Ejaz","given":"A."},{"family":"Hyder","given":"O."},{"family":"Kim","given":"Y."},{"family":"Pawlik","given":"T. M."}],"issued":{"date-parts":[["2014",6]]}}}],"schema":"https://github.com/citation-style-language/schema/raw/master/csl-citation.json"} </w:instrText>
            </w:r>
            <w:r w:rsidRPr="00C47DDC">
              <w:rPr>
                <w:color w:val="000000"/>
                <w:sz w:val="14"/>
                <w:szCs w:val="14"/>
              </w:rPr>
              <w:fldChar w:fldCharType="separate"/>
            </w:r>
            <w:r w:rsidRPr="004125CE">
              <w:rPr>
                <w:sz w:val="14"/>
              </w:rPr>
              <w:t>[</w:t>
            </w:r>
            <w:r w:rsidR="00D03F0D">
              <w:rPr>
                <w:sz w:val="14"/>
              </w:rPr>
              <w:t>83</w:t>
            </w:r>
            <w:r w:rsidRPr="004125CE">
              <w:rPr>
                <w:sz w:val="14"/>
              </w:rPr>
              <w:t>]</w:t>
            </w:r>
            <w:r w:rsidRPr="00C47DDC">
              <w:rPr>
                <w:color w:val="000000"/>
                <w:sz w:val="14"/>
                <w:szCs w:val="14"/>
              </w:rPr>
              <w:fldChar w:fldCharType="end"/>
            </w:r>
          </w:p>
        </w:tc>
        <w:tc>
          <w:tcPr>
            <w:tcW w:w="5954" w:type="dxa"/>
            <w:vAlign w:val="center"/>
          </w:tcPr>
          <w:p w14:paraId="071D5EBD" w14:textId="77777777" w:rsidR="000F0341" w:rsidRPr="00C47DDC" w:rsidRDefault="000F0341" w:rsidP="00E40B0D">
            <w:pPr>
              <w:spacing w:line="240" w:lineRule="auto"/>
              <w:jc w:val="left"/>
              <w:rPr>
                <w:color w:val="000000"/>
                <w:sz w:val="14"/>
                <w:szCs w:val="14"/>
              </w:rPr>
            </w:pPr>
            <w:r w:rsidRPr="00C47DDC">
              <w:rPr>
                <w:b/>
                <w:bCs/>
                <w:color w:val="000000"/>
                <w:sz w:val="14"/>
                <w:szCs w:val="14"/>
              </w:rPr>
              <w:t>Hospital mortality:</w:t>
            </w:r>
            <w:r w:rsidRPr="00C47DDC">
              <w:rPr>
                <w:color w:val="000000"/>
                <w:sz w:val="14"/>
                <w:szCs w:val="14"/>
              </w:rPr>
              <w:t xml:space="preserve"> (OR): </w:t>
            </w:r>
            <w:r w:rsidRPr="00C47DDC">
              <w:rPr>
                <w:color w:val="000000"/>
                <w:sz w:val="14"/>
                <w:szCs w:val="14"/>
                <w:u w:val="single"/>
              </w:rPr>
              <w:t>High</w:t>
            </w:r>
            <w:r w:rsidRPr="00C47DDC">
              <w:rPr>
                <w:color w:val="000000"/>
                <w:sz w:val="14"/>
                <w:szCs w:val="14"/>
              </w:rPr>
              <w:t xml:space="preserve"> vs. Low: 1.50</w:t>
            </w:r>
            <w:r w:rsidRPr="00C47DDC">
              <w:rPr>
                <w:color w:val="000000"/>
                <w:sz w:val="14"/>
                <w:szCs w:val="14"/>
                <w:vertAlign w:val="superscript"/>
              </w:rPr>
              <w:t>a</w:t>
            </w:r>
            <w:r w:rsidRPr="00C47DDC">
              <w:rPr>
                <w:color w:val="000000"/>
                <w:sz w:val="14"/>
                <w:szCs w:val="14"/>
              </w:rPr>
              <w:t xml:space="preserve"> [1.13-1.99]**; Intermediate:  1.73</w:t>
            </w:r>
            <w:r w:rsidRPr="00C47DDC">
              <w:rPr>
                <w:color w:val="000000"/>
                <w:sz w:val="14"/>
                <w:szCs w:val="14"/>
                <w:vertAlign w:val="superscript"/>
              </w:rPr>
              <w:t>a</w:t>
            </w:r>
            <w:r w:rsidRPr="00C47DDC">
              <w:rPr>
                <w:color w:val="000000"/>
                <w:sz w:val="14"/>
                <w:szCs w:val="14"/>
              </w:rPr>
              <w:t xml:space="preserve"> [1.25-2.39]**|</w:t>
            </w:r>
            <w:r w:rsidRPr="00C47DDC">
              <w:rPr>
                <w:color w:val="000000"/>
                <w:sz w:val="14"/>
                <w:szCs w:val="14"/>
              </w:rPr>
              <w:br/>
            </w:r>
            <w:r w:rsidRPr="00C47DDC">
              <w:rPr>
                <w:b/>
                <w:bCs/>
                <w:color w:val="000000"/>
                <w:sz w:val="14"/>
                <w:szCs w:val="14"/>
              </w:rPr>
              <w:t>FTR:</w:t>
            </w:r>
            <w:r w:rsidRPr="00C47DDC">
              <w:rPr>
                <w:color w:val="000000"/>
                <w:sz w:val="14"/>
                <w:szCs w:val="14"/>
              </w:rPr>
              <w:t xml:space="preserve"> </w:t>
            </w:r>
            <w:r w:rsidRPr="00C47DDC">
              <w:rPr>
                <w:color w:val="000000"/>
                <w:sz w:val="14"/>
                <w:szCs w:val="14"/>
                <w:u w:val="single"/>
              </w:rPr>
              <w:t>High</w:t>
            </w:r>
            <w:r w:rsidRPr="00C47DDC">
              <w:rPr>
                <w:color w:val="000000"/>
                <w:sz w:val="14"/>
                <w:szCs w:val="14"/>
              </w:rPr>
              <w:t xml:space="preserve"> vs. Low: 1.40</w:t>
            </w:r>
            <w:r w:rsidRPr="00C47DDC">
              <w:rPr>
                <w:color w:val="000000"/>
                <w:sz w:val="14"/>
                <w:szCs w:val="14"/>
                <w:vertAlign w:val="superscript"/>
              </w:rPr>
              <w:t>a</w:t>
            </w:r>
            <w:r w:rsidRPr="00C47DDC">
              <w:rPr>
                <w:color w:val="000000"/>
                <w:sz w:val="14"/>
                <w:szCs w:val="14"/>
              </w:rPr>
              <w:t xml:space="preserve"> [1.02-1.93]**; Intermediate: -</w:t>
            </w:r>
          </w:p>
        </w:tc>
        <w:tc>
          <w:tcPr>
            <w:tcW w:w="1276" w:type="dxa"/>
            <w:vAlign w:val="center"/>
          </w:tcPr>
          <w:p w14:paraId="0CC82D6A" w14:textId="77777777" w:rsidR="000F0341" w:rsidRPr="00C47DDC" w:rsidRDefault="000F0341" w:rsidP="00E40B0D">
            <w:pPr>
              <w:spacing w:line="276" w:lineRule="auto"/>
              <w:jc w:val="left"/>
              <w:rPr>
                <w:color w:val="000000"/>
                <w:sz w:val="14"/>
                <w:szCs w:val="14"/>
              </w:rPr>
            </w:pPr>
            <w:r w:rsidRPr="00C47DDC">
              <w:rPr>
                <w:color w:val="000000"/>
                <w:sz w:val="14"/>
                <w:szCs w:val="14"/>
              </w:rPr>
              <w:t>8/1/12/6</w:t>
            </w:r>
          </w:p>
        </w:tc>
        <w:tc>
          <w:tcPr>
            <w:tcW w:w="997" w:type="dxa"/>
            <w:vAlign w:val="center"/>
          </w:tcPr>
          <w:p w14:paraId="7682EA2F" w14:textId="77777777" w:rsidR="000F0341" w:rsidRPr="00C47DDC" w:rsidRDefault="000F0341" w:rsidP="00E40B0D">
            <w:pPr>
              <w:spacing w:line="276" w:lineRule="auto"/>
              <w:jc w:val="left"/>
              <w:rPr>
                <w:color w:val="000000"/>
                <w:sz w:val="14"/>
                <w:szCs w:val="14"/>
              </w:rPr>
            </w:pPr>
            <w:r w:rsidRPr="00C47DDC">
              <w:rPr>
                <w:color w:val="000000"/>
                <w:sz w:val="14"/>
                <w:szCs w:val="14"/>
              </w:rPr>
              <w:t>High Risk</w:t>
            </w:r>
          </w:p>
        </w:tc>
      </w:tr>
      <w:tr w:rsidR="000F0341" w:rsidRPr="00BF62A1" w14:paraId="61C6C3B5" w14:textId="77777777" w:rsidTr="00E40B0D">
        <w:trPr>
          <w:trHeight w:val="20"/>
        </w:trPr>
        <w:tc>
          <w:tcPr>
            <w:tcW w:w="1129" w:type="dxa"/>
            <w:vAlign w:val="center"/>
            <w:hideMark/>
          </w:tcPr>
          <w:p w14:paraId="357BC3E2" w14:textId="77777777" w:rsidR="000F0341" w:rsidRPr="00C47DDC" w:rsidRDefault="000F0341" w:rsidP="00E40B0D">
            <w:pPr>
              <w:spacing w:line="240" w:lineRule="auto"/>
              <w:jc w:val="left"/>
              <w:rPr>
                <w:color w:val="000000"/>
                <w:sz w:val="14"/>
                <w:szCs w:val="14"/>
              </w:rPr>
            </w:pPr>
            <w:r w:rsidRPr="00C47DDC">
              <w:rPr>
                <w:color w:val="000000"/>
                <w:sz w:val="14"/>
                <w:szCs w:val="14"/>
              </w:rPr>
              <w:t xml:space="preserve">Idrees 2018 </w:t>
            </w:r>
            <w:r w:rsidRPr="00C47DDC">
              <w:rPr>
                <w:color w:val="000000"/>
                <w:sz w:val="14"/>
                <w:szCs w:val="14"/>
              </w:rPr>
              <w:fldChar w:fldCharType="begin"/>
            </w:r>
            <w:r>
              <w:rPr>
                <w:color w:val="000000"/>
                <w:sz w:val="14"/>
                <w:szCs w:val="14"/>
              </w:rPr>
              <w:instrText xml:space="preserve"> ADDIN ZOTERO_ITEM CSL_CITATION {"citationID":"NMPkjUCU","properties":{"formattedCitation":"[51]","plainCitation":"[51]","noteIndex":0},"citationItems":[{"id":14028,"uris":["http://zotero.org/groups/4983919/items/ZNE4B3X4"],"itemData":{"id":14028,"type":"article-journal","abstract":"OBJECTIVE: To estimate the cost of rescue and cost of failure and determine cost-effectiveness of rescue from major complications at high-volume (HV) and low-volume (LV) centers METHODS: Ninety-six thousand one hundred seven patients undergoing liver resection were identified from the Nationwide Inpatient Sample (NIS) between 2002 and 2011. The incremental cost of rescue and cost of FTR were calculated. Using propensity-matched cohorts, a cost-effectiveness analysis was performed to determine the incremental cost-effectiveness ratio (ICER) between HV and LV hospitals. RESULTS: Ninety-six thousand one hundred seven patients were identified in NIS. The overall mortality was 2.3% and was lowest in HV centers (HV 1.4% vs. MV 2.1% vs. LV 2.6%; p &lt; 0.001). Major complications occurred in 14.9% of hepatectomies and were comparable regardless of volume (HV 14.2% vs. MV 14.3% vs. LV 15.4%; p &lt; 0.001). The FTR rate was substantially lower among HV centers (HV 7.7%, MV 11%, LV 12%; p &lt; 0.001). At a willingness to pay benchmark of $50,000 per year of life saved, both HV (ICER = $3296) and MV (ICER = $4182) centers were cost-effective at rescuing patients from a major complication compared to LV hospitals. CONCLUSION: Not only was FTR less common at HV hospitals, but the management of most major complications was cost-effective at higher volume centers.","container-title":"J Gastrointest Surg","DOI":"10.1007/s11605-018-3826-6","ISSN":"1091-255x","issue":"10","language":"eng","page":"1688-1696","title":"The Cost of Failure: Assessing the Cost-Effectiveness of Rescuing Patients from Major Complications After Liver Resection Using the National Inpatient Sample","volume":"22","author":[{"family":"Idrees","given":"J. J."},{"family":"Kimbrough","given":"C. W."},{"family":"Rosinski","given":"B. F."},{"family":"Schmidt","given":"C."},{"family":"Dillhoff","given":"M. E."},{"family":"Beal","given":"E. W."},{"family":"Bagante","given":"F."},{"family":"Merath","given":"K."},{"family":"Chen","given":"Q."},{"family":"Cloyd","given":"J. M."},{"family":"Ellison","given":"E. C."},{"family":"Pawlik","given":"T. M."}],"issued":{"date-parts":[["2018",10]]}}}],"schema":"https://github.com/citation-style-language/schema/raw/master/csl-citation.json"} </w:instrText>
            </w:r>
            <w:r w:rsidRPr="00C47DDC">
              <w:rPr>
                <w:color w:val="000000"/>
                <w:sz w:val="14"/>
                <w:szCs w:val="14"/>
              </w:rPr>
              <w:fldChar w:fldCharType="separate"/>
            </w:r>
            <w:r w:rsidRPr="004125CE">
              <w:rPr>
                <w:sz w:val="14"/>
              </w:rPr>
              <w:t>[51]</w:t>
            </w:r>
            <w:r w:rsidRPr="00C47DDC">
              <w:rPr>
                <w:color w:val="000000"/>
                <w:sz w:val="14"/>
                <w:szCs w:val="14"/>
              </w:rPr>
              <w:fldChar w:fldCharType="end"/>
            </w:r>
          </w:p>
        </w:tc>
        <w:tc>
          <w:tcPr>
            <w:tcW w:w="5954" w:type="dxa"/>
            <w:vAlign w:val="center"/>
            <w:hideMark/>
          </w:tcPr>
          <w:p w14:paraId="68167949" w14:textId="77777777" w:rsidR="000F0341" w:rsidRPr="00C47DDC" w:rsidRDefault="000F0341" w:rsidP="00E40B0D">
            <w:pPr>
              <w:spacing w:line="240" w:lineRule="auto"/>
              <w:jc w:val="left"/>
              <w:rPr>
                <w:color w:val="000000"/>
                <w:sz w:val="14"/>
                <w:szCs w:val="14"/>
              </w:rPr>
            </w:pPr>
            <w:r w:rsidRPr="00C47DDC">
              <w:rPr>
                <w:b/>
                <w:bCs/>
                <w:color w:val="000000"/>
                <w:sz w:val="14"/>
                <w:szCs w:val="14"/>
              </w:rPr>
              <w:t>FTR:</w:t>
            </w:r>
            <w:r w:rsidRPr="00C47DDC">
              <w:rPr>
                <w:color w:val="000000"/>
                <w:sz w:val="14"/>
                <w:szCs w:val="14"/>
              </w:rPr>
              <w:t xml:space="preserve"> (OR): </w:t>
            </w:r>
            <w:r w:rsidRPr="00C47DDC">
              <w:rPr>
                <w:color w:val="000000"/>
                <w:sz w:val="14"/>
                <w:szCs w:val="14"/>
                <w:u w:val="single"/>
              </w:rPr>
              <w:t>Low</w:t>
            </w:r>
            <w:r w:rsidRPr="00C47DDC">
              <w:rPr>
                <w:color w:val="000000"/>
                <w:sz w:val="14"/>
                <w:szCs w:val="14"/>
              </w:rPr>
              <w:t xml:space="preserve"> vs. Medium: 0.95</w:t>
            </w:r>
            <w:r w:rsidRPr="00C47DDC">
              <w:rPr>
                <w:color w:val="000000"/>
                <w:sz w:val="14"/>
                <w:szCs w:val="14"/>
                <w:vertAlign w:val="superscript"/>
              </w:rPr>
              <w:t>a</w:t>
            </w:r>
            <w:r w:rsidRPr="00C47DDC">
              <w:rPr>
                <w:color w:val="000000"/>
                <w:sz w:val="14"/>
                <w:szCs w:val="14"/>
              </w:rPr>
              <w:t xml:space="preserve"> [0.61-1.48]; High: 0.69</w:t>
            </w:r>
            <w:r w:rsidRPr="00C47DDC">
              <w:rPr>
                <w:color w:val="000000"/>
                <w:sz w:val="14"/>
                <w:szCs w:val="14"/>
                <w:vertAlign w:val="superscript"/>
              </w:rPr>
              <w:t>a</w:t>
            </w:r>
            <w:r w:rsidRPr="00C47DDC">
              <w:rPr>
                <w:color w:val="000000"/>
                <w:sz w:val="14"/>
                <w:szCs w:val="14"/>
              </w:rPr>
              <w:t xml:space="preserve"> [0.37-1.27]</w:t>
            </w:r>
          </w:p>
        </w:tc>
        <w:tc>
          <w:tcPr>
            <w:tcW w:w="1276" w:type="dxa"/>
            <w:vAlign w:val="center"/>
          </w:tcPr>
          <w:p w14:paraId="4137CA99" w14:textId="77777777" w:rsidR="000F0341" w:rsidRPr="00C47DDC" w:rsidRDefault="000F0341" w:rsidP="00E40B0D">
            <w:pPr>
              <w:spacing w:line="276" w:lineRule="auto"/>
              <w:jc w:val="left"/>
              <w:rPr>
                <w:color w:val="000000"/>
                <w:sz w:val="14"/>
                <w:szCs w:val="14"/>
              </w:rPr>
            </w:pPr>
            <w:r w:rsidRPr="00C47DDC">
              <w:rPr>
                <w:color w:val="000000"/>
                <w:sz w:val="14"/>
                <w:szCs w:val="14"/>
              </w:rPr>
              <w:t>7/3/11/6</w:t>
            </w:r>
          </w:p>
        </w:tc>
        <w:tc>
          <w:tcPr>
            <w:tcW w:w="997" w:type="dxa"/>
            <w:vAlign w:val="center"/>
          </w:tcPr>
          <w:p w14:paraId="14642AB3" w14:textId="77777777" w:rsidR="000F0341" w:rsidRPr="00C47DDC" w:rsidRDefault="000F0341" w:rsidP="00E40B0D">
            <w:pPr>
              <w:spacing w:line="276" w:lineRule="auto"/>
              <w:jc w:val="left"/>
              <w:rPr>
                <w:color w:val="000000"/>
                <w:sz w:val="14"/>
                <w:szCs w:val="14"/>
              </w:rPr>
            </w:pPr>
            <w:r w:rsidRPr="00C47DDC">
              <w:rPr>
                <w:color w:val="000000"/>
                <w:sz w:val="14"/>
                <w:szCs w:val="14"/>
              </w:rPr>
              <w:t>High Risk</w:t>
            </w:r>
          </w:p>
        </w:tc>
      </w:tr>
    </w:tbl>
    <w:p w14:paraId="214ED6D0" w14:textId="77777777" w:rsidR="000F0341" w:rsidRDefault="000F0341" w:rsidP="000F0341"/>
    <w:tbl>
      <w:tblPr>
        <w:tblpPr w:leftFromText="180" w:rightFromText="180" w:vertAnchor="text" w:tblpX="-303"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00" w:firstRow="0" w:lastRow="0" w:firstColumn="0" w:lastColumn="0" w:noHBand="1" w:noVBand="1"/>
      </w:tblPr>
      <w:tblGrid>
        <w:gridCol w:w="1129"/>
        <w:gridCol w:w="5954"/>
        <w:gridCol w:w="1276"/>
        <w:gridCol w:w="997"/>
      </w:tblGrid>
      <w:tr w:rsidR="000F0341" w:rsidRPr="00BF62A1" w14:paraId="4CBF966B" w14:textId="77777777" w:rsidTr="00E40B0D">
        <w:trPr>
          <w:trHeight w:val="20"/>
        </w:trPr>
        <w:tc>
          <w:tcPr>
            <w:tcW w:w="1129" w:type="dxa"/>
            <w:vMerge w:val="restart"/>
            <w:vAlign w:val="center"/>
          </w:tcPr>
          <w:p w14:paraId="6893BE28" w14:textId="77777777" w:rsidR="000F0341" w:rsidRPr="00C47DDC" w:rsidRDefault="000F0341" w:rsidP="00E40B0D">
            <w:pPr>
              <w:spacing w:line="240" w:lineRule="auto"/>
              <w:jc w:val="center"/>
              <w:rPr>
                <w:b/>
                <w:bCs/>
                <w:color w:val="000000"/>
                <w:sz w:val="14"/>
                <w:szCs w:val="14"/>
              </w:rPr>
            </w:pPr>
            <w:r w:rsidRPr="00C47DDC">
              <w:rPr>
                <w:b/>
                <w:bCs/>
                <w:color w:val="000000"/>
                <w:sz w:val="14"/>
                <w:szCs w:val="14"/>
              </w:rPr>
              <w:t>First author and year of publication</w:t>
            </w:r>
          </w:p>
        </w:tc>
        <w:tc>
          <w:tcPr>
            <w:tcW w:w="5954" w:type="dxa"/>
            <w:vMerge w:val="restart"/>
            <w:vAlign w:val="center"/>
          </w:tcPr>
          <w:p w14:paraId="06F2E125" w14:textId="77777777" w:rsidR="000F0341" w:rsidRPr="00C47DDC" w:rsidRDefault="000F0341" w:rsidP="00E40B0D">
            <w:pPr>
              <w:spacing w:line="240" w:lineRule="auto"/>
              <w:jc w:val="center"/>
              <w:rPr>
                <w:b/>
                <w:bCs/>
                <w:color w:val="000000"/>
                <w:sz w:val="14"/>
                <w:szCs w:val="14"/>
              </w:rPr>
            </w:pPr>
            <w:r>
              <w:rPr>
                <w:b/>
                <w:bCs/>
                <w:color w:val="000000"/>
                <w:sz w:val="14"/>
                <w:szCs w:val="14"/>
              </w:rPr>
              <w:t>30-day Mortality</w:t>
            </w:r>
          </w:p>
        </w:tc>
        <w:tc>
          <w:tcPr>
            <w:tcW w:w="2273" w:type="dxa"/>
            <w:gridSpan w:val="2"/>
            <w:vAlign w:val="center"/>
          </w:tcPr>
          <w:p w14:paraId="2EB40F66" w14:textId="77777777" w:rsidR="000F0341" w:rsidRPr="00C47DDC" w:rsidRDefault="000F0341" w:rsidP="00E40B0D">
            <w:pPr>
              <w:spacing w:line="276" w:lineRule="auto"/>
              <w:jc w:val="center"/>
              <w:rPr>
                <w:b/>
                <w:bCs/>
                <w:color w:val="000000"/>
                <w:sz w:val="14"/>
                <w:szCs w:val="14"/>
              </w:rPr>
            </w:pPr>
            <w:r w:rsidRPr="00C47DDC">
              <w:rPr>
                <w:b/>
                <w:sz w:val="14"/>
                <w:szCs w:val="14"/>
              </w:rPr>
              <w:t>Quality</w:t>
            </w:r>
            <w:r w:rsidRPr="00C47DDC">
              <w:rPr>
                <w:bCs/>
                <w:sz w:val="14"/>
                <w:szCs w:val="14"/>
              </w:rPr>
              <w:t xml:space="preserve"> </w:t>
            </w:r>
            <w:r w:rsidRPr="00C47DDC">
              <w:rPr>
                <w:b/>
                <w:sz w:val="14"/>
                <w:szCs w:val="14"/>
              </w:rPr>
              <w:t>appraisal</w:t>
            </w:r>
          </w:p>
        </w:tc>
      </w:tr>
      <w:tr w:rsidR="000F0341" w:rsidRPr="00BF62A1" w14:paraId="1E3FBA5B" w14:textId="77777777" w:rsidTr="00E40B0D">
        <w:trPr>
          <w:trHeight w:val="20"/>
        </w:trPr>
        <w:tc>
          <w:tcPr>
            <w:tcW w:w="1129" w:type="dxa"/>
            <w:vMerge/>
            <w:vAlign w:val="center"/>
            <w:hideMark/>
          </w:tcPr>
          <w:p w14:paraId="6CFA62F5" w14:textId="77777777" w:rsidR="000F0341" w:rsidRPr="00BF62A1" w:rsidRDefault="000F0341" w:rsidP="00E40B0D">
            <w:pPr>
              <w:spacing w:line="240" w:lineRule="auto"/>
              <w:jc w:val="center"/>
              <w:rPr>
                <w:b/>
                <w:bCs/>
                <w:color w:val="000000"/>
                <w:sz w:val="14"/>
                <w:szCs w:val="14"/>
              </w:rPr>
            </w:pPr>
          </w:p>
        </w:tc>
        <w:tc>
          <w:tcPr>
            <w:tcW w:w="5954" w:type="dxa"/>
            <w:vMerge/>
            <w:vAlign w:val="center"/>
            <w:hideMark/>
          </w:tcPr>
          <w:p w14:paraId="5CB333E8" w14:textId="77777777" w:rsidR="000F0341" w:rsidRPr="00BF62A1" w:rsidRDefault="000F0341" w:rsidP="00E40B0D">
            <w:pPr>
              <w:spacing w:line="240" w:lineRule="auto"/>
              <w:jc w:val="center"/>
              <w:rPr>
                <w:b/>
                <w:bCs/>
                <w:color w:val="000000"/>
                <w:sz w:val="14"/>
                <w:szCs w:val="14"/>
              </w:rPr>
            </w:pPr>
          </w:p>
        </w:tc>
        <w:tc>
          <w:tcPr>
            <w:tcW w:w="1276" w:type="dxa"/>
            <w:vAlign w:val="center"/>
          </w:tcPr>
          <w:p w14:paraId="61DB427E" w14:textId="77777777" w:rsidR="000F0341" w:rsidRPr="00C47DDC" w:rsidRDefault="000F0341" w:rsidP="00E40B0D">
            <w:pPr>
              <w:spacing w:line="276" w:lineRule="auto"/>
              <w:jc w:val="center"/>
              <w:rPr>
                <w:b/>
                <w:bCs/>
                <w:color w:val="000000"/>
                <w:sz w:val="14"/>
                <w:szCs w:val="14"/>
              </w:rPr>
            </w:pPr>
            <w:r w:rsidRPr="00C47DDC">
              <w:rPr>
                <w:b/>
                <w:bCs/>
                <w:color w:val="000000"/>
                <w:sz w:val="14"/>
                <w:szCs w:val="14"/>
              </w:rPr>
              <w:t xml:space="preserve">ISPOR </w:t>
            </w:r>
            <w:r w:rsidRPr="00C47DDC">
              <w:rPr>
                <w:color w:val="000000"/>
                <w:sz w:val="14"/>
                <w:szCs w:val="14"/>
              </w:rPr>
              <w:t>(Yes/Partially/No/NA)</w:t>
            </w:r>
          </w:p>
        </w:tc>
        <w:tc>
          <w:tcPr>
            <w:tcW w:w="997" w:type="dxa"/>
            <w:vAlign w:val="center"/>
          </w:tcPr>
          <w:p w14:paraId="3392B53D" w14:textId="77777777" w:rsidR="000F0341" w:rsidRPr="00C47DDC" w:rsidRDefault="000F0341" w:rsidP="00E40B0D">
            <w:pPr>
              <w:spacing w:line="276" w:lineRule="auto"/>
              <w:jc w:val="center"/>
              <w:rPr>
                <w:b/>
                <w:bCs/>
                <w:color w:val="000000"/>
                <w:sz w:val="14"/>
                <w:szCs w:val="14"/>
              </w:rPr>
            </w:pPr>
            <w:r w:rsidRPr="00C47DDC">
              <w:rPr>
                <w:b/>
                <w:bCs/>
                <w:color w:val="000000"/>
                <w:sz w:val="14"/>
                <w:szCs w:val="14"/>
              </w:rPr>
              <w:t xml:space="preserve">ROBINS-E </w:t>
            </w:r>
            <w:r w:rsidRPr="00C47DDC">
              <w:rPr>
                <w:color w:val="000000"/>
                <w:sz w:val="14"/>
                <w:szCs w:val="14"/>
              </w:rPr>
              <w:t>(Domain 7</w:t>
            </w:r>
            <w:r w:rsidRPr="00C47DDC">
              <w:rPr>
                <w:bCs/>
                <w:sz w:val="14"/>
                <w:szCs w:val="14"/>
              </w:rPr>
              <w:t>†</w:t>
            </w:r>
            <w:r w:rsidRPr="00C47DDC">
              <w:rPr>
                <w:color w:val="000000"/>
                <w:sz w:val="14"/>
                <w:szCs w:val="14"/>
              </w:rPr>
              <w:t>)</w:t>
            </w:r>
          </w:p>
        </w:tc>
      </w:tr>
      <w:tr w:rsidR="000F0341" w:rsidRPr="00BF62A1" w14:paraId="71D6DEA6" w14:textId="77777777" w:rsidTr="00E40B0D">
        <w:trPr>
          <w:trHeight w:val="340"/>
        </w:trPr>
        <w:tc>
          <w:tcPr>
            <w:tcW w:w="9356" w:type="dxa"/>
            <w:gridSpan w:val="4"/>
            <w:vAlign w:val="center"/>
          </w:tcPr>
          <w:p w14:paraId="0DDCFCB2" w14:textId="77777777" w:rsidR="000F0341" w:rsidRPr="00C47DDC" w:rsidRDefault="000F0341" w:rsidP="00E40B0D">
            <w:pPr>
              <w:spacing w:line="276" w:lineRule="auto"/>
              <w:jc w:val="center"/>
              <w:rPr>
                <w:b/>
                <w:bCs/>
                <w:color w:val="000000"/>
                <w:sz w:val="14"/>
                <w:szCs w:val="14"/>
              </w:rPr>
            </w:pPr>
            <w:r w:rsidRPr="00C47DDC">
              <w:rPr>
                <w:b/>
                <w:bCs/>
                <w:color w:val="000000"/>
                <w:sz w:val="14"/>
                <w:szCs w:val="14"/>
              </w:rPr>
              <w:t>Anatomical resections</w:t>
            </w:r>
          </w:p>
        </w:tc>
      </w:tr>
      <w:tr w:rsidR="000F0341" w:rsidRPr="00BF62A1" w14:paraId="3D4414F8" w14:textId="77777777" w:rsidTr="00E40B0D">
        <w:trPr>
          <w:trHeight w:val="148"/>
        </w:trPr>
        <w:tc>
          <w:tcPr>
            <w:tcW w:w="9356" w:type="dxa"/>
            <w:gridSpan w:val="4"/>
            <w:vAlign w:val="center"/>
          </w:tcPr>
          <w:p w14:paraId="5B288A07" w14:textId="77777777" w:rsidR="000F0341" w:rsidRPr="00D63E7B" w:rsidRDefault="000F0341" w:rsidP="00E40B0D">
            <w:pPr>
              <w:spacing w:line="276" w:lineRule="auto"/>
              <w:jc w:val="center"/>
              <w:rPr>
                <w:color w:val="000000"/>
                <w:sz w:val="14"/>
                <w:szCs w:val="14"/>
              </w:rPr>
            </w:pPr>
            <w:r w:rsidRPr="00D63E7B">
              <w:rPr>
                <w:color w:val="000000"/>
                <w:sz w:val="14"/>
                <w:szCs w:val="14"/>
              </w:rPr>
              <w:t>None</w:t>
            </w:r>
          </w:p>
        </w:tc>
      </w:tr>
      <w:tr w:rsidR="000F0341" w:rsidRPr="00BF62A1" w14:paraId="33C2F974" w14:textId="77777777" w:rsidTr="00E40B0D">
        <w:trPr>
          <w:trHeight w:val="340"/>
        </w:trPr>
        <w:tc>
          <w:tcPr>
            <w:tcW w:w="9356" w:type="dxa"/>
            <w:gridSpan w:val="4"/>
            <w:vAlign w:val="center"/>
          </w:tcPr>
          <w:p w14:paraId="77E5538B" w14:textId="77777777" w:rsidR="000F0341" w:rsidRPr="00C47DDC" w:rsidRDefault="000F0341" w:rsidP="00E40B0D">
            <w:pPr>
              <w:spacing w:line="276" w:lineRule="auto"/>
              <w:jc w:val="center"/>
              <w:rPr>
                <w:b/>
                <w:bCs/>
                <w:color w:val="000000"/>
                <w:sz w:val="14"/>
                <w:szCs w:val="14"/>
              </w:rPr>
            </w:pPr>
            <w:r w:rsidRPr="00C47DDC">
              <w:rPr>
                <w:b/>
                <w:bCs/>
                <w:color w:val="000000"/>
                <w:sz w:val="14"/>
                <w:szCs w:val="14"/>
              </w:rPr>
              <w:t>Anatomical and non-anatomical resections separately</w:t>
            </w:r>
          </w:p>
        </w:tc>
      </w:tr>
      <w:tr w:rsidR="000F0341" w:rsidRPr="00BF62A1" w14:paraId="0B056DE6" w14:textId="77777777" w:rsidTr="00E40B0D">
        <w:trPr>
          <w:trHeight w:val="20"/>
        </w:trPr>
        <w:tc>
          <w:tcPr>
            <w:tcW w:w="1129" w:type="dxa"/>
            <w:vAlign w:val="center"/>
          </w:tcPr>
          <w:p w14:paraId="59E897A7" w14:textId="77777777" w:rsidR="000F0341" w:rsidRPr="00C47DDC" w:rsidRDefault="000F0341" w:rsidP="00E40B0D">
            <w:pPr>
              <w:spacing w:line="240" w:lineRule="auto"/>
              <w:jc w:val="left"/>
              <w:rPr>
                <w:color w:val="000000"/>
                <w:sz w:val="14"/>
                <w:szCs w:val="14"/>
              </w:rPr>
            </w:pPr>
            <w:r w:rsidRPr="00C47DDC">
              <w:rPr>
                <w:color w:val="000000"/>
                <w:sz w:val="14"/>
                <w:szCs w:val="14"/>
              </w:rPr>
              <w:t xml:space="preserve">Hoerger 2023 </w:t>
            </w:r>
            <w:r w:rsidRPr="00C47DDC">
              <w:rPr>
                <w:color w:val="000000"/>
                <w:sz w:val="14"/>
                <w:szCs w:val="14"/>
              </w:rPr>
              <w:fldChar w:fldCharType="begin"/>
            </w:r>
            <w:r>
              <w:rPr>
                <w:color w:val="000000"/>
                <w:sz w:val="14"/>
                <w:szCs w:val="14"/>
              </w:rPr>
              <w:instrText xml:space="preserve"> ADDIN ZOTERO_ITEM CSL_CITATION {"citationID":"2oHsCTJH","properties":{"formattedCitation":"[83]","plainCitation":"[83]","noteIndex":0},"citationItems":[{"id":14273,"uris":["http://zotero.org/groups/4983919/items/6PMFLYW9"],"itemData":{"id":14273,"type":"article-journal","abstract":"BACKGROUND: Volume-outcome relationships have been described for a variety of surgical procedures. We aimed to define the facility volume threshold at which postoperative mortality after hepatectomy was optimal. METHODS: We determined volume percentiles for institutions performing hepatectomy for any primary liver tumor within the National Cancer Database (2004-2017). Marginal structural logistic regression defined the volume percentile (Vmin) at which the odds of 90-day mortality were optimally reduced in patients with hepatocellular carcinoma (HCC) or intrahepatic cholangiocarcinoma (ICC). Short-term postoperative and survival outcomes were compared between patients treated at facilities above and below Vmin. RESULTS: Thresholds for the 10(th)/25(th)/50(th)/75(th)/90(th) percentiles were 2/7/26/46/59 hepatectomies/year. A total of 17,833 patients underwent resection of HCC or ICC. The 90-day postoperative mortality was optimized at the 75(th) percentile for all hepatectomies (IP-weighted OR = 0.67, 95% CI = 0.52-0.87) and major hepatectomy (IP-weighted OR = 0.62, 95% CI = 0.49-0.80). Seven of 446 facilities met the Vmin threshold. The odds of 30-day mortality were also reduced for all hepatectomies (IP-weighted OR = 0.55, 95% CI = 0.42-0.73) and major hepatectomy (IP-weighted OR = 0.58, 95% CI = 0.41-0.75). There were no differences in length of stay or 30-day readmission rate. Patients with HCC or ICC treated at facilities ≥ 10(th) percentile had an associated improvement in overall survival. CONCLUSIONS: Resection of HCC and ICC is performed at a large number of facilities. Postoperative mortality is optimally reduced at facilities performing at least 46 liver operations annually. Regionalization of surgical care among patients with primary liver malignancies to high-volume centers may result in improved outcomes.","container-title":"Journal of gastrointestinal surgery : official journal of the Society for Surgery of the Alimentary Tract","DOI":"10.1007/s11605-022-05541-4","ISSN":"1873-4626 (Electronic)","issue":"2","language":"eng","page":"273-282","title":"Facility Volume Thresholds for Optimization of Short- and Long-Term Outcomes in Patients Undergoing Hepatectomy for Primary Liver Tumors.","URL":"https://pubmed.ncbi.nlm.nih.gov/36443556/","volume":"27","author":[{"family":"Hoerger","given":"Kelly"},{"family":"Hue","given":"Jonathan J"},{"family":"Elshami","given":"Mohamaedraed"},{"family":"Ammori","given":"John B"},{"family":"Hardacre","given":"Jeffrey M"},{"family":"Winter","given":"Jordan M"},{"family":"Ocuin","given":"Lee M"}],"issued":{"date-parts":[["2023",2]]}}}],"schema":"https://github.com/citation-style-language/schema/raw/master/csl-citation.json"} </w:instrText>
            </w:r>
            <w:r w:rsidRPr="00C47DDC">
              <w:rPr>
                <w:color w:val="000000"/>
                <w:sz w:val="14"/>
                <w:szCs w:val="14"/>
              </w:rPr>
              <w:fldChar w:fldCharType="separate"/>
            </w:r>
            <w:r w:rsidRPr="004125CE">
              <w:rPr>
                <w:sz w:val="14"/>
              </w:rPr>
              <w:t>[83]</w:t>
            </w:r>
            <w:r w:rsidRPr="00C47DDC">
              <w:rPr>
                <w:color w:val="000000"/>
                <w:sz w:val="14"/>
                <w:szCs w:val="14"/>
              </w:rPr>
              <w:fldChar w:fldCharType="end"/>
            </w:r>
          </w:p>
        </w:tc>
        <w:tc>
          <w:tcPr>
            <w:tcW w:w="5954" w:type="dxa"/>
            <w:vAlign w:val="center"/>
          </w:tcPr>
          <w:p w14:paraId="4B0ECA91" w14:textId="77777777" w:rsidR="000F0341" w:rsidRPr="00C47DDC" w:rsidRDefault="000F0341" w:rsidP="00E40B0D">
            <w:pPr>
              <w:spacing w:line="240" w:lineRule="auto"/>
              <w:jc w:val="left"/>
              <w:rPr>
                <w:color w:val="000000"/>
                <w:sz w:val="14"/>
                <w:szCs w:val="14"/>
              </w:rPr>
            </w:pPr>
            <w:r w:rsidRPr="00C47DDC">
              <w:rPr>
                <w:b/>
                <w:bCs/>
                <w:color w:val="000000"/>
                <w:sz w:val="14"/>
                <w:szCs w:val="14"/>
              </w:rPr>
              <w:t>Mortality:</w:t>
            </w:r>
            <w:r w:rsidRPr="00C47DDC">
              <w:rPr>
                <w:color w:val="000000"/>
                <w:sz w:val="14"/>
                <w:szCs w:val="14"/>
              </w:rPr>
              <w:t xml:space="preserve"> (OR): </w:t>
            </w:r>
            <w:r w:rsidRPr="004B71DA">
              <w:rPr>
                <w:b/>
                <w:bCs/>
                <w:color w:val="000000"/>
                <w:sz w:val="14"/>
                <w:szCs w:val="14"/>
              </w:rPr>
              <w:t>Major hepatectomy:</w:t>
            </w:r>
            <w:r w:rsidRPr="00C47DDC">
              <w:rPr>
                <w:color w:val="000000"/>
                <w:sz w:val="14"/>
                <w:szCs w:val="14"/>
              </w:rPr>
              <w:br/>
              <w:t>(30 day): Low vs. High: 0.58</w:t>
            </w:r>
            <w:r w:rsidRPr="00C47DDC">
              <w:rPr>
                <w:color w:val="000000"/>
                <w:sz w:val="14"/>
                <w:szCs w:val="14"/>
                <w:vertAlign w:val="superscript"/>
              </w:rPr>
              <w:t>a</w:t>
            </w:r>
            <w:r w:rsidRPr="00C47DDC">
              <w:rPr>
                <w:color w:val="000000"/>
                <w:sz w:val="14"/>
                <w:szCs w:val="14"/>
              </w:rPr>
              <w:t xml:space="preserve"> [0.41–0.75]***|</w:t>
            </w:r>
            <w:r w:rsidRPr="00C47DDC">
              <w:rPr>
                <w:color w:val="000000"/>
                <w:sz w:val="14"/>
                <w:szCs w:val="14"/>
              </w:rPr>
              <w:br/>
            </w:r>
            <w:r w:rsidRPr="00C47DDC">
              <w:rPr>
                <w:b/>
                <w:bCs/>
                <w:color w:val="000000"/>
                <w:sz w:val="14"/>
                <w:szCs w:val="14"/>
              </w:rPr>
              <w:t>Mortality:</w:t>
            </w:r>
            <w:r w:rsidRPr="00C47DDC">
              <w:rPr>
                <w:color w:val="000000"/>
                <w:sz w:val="14"/>
                <w:szCs w:val="14"/>
              </w:rPr>
              <w:t xml:space="preserve"> (OR): </w:t>
            </w:r>
            <w:r w:rsidRPr="004B71DA">
              <w:rPr>
                <w:b/>
                <w:bCs/>
                <w:color w:val="000000"/>
                <w:sz w:val="14"/>
                <w:szCs w:val="14"/>
              </w:rPr>
              <w:t>Any hepatectomy:</w:t>
            </w:r>
            <w:r w:rsidRPr="00C47DDC">
              <w:rPr>
                <w:color w:val="000000"/>
                <w:sz w:val="14"/>
                <w:szCs w:val="14"/>
              </w:rPr>
              <w:t xml:space="preserve"> </w:t>
            </w:r>
            <w:r>
              <w:rPr>
                <w:color w:val="000000"/>
                <w:sz w:val="14"/>
                <w:szCs w:val="14"/>
              </w:rPr>
              <w:t xml:space="preserve">(30 days): </w:t>
            </w:r>
            <w:r w:rsidRPr="00C47DDC">
              <w:rPr>
                <w:color w:val="000000"/>
                <w:sz w:val="14"/>
                <w:szCs w:val="14"/>
                <w:u w:val="single"/>
              </w:rPr>
              <w:t>Low</w:t>
            </w:r>
            <w:r w:rsidRPr="00C47DDC">
              <w:rPr>
                <w:color w:val="000000"/>
                <w:sz w:val="14"/>
                <w:szCs w:val="14"/>
              </w:rPr>
              <w:t xml:space="preserve"> vs. High: 0.55</w:t>
            </w:r>
            <w:r w:rsidRPr="00C47DDC">
              <w:rPr>
                <w:color w:val="000000"/>
                <w:sz w:val="14"/>
                <w:szCs w:val="14"/>
                <w:vertAlign w:val="superscript"/>
              </w:rPr>
              <w:t>a</w:t>
            </w:r>
            <w:r w:rsidRPr="00C47DDC">
              <w:rPr>
                <w:color w:val="000000"/>
                <w:sz w:val="14"/>
                <w:szCs w:val="14"/>
              </w:rPr>
              <w:t xml:space="preserve"> [0.42–0.73]***</w:t>
            </w:r>
          </w:p>
        </w:tc>
        <w:tc>
          <w:tcPr>
            <w:tcW w:w="1276" w:type="dxa"/>
            <w:vAlign w:val="center"/>
          </w:tcPr>
          <w:p w14:paraId="117E01E8" w14:textId="77777777" w:rsidR="000F0341" w:rsidRPr="00C47DDC" w:rsidRDefault="000F0341" w:rsidP="00E40B0D">
            <w:pPr>
              <w:spacing w:line="276" w:lineRule="auto"/>
              <w:jc w:val="left"/>
              <w:rPr>
                <w:color w:val="000000"/>
                <w:sz w:val="14"/>
                <w:szCs w:val="14"/>
              </w:rPr>
            </w:pPr>
            <w:r w:rsidRPr="00C47DDC">
              <w:rPr>
                <w:color w:val="000000"/>
                <w:sz w:val="14"/>
                <w:szCs w:val="14"/>
              </w:rPr>
              <w:t>11/1/9/6</w:t>
            </w:r>
          </w:p>
        </w:tc>
        <w:tc>
          <w:tcPr>
            <w:tcW w:w="997" w:type="dxa"/>
            <w:vAlign w:val="center"/>
          </w:tcPr>
          <w:p w14:paraId="2A1BE3F8" w14:textId="77777777" w:rsidR="000F0341" w:rsidRPr="00C47DDC" w:rsidRDefault="000F0341" w:rsidP="00E40B0D">
            <w:pPr>
              <w:spacing w:line="276" w:lineRule="auto"/>
              <w:jc w:val="left"/>
              <w:rPr>
                <w:color w:val="000000"/>
                <w:sz w:val="14"/>
                <w:szCs w:val="14"/>
              </w:rPr>
            </w:pPr>
            <w:r w:rsidRPr="00C47DDC">
              <w:rPr>
                <w:color w:val="000000"/>
                <w:sz w:val="14"/>
                <w:szCs w:val="14"/>
              </w:rPr>
              <w:t>Low Risk</w:t>
            </w:r>
          </w:p>
        </w:tc>
      </w:tr>
      <w:tr w:rsidR="000F0341" w:rsidRPr="00BF62A1" w14:paraId="1FAC8E4A" w14:textId="77777777" w:rsidTr="00E40B0D">
        <w:trPr>
          <w:trHeight w:val="313"/>
        </w:trPr>
        <w:tc>
          <w:tcPr>
            <w:tcW w:w="1129" w:type="dxa"/>
            <w:vAlign w:val="center"/>
          </w:tcPr>
          <w:p w14:paraId="6A55CAFF" w14:textId="77777777" w:rsidR="000F0341" w:rsidRPr="00C47DDC" w:rsidRDefault="000F0341" w:rsidP="00E40B0D">
            <w:pPr>
              <w:spacing w:line="240" w:lineRule="auto"/>
              <w:jc w:val="left"/>
              <w:rPr>
                <w:color w:val="000000"/>
                <w:sz w:val="14"/>
                <w:szCs w:val="14"/>
              </w:rPr>
            </w:pPr>
            <w:r w:rsidRPr="00C47DDC">
              <w:rPr>
                <w:color w:val="000000"/>
                <w:sz w:val="14"/>
                <w:szCs w:val="14"/>
              </w:rPr>
              <w:t xml:space="preserve">Yasunaga 2012 </w:t>
            </w:r>
            <w:r w:rsidRPr="00C47DDC">
              <w:rPr>
                <w:color w:val="000000"/>
                <w:sz w:val="14"/>
                <w:szCs w:val="14"/>
              </w:rPr>
              <w:fldChar w:fldCharType="begin"/>
            </w:r>
            <w:r>
              <w:rPr>
                <w:color w:val="000000"/>
                <w:sz w:val="14"/>
                <w:szCs w:val="14"/>
              </w:rPr>
              <w:instrText xml:space="preserve"> ADDIN ZOTERO_ITEM CSL_CITATION {"citationID":"7hRReX4U","properties":{"formattedCitation":"[58]","plainCitation":"[58]","noteIndex":0},"citationItems":[{"id":14144,"uris":["http://zotero.org/groups/4983919/items/H44TK5R6"],"itemData":{"id":14144,"type":"article-journal","abstract":"AIM: The present study aimed to conduct a nationwide investigation on the relationship between hospital volume and outcomes following liver resection in Japan. We also discuss health policy implications of the results. METHODS: Using the Japanese Diagnosis Procedure Combination database, we identified 18 046 patients who underwent hepatic resection between July and December 2007-2009. Patients were subdivided into hospital-volume quartiles: very low- (&lt;18/year), low- (18-35), high- (36-70) and very high-volume groups (&gt;70). Multivariate logistic regression analysis for in-hospital mortality within 30 days of surgery was performed to analyze adjusted effects of various factors. RESULTS: Patients in the very high-volume group had a higher Charlson Comorbidity Index (P &lt; 0.001) than those in the very low-volume group. Very low-volume hospitals were significantly less likely to perform extended lobectomy than very high-volume hospitals (5.4% vs 17.6%, P &lt; 0.001). Crude in-hospital mortality within 30 days of surgery was 1.1% (0.6%, 0.8%, 1.9% and 3.0% for limited resection, segmentectomy, lobectomy and extended lobectomy, respectively). With reference to the very low-volume group, risk-adjusted odds ratios (95% confidence intervals) of low-, high- and very high-volume groups for overall mortality were 0.70 (0.48-1.02; P = 0.060), 0.52 (0.34-0.81; P = 0.004) and 0.16 (0.09-0.30; P &lt; 0.001), respectively. CONCLUSION: There is a linear trend between higher hospital volume and lower in-hospital mortality of liver resection in Japan, particularly for lobectomy and extended lobectomy. Based on these results, regionalization of lobectomy and extended lobectomy in high-volume centers could be effective for reducing postoperative mortality.","container-title":"Hepatol Res","DOI":"10.1111/j.1872-034X.2012.01022.x","ISSN":"1386-6346","issue":"11","language":"eng","note":"publisher-place: Departments of Health Management and Policy Medical Informatics and Economics Department of Surgery, Hepato-Biliary-Pancreatic Surgery Division, Artificial Organ and Transplantation Division, Graduate School of Medicine Department of Health Economics and Epidemiology Research, School of Public Health, The University of Tokyo Department of Health Policy and Informatics, Tokyo Medical and Dental University Graduate School of Medicine, Tokyo Department of Preventive Medicine and Community Health, University of Occupational and Environmental Health, Fukuoka, Japan.","page":"1073-80","title":"Relationship between hospital volume and operative mortality for liver resection: Data from the Japanese Diagnosis Procedure Combination database","volume":"42","author":[{"family":"Yasunaga","given":"H."},{"family":"Horiguchi","given":"H."},{"family":"Matsuda","given":"S."},{"family":"Fushimi","given":"K."},{"family":"Hashimoto","given":"H."},{"family":"Ohe","given":"K."},{"family":"Kokudo","given":"N."}],"issued":{"date-parts":[["2012",11]]}}}],"schema":"https://github.com/citation-style-language/schema/raw/master/csl-citation.json"} </w:instrText>
            </w:r>
            <w:r w:rsidRPr="00C47DDC">
              <w:rPr>
                <w:color w:val="000000"/>
                <w:sz w:val="14"/>
                <w:szCs w:val="14"/>
              </w:rPr>
              <w:fldChar w:fldCharType="separate"/>
            </w:r>
            <w:r w:rsidRPr="004125CE">
              <w:rPr>
                <w:sz w:val="14"/>
              </w:rPr>
              <w:t>[58]</w:t>
            </w:r>
            <w:r w:rsidRPr="00C47DDC">
              <w:rPr>
                <w:color w:val="000000"/>
                <w:sz w:val="14"/>
                <w:szCs w:val="14"/>
              </w:rPr>
              <w:fldChar w:fldCharType="end"/>
            </w:r>
          </w:p>
        </w:tc>
        <w:tc>
          <w:tcPr>
            <w:tcW w:w="5954" w:type="dxa"/>
            <w:vAlign w:val="center"/>
          </w:tcPr>
          <w:p w14:paraId="78598C8C" w14:textId="77777777" w:rsidR="000F0341" w:rsidRPr="00C47DDC" w:rsidRDefault="000F0341" w:rsidP="00E40B0D">
            <w:pPr>
              <w:spacing w:line="240" w:lineRule="auto"/>
              <w:jc w:val="left"/>
              <w:rPr>
                <w:color w:val="000000"/>
                <w:sz w:val="14"/>
                <w:szCs w:val="14"/>
              </w:rPr>
            </w:pPr>
            <w:r w:rsidRPr="00C47DDC">
              <w:rPr>
                <w:b/>
                <w:bCs/>
                <w:color w:val="000000"/>
                <w:sz w:val="14"/>
                <w:szCs w:val="14"/>
              </w:rPr>
              <w:t>All-cause mortality:</w:t>
            </w:r>
            <w:r w:rsidRPr="00C47DDC">
              <w:rPr>
                <w:color w:val="000000"/>
                <w:sz w:val="14"/>
                <w:szCs w:val="14"/>
              </w:rPr>
              <w:t xml:space="preserve"> (OR): (30-day): </w:t>
            </w:r>
            <w:r w:rsidRPr="00C47DDC">
              <w:rPr>
                <w:color w:val="000000"/>
                <w:sz w:val="14"/>
                <w:szCs w:val="14"/>
                <w:u w:val="single"/>
              </w:rPr>
              <w:t>Very low</w:t>
            </w:r>
            <w:r w:rsidRPr="00C47DDC">
              <w:rPr>
                <w:color w:val="000000"/>
                <w:sz w:val="14"/>
                <w:szCs w:val="14"/>
              </w:rPr>
              <w:t xml:space="preserve"> vs. Low: 0.70</w:t>
            </w:r>
            <w:r w:rsidRPr="00C47DDC">
              <w:rPr>
                <w:color w:val="000000"/>
                <w:sz w:val="14"/>
                <w:szCs w:val="14"/>
                <w:vertAlign w:val="superscript"/>
              </w:rPr>
              <w:t>a</w:t>
            </w:r>
            <w:r w:rsidRPr="00C47DDC">
              <w:rPr>
                <w:color w:val="000000"/>
                <w:sz w:val="14"/>
                <w:szCs w:val="14"/>
              </w:rPr>
              <w:t xml:space="preserve"> [0.48-1.02]; High: 0.52</w:t>
            </w:r>
            <w:r w:rsidRPr="00C47DDC">
              <w:rPr>
                <w:color w:val="000000"/>
                <w:sz w:val="14"/>
                <w:szCs w:val="14"/>
                <w:vertAlign w:val="superscript"/>
              </w:rPr>
              <w:t>a</w:t>
            </w:r>
            <w:r w:rsidRPr="00C47DDC">
              <w:rPr>
                <w:color w:val="000000"/>
                <w:sz w:val="14"/>
                <w:szCs w:val="14"/>
              </w:rPr>
              <w:t xml:space="preserve"> [0.34-0.81], p&lt;0.01; Very high: 0.16</w:t>
            </w:r>
            <w:r w:rsidRPr="00C47DDC">
              <w:rPr>
                <w:color w:val="000000"/>
                <w:sz w:val="14"/>
                <w:szCs w:val="14"/>
                <w:vertAlign w:val="superscript"/>
              </w:rPr>
              <w:t>a</w:t>
            </w:r>
            <w:r w:rsidRPr="00C47DDC">
              <w:rPr>
                <w:color w:val="000000"/>
                <w:sz w:val="14"/>
                <w:szCs w:val="14"/>
              </w:rPr>
              <w:t xml:space="preserve"> [0.09-0.30], p&lt;0.001</w:t>
            </w:r>
          </w:p>
        </w:tc>
        <w:tc>
          <w:tcPr>
            <w:tcW w:w="1276" w:type="dxa"/>
            <w:vAlign w:val="center"/>
          </w:tcPr>
          <w:p w14:paraId="1E71D6FD" w14:textId="77777777" w:rsidR="000F0341" w:rsidRPr="00C47DDC" w:rsidRDefault="000F0341" w:rsidP="00E40B0D">
            <w:pPr>
              <w:spacing w:line="276" w:lineRule="auto"/>
              <w:jc w:val="left"/>
              <w:rPr>
                <w:color w:val="000000"/>
                <w:sz w:val="14"/>
                <w:szCs w:val="14"/>
              </w:rPr>
            </w:pPr>
            <w:r w:rsidRPr="00C47DDC">
              <w:rPr>
                <w:color w:val="000000"/>
                <w:sz w:val="14"/>
                <w:szCs w:val="14"/>
              </w:rPr>
              <w:t>8/1/12/6</w:t>
            </w:r>
          </w:p>
        </w:tc>
        <w:tc>
          <w:tcPr>
            <w:tcW w:w="997" w:type="dxa"/>
            <w:vAlign w:val="center"/>
          </w:tcPr>
          <w:p w14:paraId="105172C4" w14:textId="77777777" w:rsidR="000F0341" w:rsidRPr="00C47DDC" w:rsidRDefault="000F0341" w:rsidP="00E40B0D">
            <w:pPr>
              <w:spacing w:line="276" w:lineRule="auto"/>
              <w:jc w:val="left"/>
              <w:rPr>
                <w:color w:val="000000"/>
                <w:sz w:val="14"/>
                <w:szCs w:val="14"/>
              </w:rPr>
            </w:pPr>
            <w:r w:rsidRPr="00C47DDC">
              <w:rPr>
                <w:color w:val="000000"/>
                <w:sz w:val="14"/>
                <w:szCs w:val="14"/>
              </w:rPr>
              <w:t>High Risk</w:t>
            </w:r>
          </w:p>
        </w:tc>
      </w:tr>
      <w:tr w:rsidR="000F0341" w:rsidRPr="00BF62A1" w14:paraId="32C41BCC" w14:textId="77777777" w:rsidTr="00E40B0D">
        <w:trPr>
          <w:trHeight w:val="340"/>
        </w:trPr>
        <w:tc>
          <w:tcPr>
            <w:tcW w:w="9356" w:type="dxa"/>
            <w:gridSpan w:val="4"/>
            <w:vAlign w:val="center"/>
          </w:tcPr>
          <w:p w14:paraId="39DB727E" w14:textId="77777777" w:rsidR="000F0341" w:rsidRPr="00C47DDC" w:rsidRDefault="000F0341" w:rsidP="00E40B0D">
            <w:pPr>
              <w:spacing w:line="276" w:lineRule="auto"/>
              <w:jc w:val="center"/>
              <w:rPr>
                <w:b/>
                <w:bCs/>
                <w:color w:val="000000"/>
                <w:sz w:val="14"/>
                <w:szCs w:val="14"/>
              </w:rPr>
            </w:pPr>
            <w:r w:rsidRPr="00C47DDC">
              <w:rPr>
                <w:b/>
                <w:bCs/>
                <w:color w:val="000000"/>
                <w:sz w:val="14"/>
                <w:szCs w:val="14"/>
              </w:rPr>
              <w:t>Anatomical and non-anatomical resections combined</w:t>
            </w:r>
          </w:p>
        </w:tc>
      </w:tr>
      <w:tr w:rsidR="000F0341" w:rsidRPr="00BF62A1" w14:paraId="49F3D69C" w14:textId="77777777" w:rsidTr="00E40B0D">
        <w:trPr>
          <w:trHeight w:val="20"/>
        </w:trPr>
        <w:tc>
          <w:tcPr>
            <w:tcW w:w="1129" w:type="dxa"/>
            <w:vAlign w:val="center"/>
          </w:tcPr>
          <w:p w14:paraId="286B3AA7" w14:textId="77777777" w:rsidR="000F0341" w:rsidRPr="00C47DDC" w:rsidRDefault="000F0341" w:rsidP="00E40B0D">
            <w:pPr>
              <w:spacing w:line="240" w:lineRule="auto"/>
              <w:jc w:val="left"/>
              <w:rPr>
                <w:color w:val="000000"/>
                <w:sz w:val="14"/>
                <w:szCs w:val="14"/>
              </w:rPr>
            </w:pPr>
            <w:r w:rsidRPr="00C47DDC">
              <w:rPr>
                <w:color w:val="000000"/>
                <w:sz w:val="14"/>
                <w:szCs w:val="14"/>
              </w:rPr>
              <w:t xml:space="preserve">Lee 2019 </w:t>
            </w:r>
            <w:r w:rsidRPr="00C47DDC">
              <w:rPr>
                <w:color w:val="000000"/>
                <w:sz w:val="14"/>
                <w:szCs w:val="14"/>
              </w:rPr>
              <w:fldChar w:fldCharType="begin"/>
            </w:r>
            <w:r>
              <w:rPr>
                <w:color w:val="000000"/>
                <w:sz w:val="14"/>
                <w:szCs w:val="14"/>
              </w:rPr>
              <w:instrText xml:space="preserve"> ADDIN ZOTERO_ITEM CSL_CITATION {"citationID":"BW736fzV","properties":{"formattedCitation":"[84]","plainCitation":"[84]","noteIndex":0},"citationItems":[{"id":14137,"uris":["http://zotero.org/groups/4983919/items/GBPXPSTT"],"itemData":{"id":14137,"type":"article-journal","abstract":"Background. Many studies have demonstrated associations between surgical resections at academic centers and improved outcomes, particularly for complex operations. However, few studies have examined this relationship in intrahepatic cholangiocarcinoma (ICC). The hypothesis of this study was that facility type is associated with improved postoperative outcomes and survival for patients with ICC who undergo resection.","container-title":"Annals of Surgical Oncology","DOI":"10.1245/s10434-019-07657-5","ISSN":"1068-9265, 1534-4681","issue":"12","journalAbbreviation":"Ann Surg Oncol","language":"en","page":"4091-4099","source":"DOI.org (Crossref)","title":"Facility Type is Associated with Margin Status and Overall Survival of Patients with Resected Intrahepatic Cholangiocarcinoma","URL":"http://link.springer.com/10.1245/s10434-019-07657-5","volume":"26","author":[{"family":"Lee","given":"Grace C."},{"family":"Gamblin","given":"T. Clark"},{"family":"Fong","given":"Zhi Ven"},{"family":"Ferrone","given":"Cristina R."},{"family":"Goyal","given":"Lipika"},{"family":"Lillemoe","given":"Keith D."},{"family":"Blaszkowsky","given":"Lawrence S."},{"family":"Tanabe","given":"Kenneth K."},{"family":"Qadan","given":"Motaz"}],"accessed":{"date-parts":[["2023",3,9]]},"issued":{"date-parts":[["2019",11]]}}}],"schema":"https://github.com/citation-style-language/schema/raw/master/csl-citation.json"} </w:instrText>
            </w:r>
            <w:r w:rsidRPr="00C47DDC">
              <w:rPr>
                <w:color w:val="000000"/>
                <w:sz w:val="14"/>
                <w:szCs w:val="14"/>
              </w:rPr>
              <w:fldChar w:fldCharType="separate"/>
            </w:r>
            <w:r w:rsidRPr="004125CE">
              <w:rPr>
                <w:sz w:val="14"/>
              </w:rPr>
              <w:t>[84]</w:t>
            </w:r>
            <w:r w:rsidRPr="00C47DDC">
              <w:rPr>
                <w:color w:val="000000"/>
                <w:sz w:val="14"/>
                <w:szCs w:val="14"/>
              </w:rPr>
              <w:fldChar w:fldCharType="end"/>
            </w:r>
          </w:p>
        </w:tc>
        <w:tc>
          <w:tcPr>
            <w:tcW w:w="5954" w:type="dxa"/>
            <w:vAlign w:val="center"/>
          </w:tcPr>
          <w:p w14:paraId="34B5CE78" w14:textId="77777777" w:rsidR="000F0341" w:rsidRPr="00C47DDC" w:rsidRDefault="000F0341" w:rsidP="00E40B0D">
            <w:pPr>
              <w:spacing w:line="240" w:lineRule="auto"/>
              <w:jc w:val="left"/>
              <w:rPr>
                <w:b/>
                <w:bCs/>
                <w:color w:val="000000"/>
                <w:sz w:val="14"/>
                <w:szCs w:val="14"/>
              </w:rPr>
            </w:pPr>
            <w:r w:rsidRPr="00C47DDC">
              <w:rPr>
                <w:b/>
                <w:bCs/>
                <w:color w:val="000000"/>
                <w:sz w:val="14"/>
                <w:szCs w:val="14"/>
              </w:rPr>
              <w:t>Mortality:</w:t>
            </w:r>
            <w:r w:rsidRPr="00C47DDC">
              <w:rPr>
                <w:color w:val="000000"/>
                <w:sz w:val="14"/>
                <w:szCs w:val="14"/>
              </w:rPr>
              <w:t xml:space="preserve"> (OR): (30-day): Low vs. High: 0.68</w:t>
            </w:r>
            <w:r w:rsidRPr="00C47DDC">
              <w:rPr>
                <w:color w:val="000000"/>
                <w:sz w:val="14"/>
                <w:szCs w:val="14"/>
                <w:vertAlign w:val="superscript"/>
              </w:rPr>
              <w:t>a</w:t>
            </w:r>
            <w:r w:rsidRPr="00C47DDC">
              <w:rPr>
                <w:color w:val="000000"/>
                <w:sz w:val="14"/>
                <w:szCs w:val="14"/>
              </w:rPr>
              <w:t xml:space="preserve"> [0.40-1.16]|</w:t>
            </w:r>
          </w:p>
        </w:tc>
        <w:tc>
          <w:tcPr>
            <w:tcW w:w="1276" w:type="dxa"/>
            <w:vAlign w:val="center"/>
          </w:tcPr>
          <w:p w14:paraId="3DBE951B" w14:textId="77777777" w:rsidR="000F0341" w:rsidRPr="00C47DDC" w:rsidRDefault="000F0341" w:rsidP="00E40B0D">
            <w:pPr>
              <w:spacing w:line="276" w:lineRule="auto"/>
              <w:jc w:val="left"/>
              <w:rPr>
                <w:color w:val="000000"/>
                <w:sz w:val="14"/>
                <w:szCs w:val="14"/>
              </w:rPr>
            </w:pPr>
            <w:r w:rsidRPr="00C47DDC">
              <w:rPr>
                <w:color w:val="000000"/>
                <w:sz w:val="14"/>
                <w:szCs w:val="14"/>
              </w:rPr>
              <w:t>7/4/10/6</w:t>
            </w:r>
          </w:p>
        </w:tc>
        <w:tc>
          <w:tcPr>
            <w:tcW w:w="997" w:type="dxa"/>
            <w:vAlign w:val="center"/>
          </w:tcPr>
          <w:p w14:paraId="536AF989" w14:textId="77777777" w:rsidR="000F0341" w:rsidRPr="00C47DDC" w:rsidRDefault="000F0341" w:rsidP="00E40B0D">
            <w:pPr>
              <w:spacing w:line="276" w:lineRule="auto"/>
              <w:jc w:val="left"/>
              <w:rPr>
                <w:color w:val="000000"/>
                <w:sz w:val="14"/>
                <w:szCs w:val="14"/>
              </w:rPr>
            </w:pPr>
            <w:r w:rsidRPr="00C47DDC">
              <w:rPr>
                <w:color w:val="000000"/>
                <w:sz w:val="14"/>
                <w:szCs w:val="14"/>
              </w:rPr>
              <w:t>High Risk</w:t>
            </w:r>
          </w:p>
        </w:tc>
      </w:tr>
      <w:tr w:rsidR="000F0341" w:rsidRPr="00BF62A1" w14:paraId="5FBC3380" w14:textId="77777777" w:rsidTr="00E40B0D">
        <w:trPr>
          <w:trHeight w:val="20"/>
        </w:trPr>
        <w:tc>
          <w:tcPr>
            <w:tcW w:w="1129" w:type="dxa"/>
            <w:vAlign w:val="center"/>
          </w:tcPr>
          <w:p w14:paraId="2A7CF058" w14:textId="77777777" w:rsidR="000F0341" w:rsidRPr="00C47DDC" w:rsidRDefault="000F0341" w:rsidP="00E40B0D">
            <w:pPr>
              <w:spacing w:line="240" w:lineRule="auto"/>
              <w:jc w:val="left"/>
              <w:rPr>
                <w:color w:val="000000"/>
                <w:sz w:val="14"/>
                <w:szCs w:val="14"/>
              </w:rPr>
            </w:pPr>
            <w:r w:rsidRPr="00C47DDC">
              <w:rPr>
                <w:color w:val="000000"/>
                <w:sz w:val="14"/>
                <w:szCs w:val="14"/>
              </w:rPr>
              <w:t xml:space="preserve">Chang 2014 </w:t>
            </w:r>
            <w:r w:rsidRPr="00C47DDC">
              <w:rPr>
                <w:color w:val="000000"/>
                <w:sz w:val="14"/>
                <w:szCs w:val="14"/>
              </w:rPr>
              <w:fldChar w:fldCharType="begin"/>
            </w:r>
            <w:r>
              <w:rPr>
                <w:color w:val="000000"/>
                <w:sz w:val="14"/>
                <w:szCs w:val="14"/>
              </w:rPr>
              <w:instrText xml:space="preserve"> ADDIN ZOTERO_ITEM CSL_CITATION {"citationID":"Hhirsre2","properties":{"formattedCitation":"[63]","plainCitation":"[63]","noteIndex":0},"citationItems":[{"id":14205,"uris":["http://zotero.org/groups/4983919/items/TRPKDPX6"],"itemData":{"id":14205,"type":"article-journal","abstract":"BACKGROUND: The influence of different hospital and surgeon volumes on short-term survival after hepatic resection is not clearly clarified. By taking the known prognostic factors into account, the purpose of this study is to assess the combined effects of hospital and surgeon volume on short-term survival after hepatic resection. METHODS: 13,159 patients who underwent hepatic resection between 2002 and 2006 were identified in the Taiwan National Health Insurance Research Database. Data were extracted from it and short-term survivals were confirmed through 2006. The Cox proportional hazards model was used to assess the relationship between survival and different hospital, surgeon volume and caseload combinations. RESULTS: High-volume surgeons in high-volume hospitals had the highest short-term survivals, following by high-volume surgeons in low-volume hospitals, low-volume surgeons in high-volume hospitals and low-volume surgeons in low-volume hospitals. Based on Cox proportional hazard models, although high-volume hospitals and surgeons both showed significant lower risks of short-term mortality at hospital and surgeon level analysis, after combining hospital and surgeon volume into account, high-volume surgeons in high-volume hospitals had significantly better outcomes; the hazard ratio of other three caseload combinations ranging from 1.66 to 2.08 (p&lt;0.001) in 3-month mortality, and 1.28 to 1.58 (p&lt;0.01) in 1-year mortality. CONCLUSIONS: The combined effects of hospital and surgeon volume influenced the short-term survival after hepatic resection largely. After adjusting for the prognostic factors in the case mix, high-volume surgeons in high-volume hospitals had better short-term survivals. Centralization of hepatic resection to few surgeons and hospitals might improve patients' prognosis.","container-title":"PLoS One","DOI":"10.1371/journal.pone.0086444","ISSN":"1932-6203","issue":"1","language":"eng","note":"publisher-place: Department of Surgery, Buddhist Dalin Tzu Chi General Hospital, Chiayi, Taiwan ; School of Medicine, Tzu Chi University, Hualian, Taiwan. Department of Otolaryngology, Buddhist Dalin Tzu Chi General Hospital, Chiayi, Taiwan ; Center for Clinical Epidemiology and Biostatistics, Buddhist Dalin Tzu Chi General Hospital, Chiayi, Taiwan ; School of Medicine, Tzu Chi University, Hualian, Taiwan.","page":"e86444","title":"The combined effects of hospital and surgeon volume on short-term survival after hepatic resection in a population-based study","volume":"9","author":[{"family":"Chang","given":"C. M."},{"family":"Yin","given":"W. Y."},{"family":"Wei","given":"C. K."},{"family":"Lee","given":"C. H."},{"family":"Lee","given":"C. C."}],"issued":{"date-parts":[["2014"]]}}}],"schema":"https://github.com/citation-style-language/schema/raw/master/csl-citation.json"} </w:instrText>
            </w:r>
            <w:r w:rsidRPr="00C47DDC">
              <w:rPr>
                <w:color w:val="000000"/>
                <w:sz w:val="14"/>
                <w:szCs w:val="14"/>
              </w:rPr>
              <w:fldChar w:fldCharType="separate"/>
            </w:r>
            <w:r w:rsidRPr="004125CE">
              <w:rPr>
                <w:sz w:val="14"/>
              </w:rPr>
              <w:t>[63]</w:t>
            </w:r>
            <w:r w:rsidRPr="00C47DDC">
              <w:rPr>
                <w:color w:val="000000"/>
                <w:sz w:val="14"/>
                <w:szCs w:val="14"/>
              </w:rPr>
              <w:fldChar w:fldCharType="end"/>
            </w:r>
          </w:p>
        </w:tc>
        <w:tc>
          <w:tcPr>
            <w:tcW w:w="5954" w:type="dxa"/>
            <w:vAlign w:val="center"/>
          </w:tcPr>
          <w:p w14:paraId="161D395C" w14:textId="77777777" w:rsidR="000F0341" w:rsidRPr="00C47DDC" w:rsidRDefault="000F0341" w:rsidP="00E40B0D">
            <w:pPr>
              <w:spacing w:line="240" w:lineRule="auto"/>
              <w:jc w:val="left"/>
              <w:rPr>
                <w:color w:val="000000"/>
                <w:sz w:val="14"/>
                <w:szCs w:val="14"/>
              </w:rPr>
            </w:pPr>
            <w:r w:rsidRPr="00C47DDC">
              <w:rPr>
                <w:b/>
                <w:bCs/>
                <w:color w:val="000000"/>
                <w:sz w:val="14"/>
                <w:szCs w:val="14"/>
              </w:rPr>
              <w:t>Mortality:</w:t>
            </w:r>
            <w:r w:rsidRPr="00C47DDC">
              <w:rPr>
                <w:color w:val="000000"/>
                <w:sz w:val="14"/>
                <w:szCs w:val="14"/>
              </w:rPr>
              <w:t xml:space="preserve"> (OR): (30-day): </w:t>
            </w:r>
            <w:r w:rsidRPr="00C47DDC">
              <w:rPr>
                <w:color w:val="000000"/>
                <w:sz w:val="14"/>
                <w:szCs w:val="14"/>
                <w:u w:val="single"/>
              </w:rPr>
              <w:t>High</w:t>
            </w:r>
            <w:r w:rsidRPr="00C47DDC">
              <w:rPr>
                <w:color w:val="000000"/>
                <w:sz w:val="14"/>
                <w:szCs w:val="14"/>
              </w:rPr>
              <w:t xml:space="preserve"> vs. Low: 1.50</w:t>
            </w:r>
            <w:r w:rsidRPr="00C47DDC">
              <w:rPr>
                <w:color w:val="000000"/>
                <w:sz w:val="14"/>
                <w:szCs w:val="14"/>
                <w:vertAlign w:val="superscript"/>
              </w:rPr>
              <w:t>b</w:t>
            </w:r>
            <w:r w:rsidRPr="00C47DDC">
              <w:rPr>
                <w:color w:val="000000"/>
                <w:sz w:val="14"/>
                <w:szCs w:val="14"/>
              </w:rPr>
              <w:t xml:space="preserve"> [1.09–2.07]**| </w:t>
            </w:r>
          </w:p>
        </w:tc>
        <w:tc>
          <w:tcPr>
            <w:tcW w:w="1276" w:type="dxa"/>
            <w:vAlign w:val="center"/>
          </w:tcPr>
          <w:p w14:paraId="7A2E4CA5" w14:textId="77777777" w:rsidR="000F0341" w:rsidRPr="00C47DDC" w:rsidRDefault="000F0341" w:rsidP="00E40B0D">
            <w:pPr>
              <w:spacing w:line="276" w:lineRule="auto"/>
              <w:jc w:val="left"/>
              <w:rPr>
                <w:color w:val="000000"/>
                <w:sz w:val="14"/>
                <w:szCs w:val="14"/>
              </w:rPr>
            </w:pPr>
            <w:r w:rsidRPr="00C47DDC">
              <w:rPr>
                <w:color w:val="000000"/>
                <w:sz w:val="14"/>
                <w:szCs w:val="14"/>
              </w:rPr>
              <w:t>8/3/10/6</w:t>
            </w:r>
          </w:p>
        </w:tc>
        <w:tc>
          <w:tcPr>
            <w:tcW w:w="997" w:type="dxa"/>
            <w:vAlign w:val="center"/>
          </w:tcPr>
          <w:p w14:paraId="5D3F480E" w14:textId="77777777" w:rsidR="000F0341" w:rsidRPr="00C47DDC" w:rsidRDefault="000F0341" w:rsidP="00E40B0D">
            <w:pPr>
              <w:spacing w:line="276" w:lineRule="auto"/>
              <w:jc w:val="left"/>
              <w:rPr>
                <w:color w:val="000000"/>
                <w:sz w:val="14"/>
                <w:szCs w:val="14"/>
              </w:rPr>
            </w:pPr>
            <w:r w:rsidRPr="00C47DDC">
              <w:rPr>
                <w:color w:val="000000"/>
                <w:sz w:val="14"/>
                <w:szCs w:val="14"/>
              </w:rPr>
              <w:t>High Risk</w:t>
            </w:r>
          </w:p>
        </w:tc>
      </w:tr>
    </w:tbl>
    <w:p w14:paraId="52109D5A" w14:textId="77777777" w:rsidR="000F0341" w:rsidRDefault="000F0341" w:rsidP="000F0341"/>
    <w:p w14:paraId="62715617" w14:textId="77777777" w:rsidR="000F0341" w:rsidRDefault="000F0341" w:rsidP="000F0341"/>
    <w:p w14:paraId="3100ACBD" w14:textId="77777777" w:rsidR="000F0341" w:rsidRDefault="000F0341" w:rsidP="000F0341"/>
    <w:p w14:paraId="01EF9639" w14:textId="77777777" w:rsidR="000F0341" w:rsidRDefault="000F0341" w:rsidP="000F0341"/>
    <w:p w14:paraId="5F62A7BA" w14:textId="77777777" w:rsidR="000F0341" w:rsidRDefault="000F0341" w:rsidP="000F0341"/>
    <w:p w14:paraId="66C96C0D" w14:textId="77777777" w:rsidR="000F0341" w:rsidRDefault="000F0341" w:rsidP="000F0341"/>
    <w:tbl>
      <w:tblPr>
        <w:tblpPr w:leftFromText="180" w:rightFromText="180" w:vertAnchor="text" w:tblpX="-303"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00" w:firstRow="0" w:lastRow="0" w:firstColumn="0" w:lastColumn="0" w:noHBand="1" w:noVBand="1"/>
      </w:tblPr>
      <w:tblGrid>
        <w:gridCol w:w="1129"/>
        <w:gridCol w:w="5954"/>
        <w:gridCol w:w="1276"/>
        <w:gridCol w:w="997"/>
      </w:tblGrid>
      <w:tr w:rsidR="000F0341" w:rsidRPr="00BF62A1" w14:paraId="445F854F" w14:textId="77777777" w:rsidTr="00E40B0D">
        <w:trPr>
          <w:trHeight w:val="20"/>
        </w:trPr>
        <w:tc>
          <w:tcPr>
            <w:tcW w:w="1129" w:type="dxa"/>
            <w:vMerge w:val="restart"/>
            <w:vAlign w:val="center"/>
          </w:tcPr>
          <w:p w14:paraId="58432BA1" w14:textId="77777777" w:rsidR="000F0341" w:rsidRPr="00C47DDC" w:rsidRDefault="000F0341" w:rsidP="00E40B0D">
            <w:pPr>
              <w:spacing w:line="240" w:lineRule="auto"/>
              <w:jc w:val="center"/>
              <w:rPr>
                <w:b/>
                <w:bCs/>
                <w:color w:val="000000"/>
                <w:sz w:val="14"/>
                <w:szCs w:val="14"/>
              </w:rPr>
            </w:pPr>
            <w:r w:rsidRPr="00C47DDC">
              <w:rPr>
                <w:b/>
                <w:bCs/>
                <w:color w:val="000000"/>
                <w:sz w:val="14"/>
                <w:szCs w:val="14"/>
              </w:rPr>
              <w:lastRenderedPageBreak/>
              <w:t>First author and year of publication</w:t>
            </w:r>
          </w:p>
        </w:tc>
        <w:tc>
          <w:tcPr>
            <w:tcW w:w="5954" w:type="dxa"/>
            <w:vMerge w:val="restart"/>
            <w:vAlign w:val="center"/>
          </w:tcPr>
          <w:p w14:paraId="23ED9176" w14:textId="77777777" w:rsidR="000F0341" w:rsidRPr="00C47DDC" w:rsidRDefault="000F0341" w:rsidP="00E40B0D">
            <w:pPr>
              <w:spacing w:line="240" w:lineRule="auto"/>
              <w:jc w:val="center"/>
              <w:rPr>
                <w:b/>
                <w:bCs/>
                <w:color w:val="000000"/>
                <w:sz w:val="14"/>
                <w:szCs w:val="14"/>
              </w:rPr>
            </w:pPr>
            <w:r>
              <w:rPr>
                <w:b/>
                <w:bCs/>
                <w:color w:val="000000"/>
                <w:sz w:val="14"/>
                <w:szCs w:val="14"/>
              </w:rPr>
              <w:t>90-day Mortality</w:t>
            </w:r>
          </w:p>
        </w:tc>
        <w:tc>
          <w:tcPr>
            <w:tcW w:w="2273" w:type="dxa"/>
            <w:gridSpan w:val="2"/>
            <w:vAlign w:val="center"/>
          </w:tcPr>
          <w:p w14:paraId="6BF22AC4" w14:textId="77777777" w:rsidR="000F0341" w:rsidRPr="00C47DDC" w:rsidRDefault="000F0341" w:rsidP="00E40B0D">
            <w:pPr>
              <w:spacing w:line="276" w:lineRule="auto"/>
              <w:jc w:val="center"/>
              <w:rPr>
                <w:b/>
                <w:bCs/>
                <w:color w:val="000000"/>
                <w:sz w:val="14"/>
                <w:szCs w:val="14"/>
              </w:rPr>
            </w:pPr>
            <w:r w:rsidRPr="00C47DDC">
              <w:rPr>
                <w:b/>
                <w:sz w:val="14"/>
                <w:szCs w:val="14"/>
              </w:rPr>
              <w:t>Quality</w:t>
            </w:r>
            <w:r w:rsidRPr="00C47DDC">
              <w:rPr>
                <w:bCs/>
                <w:sz w:val="14"/>
                <w:szCs w:val="14"/>
              </w:rPr>
              <w:t xml:space="preserve"> </w:t>
            </w:r>
            <w:r w:rsidRPr="00C47DDC">
              <w:rPr>
                <w:b/>
                <w:sz w:val="14"/>
                <w:szCs w:val="14"/>
              </w:rPr>
              <w:t>appraisal</w:t>
            </w:r>
          </w:p>
        </w:tc>
      </w:tr>
      <w:tr w:rsidR="000F0341" w:rsidRPr="00BF62A1" w14:paraId="7350C05E" w14:textId="77777777" w:rsidTr="00E40B0D">
        <w:trPr>
          <w:trHeight w:val="20"/>
        </w:trPr>
        <w:tc>
          <w:tcPr>
            <w:tcW w:w="1129" w:type="dxa"/>
            <w:vMerge/>
            <w:vAlign w:val="center"/>
            <w:hideMark/>
          </w:tcPr>
          <w:p w14:paraId="1F89F4F4" w14:textId="77777777" w:rsidR="000F0341" w:rsidRPr="00BF62A1" w:rsidRDefault="000F0341" w:rsidP="00E40B0D">
            <w:pPr>
              <w:spacing w:line="240" w:lineRule="auto"/>
              <w:jc w:val="center"/>
              <w:rPr>
                <w:b/>
                <w:bCs/>
                <w:color w:val="000000"/>
                <w:sz w:val="14"/>
                <w:szCs w:val="14"/>
              </w:rPr>
            </w:pPr>
          </w:p>
        </w:tc>
        <w:tc>
          <w:tcPr>
            <w:tcW w:w="5954" w:type="dxa"/>
            <w:vMerge/>
            <w:vAlign w:val="center"/>
            <w:hideMark/>
          </w:tcPr>
          <w:p w14:paraId="0A86F289" w14:textId="77777777" w:rsidR="000F0341" w:rsidRPr="00BF62A1" w:rsidRDefault="000F0341" w:rsidP="00E40B0D">
            <w:pPr>
              <w:spacing w:line="240" w:lineRule="auto"/>
              <w:jc w:val="center"/>
              <w:rPr>
                <w:b/>
                <w:bCs/>
                <w:color w:val="000000"/>
                <w:sz w:val="14"/>
                <w:szCs w:val="14"/>
              </w:rPr>
            </w:pPr>
          </w:p>
        </w:tc>
        <w:tc>
          <w:tcPr>
            <w:tcW w:w="1276" w:type="dxa"/>
            <w:vAlign w:val="center"/>
          </w:tcPr>
          <w:p w14:paraId="76132697" w14:textId="77777777" w:rsidR="000F0341" w:rsidRPr="00C47DDC" w:rsidRDefault="000F0341" w:rsidP="00E40B0D">
            <w:pPr>
              <w:spacing w:line="276" w:lineRule="auto"/>
              <w:jc w:val="center"/>
              <w:rPr>
                <w:b/>
                <w:bCs/>
                <w:color w:val="000000"/>
                <w:sz w:val="14"/>
                <w:szCs w:val="14"/>
              </w:rPr>
            </w:pPr>
            <w:r w:rsidRPr="00C47DDC">
              <w:rPr>
                <w:b/>
                <w:bCs/>
                <w:color w:val="000000"/>
                <w:sz w:val="14"/>
                <w:szCs w:val="14"/>
              </w:rPr>
              <w:t xml:space="preserve">ISPOR </w:t>
            </w:r>
            <w:r w:rsidRPr="00C47DDC">
              <w:rPr>
                <w:color w:val="000000"/>
                <w:sz w:val="14"/>
                <w:szCs w:val="14"/>
              </w:rPr>
              <w:t>(Yes/Partially/No/NA)</w:t>
            </w:r>
          </w:p>
        </w:tc>
        <w:tc>
          <w:tcPr>
            <w:tcW w:w="997" w:type="dxa"/>
            <w:vAlign w:val="center"/>
          </w:tcPr>
          <w:p w14:paraId="57BC713B" w14:textId="77777777" w:rsidR="000F0341" w:rsidRPr="00C47DDC" w:rsidRDefault="000F0341" w:rsidP="00E40B0D">
            <w:pPr>
              <w:spacing w:line="276" w:lineRule="auto"/>
              <w:jc w:val="center"/>
              <w:rPr>
                <w:b/>
                <w:bCs/>
                <w:color w:val="000000"/>
                <w:sz w:val="14"/>
                <w:szCs w:val="14"/>
              </w:rPr>
            </w:pPr>
            <w:r w:rsidRPr="00C47DDC">
              <w:rPr>
                <w:b/>
                <w:bCs/>
                <w:color w:val="000000"/>
                <w:sz w:val="14"/>
                <w:szCs w:val="14"/>
              </w:rPr>
              <w:t xml:space="preserve">ROBINS-E </w:t>
            </w:r>
            <w:r w:rsidRPr="00C47DDC">
              <w:rPr>
                <w:color w:val="000000"/>
                <w:sz w:val="14"/>
                <w:szCs w:val="14"/>
              </w:rPr>
              <w:t>(Domain 7</w:t>
            </w:r>
            <w:r w:rsidRPr="00C47DDC">
              <w:rPr>
                <w:bCs/>
                <w:sz w:val="14"/>
                <w:szCs w:val="14"/>
              </w:rPr>
              <w:t>†</w:t>
            </w:r>
            <w:r w:rsidRPr="00C47DDC">
              <w:rPr>
                <w:color w:val="000000"/>
                <w:sz w:val="14"/>
                <w:szCs w:val="14"/>
              </w:rPr>
              <w:t>)</w:t>
            </w:r>
          </w:p>
        </w:tc>
      </w:tr>
      <w:tr w:rsidR="000F0341" w:rsidRPr="00BF62A1" w14:paraId="60A134EC" w14:textId="77777777" w:rsidTr="00E40B0D">
        <w:trPr>
          <w:trHeight w:val="340"/>
        </w:trPr>
        <w:tc>
          <w:tcPr>
            <w:tcW w:w="9356" w:type="dxa"/>
            <w:gridSpan w:val="4"/>
            <w:vAlign w:val="center"/>
          </w:tcPr>
          <w:p w14:paraId="7BF0D17A" w14:textId="77777777" w:rsidR="000F0341" w:rsidRPr="00C47DDC" w:rsidRDefault="000F0341" w:rsidP="00E40B0D">
            <w:pPr>
              <w:spacing w:line="276" w:lineRule="auto"/>
              <w:jc w:val="center"/>
              <w:rPr>
                <w:b/>
                <w:bCs/>
                <w:color w:val="000000"/>
                <w:sz w:val="14"/>
                <w:szCs w:val="14"/>
              </w:rPr>
            </w:pPr>
            <w:r w:rsidRPr="00C47DDC">
              <w:rPr>
                <w:b/>
                <w:bCs/>
                <w:color w:val="000000"/>
                <w:sz w:val="14"/>
                <w:szCs w:val="14"/>
              </w:rPr>
              <w:t>Anatomical resections</w:t>
            </w:r>
          </w:p>
        </w:tc>
      </w:tr>
      <w:tr w:rsidR="000F0341" w:rsidRPr="00BF62A1" w14:paraId="606BAA2D" w14:textId="77777777" w:rsidTr="00E40B0D">
        <w:trPr>
          <w:trHeight w:val="20"/>
        </w:trPr>
        <w:tc>
          <w:tcPr>
            <w:tcW w:w="1129" w:type="dxa"/>
            <w:vAlign w:val="center"/>
          </w:tcPr>
          <w:p w14:paraId="23782877" w14:textId="77777777" w:rsidR="000F0341" w:rsidRPr="00C47DDC" w:rsidRDefault="000F0341" w:rsidP="00E40B0D">
            <w:pPr>
              <w:spacing w:line="240" w:lineRule="auto"/>
              <w:jc w:val="left"/>
              <w:rPr>
                <w:color w:val="000000"/>
                <w:sz w:val="14"/>
                <w:szCs w:val="14"/>
              </w:rPr>
            </w:pPr>
            <w:r w:rsidRPr="00C47DDC">
              <w:rPr>
                <w:color w:val="000000"/>
                <w:sz w:val="14"/>
                <w:szCs w:val="14"/>
              </w:rPr>
              <w:t xml:space="preserve">Diggs 2021 </w:t>
            </w:r>
            <w:r w:rsidRPr="00C47DDC">
              <w:rPr>
                <w:color w:val="000000"/>
                <w:sz w:val="14"/>
                <w:szCs w:val="14"/>
              </w:rPr>
              <w:fldChar w:fldCharType="begin"/>
            </w:r>
            <w:r>
              <w:rPr>
                <w:color w:val="000000"/>
                <w:sz w:val="14"/>
                <w:szCs w:val="14"/>
              </w:rPr>
              <w:instrText xml:space="preserve"> ADDIN ZOTERO_ITEM CSL_CITATION {"citationID":"mgeFPMG4","properties":{"formattedCitation":"[67]","plainCitation":"[67]","noteIndex":0},"citationItems":[{"id":14334,"uris":["http://zotero.org/groups/4983919/items/DLBKIRJS"],"itemData":{"id":14334,"type":"article-journal","abstract":"INTRODUCTION: Major hepatectomies are utilized to manage primary hepatic malignancies. Reports from high-volume centers (HVCs) with minimal perioperative mortality focus on multiple aspects of perioperative care, although patient-specific factors remain unelucidated. We identified patient factors associated with outcomes and examined whether these contribute to survival differences. METHODS: We queried the National Cancer Database (2006-2015) for patients with primary liver malignancies managed with major hepatectomy. Facilities were dichotomized by volume (high volume: &gt;15 hepatectomies/year). Perioperative outcomes were compared based on patient demographic and clinical characteristics as well as center volume. RESULTS: 4263 patients were included with 78.5% receiving care in low-volume centers (LVCs). 90-day postoperative mortality was higher in LVCs vs. HVCs (12% vs. 7.5%; P &lt; .001). Factors associated with undergoing surgery in LVCs included: living in areas with lower income (P = .006) and education (P &lt; .001), having nonprivate insurance (P &lt; .001), residing near the care center (P &lt; .001), and having a comorbidity score (CDS) &gt;1 (P = .014). Patients with CDS ≤ 1 had higher 90-day mortality in LVCs (11.3% vs. 6.6%; P &lt; .001) and had similar outcomes in LVCs and HVCs (15.6% vs. 13.7% P = .6). Patients with CDS &gt; 1 were more likely to receive care in LVCs (16.3% vs. 12.7%; P &lt; .001). CONCLUSION: Reduced perioperative mortality following major hepatectomy in HVCs is driven by optimal management of patients with low CDS. However, nearly 1 in 5 patients who undergo major hepatectomies have a high CDS and approximately 15% of them succumb in the perioperative period irrespective of the treating centers' experience.","container-title":"Am Surg","DOI":"10.1177/0003134820973368","ISSN":"0003-1348","issue":"7","language":"eng","page":"1163-1170","title":"Patient Comorbidities Drive High Mortality Rates Associated with Major Liver Resections Irrespective of Hospital Volume","volume":"87","author":[{"family":"Diggs","given":"L. P."},{"family":"Aversa","given":"J. G."},{"family":"Wiemken","given":"T. L."},{"family":"Martin","given":"S. P."},{"family":"Drake","given":"J. A."},{"family":"Ruff","given":"S. M."},{"family":"Wach","given":"M. M."},{"family":"Brown","given":"Z. J."},{"family":"Blakely","given":"A. M."},{"family":"Davis","given":"J. L."},{"family":"Luu","given":"C."},{"family":"Hernandez","given":"J. M."}],"issued":{"date-parts":[["2021",7]]}}}],"schema":"https://github.com/citation-style-language/schema/raw/master/csl-citation.json"} </w:instrText>
            </w:r>
            <w:r w:rsidRPr="00C47DDC">
              <w:rPr>
                <w:color w:val="000000"/>
                <w:sz w:val="14"/>
                <w:szCs w:val="14"/>
              </w:rPr>
              <w:fldChar w:fldCharType="separate"/>
            </w:r>
            <w:r w:rsidRPr="004125CE">
              <w:rPr>
                <w:sz w:val="14"/>
              </w:rPr>
              <w:t>[67]</w:t>
            </w:r>
            <w:r w:rsidRPr="00C47DDC">
              <w:rPr>
                <w:color w:val="000000"/>
                <w:sz w:val="14"/>
                <w:szCs w:val="14"/>
              </w:rPr>
              <w:fldChar w:fldCharType="end"/>
            </w:r>
          </w:p>
        </w:tc>
        <w:tc>
          <w:tcPr>
            <w:tcW w:w="5954" w:type="dxa"/>
            <w:vAlign w:val="center"/>
          </w:tcPr>
          <w:p w14:paraId="53B511D4" w14:textId="77777777" w:rsidR="000F0341" w:rsidRPr="00C47DDC" w:rsidRDefault="000F0341" w:rsidP="00E40B0D">
            <w:pPr>
              <w:spacing w:before="60" w:line="240" w:lineRule="auto"/>
              <w:jc w:val="left"/>
              <w:rPr>
                <w:color w:val="000000"/>
                <w:sz w:val="14"/>
                <w:szCs w:val="14"/>
              </w:rPr>
            </w:pPr>
            <w:r w:rsidRPr="00C47DDC">
              <w:rPr>
                <w:b/>
                <w:bCs/>
                <w:color w:val="000000"/>
                <w:sz w:val="14"/>
                <w:szCs w:val="14"/>
              </w:rPr>
              <w:t>Mortality:</w:t>
            </w:r>
            <w:r w:rsidRPr="00C47DDC">
              <w:rPr>
                <w:color w:val="000000"/>
                <w:sz w:val="14"/>
                <w:szCs w:val="14"/>
              </w:rPr>
              <w:t xml:space="preserve"> (90 days): RR: </w:t>
            </w:r>
            <w:r w:rsidRPr="00C47DDC">
              <w:rPr>
                <w:color w:val="000000"/>
                <w:sz w:val="14"/>
                <w:szCs w:val="14"/>
                <w:u w:val="single"/>
              </w:rPr>
              <w:t>High</w:t>
            </w:r>
            <w:r w:rsidRPr="00C47DDC">
              <w:rPr>
                <w:color w:val="000000"/>
                <w:sz w:val="14"/>
                <w:szCs w:val="14"/>
              </w:rPr>
              <w:t xml:space="preserve"> vs. Low: 1.60</w:t>
            </w:r>
            <w:r w:rsidRPr="00C47DDC">
              <w:rPr>
                <w:color w:val="000000"/>
                <w:sz w:val="14"/>
                <w:szCs w:val="14"/>
                <w:vertAlign w:val="superscript"/>
              </w:rPr>
              <w:t>c</w:t>
            </w:r>
            <w:r w:rsidRPr="00C47DDC">
              <w:rPr>
                <w:color w:val="000000"/>
                <w:sz w:val="14"/>
                <w:szCs w:val="14"/>
              </w:rPr>
              <w:t xml:space="preserve"> [1.25–2.05]***</w:t>
            </w:r>
          </w:p>
        </w:tc>
        <w:tc>
          <w:tcPr>
            <w:tcW w:w="1276" w:type="dxa"/>
            <w:vAlign w:val="center"/>
          </w:tcPr>
          <w:p w14:paraId="6479DF7C" w14:textId="77777777" w:rsidR="000F0341" w:rsidRPr="00C47DDC" w:rsidRDefault="000F0341" w:rsidP="00E40B0D">
            <w:pPr>
              <w:spacing w:line="276" w:lineRule="auto"/>
              <w:jc w:val="left"/>
              <w:rPr>
                <w:color w:val="000000"/>
                <w:sz w:val="14"/>
                <w:szCs w:val="14"/>
              </w:rPr>
            </w:pPr>
            <w:r w:rsidRPr="00C47DDC">
              <w:rPr>
                <w:color w:val="000000"/>
                <w:sz w:val="14"/>
                <w:szCs w:val="14"/>
              </w:rPr>
              <w:t>8/2/11/6</w:t>
            </w:r>
          </w:p>
        </w:tc>
        <w:tc>
          <w:tcPr>
            <w:tcW w:w="997" w:type="dxa"/>
            <w:vAlign w:val="center"/>
          </w:tcPr>
          <w:p w14:paraId="327F8059" w14:textId="77777777" w:rsidR="000F0341" w:rsidRPr="00C47DDC" w:rsidRDefault="000F0341" w:rsidP="00E40B0D">
            <w:pPr>
              <w:spacing w:line="276" w:lineRule="auto"/>
              <w:jc w:val="left"/>
              <w:rPr>
                <w:color w:val="000000"/>
                <w:sz w:val="14"/>
                <w:szCs w:val="14"/>
              </w:rPr>
            </w:pPr>
            <w:r w:rsidRPr="00C47DDC">
              <w:rPr>
                <w:color w:val="000000"/>
                <w:sz w:val="14"/>
                <w:szCs w:val="14"/>
              </w:rPr>
              <w:t>High Risk</w:t>
            </w:r>
          </w:p>
        </w:tc>
      </w:tr>
      <w:tr w:rsidR="000F0341" w:rsidRPr="00BF62A1" w14:paraId="6245442A" w14:textId="77777777" w:rsidTr="00E40B0D">
        <w:trPr>
          <w:trHeight w:val="340"/>
        </w:trPr>
        <w:tc>
          <w:tcPr>
            <w:tcW w:w="9356" w:type="dxa"/>
            <w:gridSpan w:val="4"/>
            <w:vAlign w:val="center"/>
          </w:tcPr>
          <w:p w14:paraId="1D6C6401" w14:textId="77777777" w:rsidR="000F0341" w:rsidRPr="00C47DDC" w:rsidRDefault="000F0341" w:rsidP="00E40B0D">
            <w:pPr>
              <w:spacing w:line="276" w:lineRule="auto"/>
              <w:jc w:val="center"/>
              <w:rPr>
                <w:b/>
                <w:bCs/>
                <w:color w:val="000000"/>
                <w:sz w:val="14"/>
                <w:szCs w:val="14"/>
              </w:rPr>
            </w:pPr>
            <w:r w:rsidRPr="00C47DDC">
              <w:rPr>
                <w:b/>
                <w:bCs/>
                <w:color w:val="000000"/>
                <w:sz w:val="14"/>
                <w:szCs w:val="14"/>
              </w:rPr>
              <w:t>Anatomical and non-anatomical resections separately</w:t>
            </w:r>
          </w:p>
        </w:tc>
      </w:tr>
      <w:tr w:rsidR="000F0341" w:rsidRPr="00BF62A1" w14:paraId="2B3D2B2C" w14:textId="77777777" w:rsidTr="00E40B0D">
        <w:trPr>
          <w:trHeight w:val="20"/>
        </w:trPr>
        <w:tc>
          <w:tcPr>
            <w:tcW w:w="1129" w:type="dxa"/>
            <w:vAlign w:val="center"/>
          </w:tcPr>
          <w:p w14:paraId="1654FC3E" w14:textId="7E725B84" w:rsidR="000F0341" w:rsidRPr="00C47DDC" w:rsidRDefault="000F0341" w:rsidP="00E40B0D">
            <w:pPr>
              <w:spacing w:line="240" w:lineRule="auto"/>
              <w:jc w:val="left"/>
              <w:rPr>
                <w:color w:val="000000"/>
                <w:sz w:val="14"/>
                <w:szCs w:val="14"/>
              </w:rPr>
            </w:pPr>
            <w:r w:rsidRPr="00C47DDC">
              <w:rPr>
                <w:color w:val="000000"/>
                <w:sz w:val="14"/>
                <w:szCs w:val="14"/>
              </w:rPr>
              <w:t xml:space="preserve">Hoerger 2023 </w:t>
            </w:r>
            <w:r w:rsidRPr="00C47DDC">
              <w:rPr>
                <w:color w:val="000000"/>
                <w:sz w:val="14"/>
                <w:szCs w:val="14"/>
              </w:rPr>
              <w:fldChar w:fldCharType="begin"/>
            </w:r>
            <w:r>
              <w:rPr>
                <w:color w:val="000000"/>
                <w:sz w:val="14"/>
                <w:szCs w:val="14"/>
              </w:rPr>
              <w:instrText xml:space="preserve"> ADDIN ZOTERO_ITEM CSL_CITATION {"citationID":"neKHqNLk","properties":{"formattedCitation":"[83]","plainCitation":"[83]","noteIndex":0},"citationItems":[{"id":14273,"uris":["http://zotero.org/groups/4983919/items/6PMFLYW9"],"itemData":{"id":14273,"type":"article-journal","abstract":"BACKGROUND: Volume-outcome relationships have been described for a variety of surgical procedures. We aimed to define the facility volume threshold at which postoperative mortality after hepatectomy was optimal. METHODS: We determined volume percentiles for institutions performing hepatectomy for any primary liver tumor within the National Cancer Database (2004-2017). Marginal structural logistic regression defined the volume percentile (Vmin) at which the odds of 90-day mortality were optimally reduced in patients with hepatocellular carcinoma (HCC) or intrahepatic cholangiocarcinoma (ICC). Short-term postoperative and survival outcomes were compared between patients treated at facilities above and below Vmin. RESULTS: Thresholds for the 10(th)/25(th)/50(th)/75(th)/90(th) percentiles were 2/7/26/46/59 hepatectomies/year. A total of 17,833 patients underwent resection of HCC or ICC. The 90-day postoperative mortality was optimized at the 75(th) percentile for all hepatectomies (IP-weighted OR = 0.67, 95% CI = 0.52-0.87) and major hepatectomy (IP-weighted OR = 0.62, 95% CI = 0.49-0.80). Seven of 446 facilities met the Vmin threshold. The odds of 30-day mortality were also reduced for all hepatectomies (IP-weighted OR = 0.55, 95% CI = 0.42-0.73) and major hepatectomy (IP-weighted OR = 0.58, 95% CI = 0.41-0.75). There were no differences in length of stay or 30-day readmission rate. Patients with HCC or ICC treated at facilities ≥ 10(th) percentile had an associated improvement in overall survival. CONCLUSIONS: Resection of HCC and ICC is performed at a large number of facilities. Postoperative mortality is optimally reduced at facilities performing at least 46 liver operations annually. Regionalization of surgical care among patients with primary liver malignancies to high-volume centers may result in improved outcomes.","container-title":"Journal of gastrointestinal surgery : official journal of the Society for Surgery of the Alimentary Tract","DOI":"10.1007/s11605-022-05541-4","ISSN":"1873-4626 (Electronic)","issue":"2","language":"eng","page":"273-282","title":"Facility Volume Thresholds for Optimization of Short- and Long-Term Outcomes in Patients Undergoing Hepatectomy for Primary Liver Tumors.","URL":"https://pubmed.ncbi.nlm.nih.gov/36443556/","volume":"27","author":[{"family":"Hoerger","given":"Kelly"},{"family":"Hue","given":"Jonathan J"},{"family":"Elshami","given":"Mohamaedraed"},{"family":"Ammori","given":"John B"},{"family":"Hardacre","given":"Jeffrey M"},{"family":"Winter","given":"Jordan M"},{"family":"Ocuin","given":"Lee M"}],"issued":{"date-parts":[["2023",2]]}}}],"schema":"https://github.com/citation-style-language/schema/raw/master/csl-citation.json"} </w:instrText>
            </w:r>
            <w:r w:rsidRPr="00C47DDC">
              <w:rPr>
                <w:color w:val="000000"/>
                <w:sz w:val="14"/>
                <w:szCs w:val="14"/>
              </w:rPr>
              <w:fldChar w:fldCharType="separate"/>
            </w:r>
            <w:r w:rsidRPr="004125CE">
              <w:rPr>
                <w:sz w:val="14"/>
              </w:rPr>
              <w:t>[8</w:t>
            </w:r>
            <w:r w:rsidR="00D03F0D">
              <w:rPr>
                <w:sz w:val="14"/>
              </w:rPr>
              <w:t>9</w:t>
            </w:r>
            <w:r w:rsidRPr="004125CE">
              <w:rPr>
                <w:sz w:val="14"/>
              </w:rPr>
              <w:t>]</w:t>
            </w:r>
            <w:r w:rsidRPr="00C47DDC">
              <w:rPr>
                <w:color w:val="000000"/>
                <w:sz w:val="14"/>
                <w:szCs w:val="14"/>
              </w:rPr>
              <w:fldChar w:fldCharType="end"/>
            </w:r>
          </w:p>
        </w:tc>
        <w:tc>
          <w:tcPr>
            <w:tcW w:w="5954" w:type="dxa"/>
            <w:vAlign w:val="center"/>
          </w:tcPr>
          <w:p w14:paraId="555D8919" w14:textId="77777777" w:rsidR="000F0341" w:rsidRPr="00C47DDC" w:rsidRDefault="000F0341" w:rsidP="00E40B0D">
            <w:pPr>
              <w:spacing w:line="240" w:lineRule="auto"/>
              <w:jc w:val="left"/>
              <w:rPr>
                <w:color w:val="000000"/>
                <w:sz w:val="14"/>
                <w:szCs w:val="14"/>
              </w:rPr>
            </w:pPr>
            <w:r w:rsidRPr="00C47DDC">
              <w:rPr>
                <w:b/>
                <w:bCs/>
                <w:color w:val="000000"/>
                <w:sz w:val="14"/>
                <w:szCs w:val="14"/>
              </w:rPr>
              <w:t>Mortality:</w:t>
            </w:r>
            <w:r w:rsidRPr="00C47DDC">
              <w:rPr>
                <w:color w:val="000000"/>
                <w:sz w:val="14"/>
                <w:szCs w:val="14"/>
              </w:rPr>
              <w:t xml:space="preserve"> (OR): </w:t>
            </w:r>
            <w:r w:rsidRPr="004B71DA">
              <w:rPr>
                <w:b/>
                <w:bCs/>
                <w:color w:val="000000"/>
                <w:sz w:val="14"/>
                <w:szCs w:val="14"/>
              </w:rPr>
              <w:t>Major hepatectomy:</w:t>
            </w:r>
            <w:r w:rsidRPr="00C47DDC">
              <w:rPr>
                <w:color w:val="000000"/>
                <w:sz w:val="14"/>
                <w:szCs w:val="14"/>
              </w:rPr>
              <w:t xml:space="preserve"> (</w:t>
            </w:r>
            <w:r>
              <w:rPr>
                <w:color w:val="000000"/>
                <w:sz w:val="14"/>
                <w:szCs w:val="14"/>
              </w:rPr>
              <w:t>9</w:t>
            </w:r>
            <w:r w:rsidRPr="00C47DDC">
              <w:rPr>
                <w:color w:val="000000"/>
                <w:sz w:val="14"/>
                <w:szCs w:val="14"/>
              </w:rPr>
              <w:t xml:space="preserve">0 day): </w:t>
            </w:r>
            <w:r w:rsidRPr="00C47DDC">
              <w:rPr>
                <w:color w:val="000000"/>
                <w:sz w:val="14"/>
                <w:szCs w:val="14"/>
                <w:u w:val="single"/>
              </w:rPr>
              <w:t>Low</w:t>
            </w:r>
            <w:r w:rsidRPr="00C47DDC">
              <w:rPr>
                <w:color w:val="000000"/>
                <w:sz w:val="14"/>
                <w:szCs w:val="14"/>
              </w:rPr>
              <w:t xml:space="preserve"> vs. High: 0.62</w:t>
            </w:r>
            <w:r w:rsidRPr="00C47DDC">
              <w:rPr>
                <w:color w:val="000000"/>
                <w:sz w:val="14"/>
                <w:szCs w:val="14"/>
                <w:vertAlign w:val="superscript"/>
              </w:rPr>
              <w:t>a</w:t>
            </w:r>
            <w:r w:rsidRPr="00C47DDC">
              <w:rPr>
                <w:color w:val="000000"/>
                <w:sz w:val="14"/>
                <w:szCs w:val="14"/>
              </w:rPr>
              <w:t xml:space="preserve"> [0.49–0.80]*** </w:t>
            </w:r>
            <w:r w:rsidRPr="00C47DDC">
              <w:rPr>
                <w:color w:val="000000"/>
                <w:sz w:val="14"/>
                <w:szCs w:val="14"/>
              </w:rPr>
              <w:br/>
            </w:r>
            <w:r w:rsidRPr="00C47DDC">
              <w:rPr>
                <w:b/>
                <w:bCs/>
                <w:color w:val="000000"/>
                <w:sz w:val="14"/>
                <w:szCs w:val="14"/>
              </w:rPr>
              <w:t>Mortality:</w:t>
            </w:r>
            <w:r w:rsidRPr="00C47DDC">
              <w:rPr>
                <w:color w:val="000000"/>
                <w:sz w:val="14"/>
                <w:szCs w:val="14"/>
              </w:rPr>
              <w:t xml:space="preserve"> (OR): </w:t>
            </w:r>
            <w:r w:rsidRPr="004B71DA">
              <w:rPr>
                <w:b/>
                <w:bCs/>
                <w:color w:val="000000"/>
                <w:sz w:val="14"/>
                <w:szCs w:val="14"/>
              </w:rPr>
              <w:t>Any hepatectomy:</w:t>
            </w:r>
            <w:r w:rsidRPr="00C47DDC">
              <w:rPr>
                <w:color w:val="000000"/>
                <w:sz w:val="14"/>
                <w:szCs w:val="14"/>
              </w:rPr>
              <w:t xml:space="preserve"> (90 days): </w:t>
            </w:r>
            <w:r w:rsidRPr="00C47DDC">
              <w:rPr>
                <w:color w:val="000000"/>
                <w:sz w:val="14"/>
                <w:szCs w:val="14"/>
                <w:u w:val="single"/>
              </w:rPr>
              <w:t>Low</w:t>
            </w:r>
            <w:r w:rsidRPr="00C47DDC">
              <w:rPr>
                <w:color w:val="000000"/>
                <w:sz w:val="14"/>
                <w:szCs w:val="14"/>
              </w:rPr>
              <w:t xml:space="preserve"> vs. High: 0.67</w:t>
            </w:r>
            <w:r w:rsidRPr="00C47DDC">
              <w:rPr>
                <w:color w:val="000000"/>
                <w:sz w:val="14"/>
                <w:szCs w:val="14"/>
                <w:vertAlign w:val="superscript"/>
              </w:rPr>
              <w:t>a</w:t>
            </w:r>
            <w:r w:rsidRPr="00C47DDC">
              <w:rPr>
                <w:color w:val="000000"/>
                <w:sz w:val="14"/>
                <w:szCs w:val="14"/>
              </w:rPr>
              <w:t xml:space="preserve"> [0.52–0.87]**</w:t>
            </w:r>
          </w:p>
        </w:tc>
        <w:tc>
          <w:tcPr>
            <w:tcW w:w="1276" w:type="dxa"/>
            <w:vAlign w:val="center"/>
          </w:tcPr>
          <w:p w14:paraId="0061753A" w14:textId="77777777" w:rsidR="000F0341" w:rsidRPr="00C47DDC" w:rsidRDefault="000F0341" w:rsidP="00E40B0D">
            <w:pPr>
              <w:spacing w:line="276" w:lineRule="auto"/>
              <w:jc w:val="left"/>
              <w:rPr>
                <w:color w:val="000000"/>
                <w:sz w:val="14"/>
                <w:szCs w:val="14"/>
              </w:rPr>
            </w:pPr>
            <w:r w:rsidRPr="00C47DDC">
              <w:rPr>
                <w:color w:val="000000"/>
                <w:sz w:val="14"/>
                <w:szCs w:val="14"/>
              </w:rPr>
              <w:t>11/1/9/6</w:t>
            </w:r>
          </w:p>
        </w:tc>
        <w:tc>
          <w:tcPr>
            <w:tcW w:w="997" w:type="dxa"/>
            <w:vAlign w:val="center"/>
          </w:tcPr>
          <w:p w14:paraId="35DAF030" w14:textId="77777777" w:rsidR="000F0341" w:rsidRPr="00C47DDC" w:rsidRDefault="000F0341" w:rsidP="00E40B0D">
            <w:pPr>
              <w:spacing w:line="276" w:lineRule="auto"/>
              <w:jc w:val="left"/>
              <w:rPr>
                <w:color w:val="000000"/>
                <w:sz w:val="14"/>
                <w:szCs w:val="14"/>
              </w:rPr>
            </w:pPr>
            <w:r w:rsidRPr="00C47DDC">
              <w:rPr>
                <w:color w:val="000000"/>
                <w:sz w:val="14"/>
                <w:szCs w:val="14"/>
              </w:rPr>
              <w:t>Low Risk</w:t>
            </w:r>
          </w:p>
        </w:tc>
      </w:tr>
      <w:tr w:rsidR="000F0341" w:rsidRPr="00BF62A1" w14:paraId="7FA97B4B" w14:textId="77777777" w:rsidTr="00E40B0D">
        <w:trPr>
          <w:trHeight w:val="340"/>
        </w:trPr>
        <w:tc>
          <w:tcPr>
            <w:tcW w:w="9356" w:type="dxa"/>
            <w:gridSpan w:val="4"/>
            <w:vAlign w:val="center"/>
          </w:tcPr>
          <w:p w14:paraId="64ADEEA7" w14:textId="77777777" w:rsidR="000F0341" w:rsidRPr="00C47DDC" w:rsidRDefault="000F0341" w:rsidP="00E40B0D">
            <w:pPr>
              <w:spacing w:line="276" w:lineRule="auto"/>
              <w:jc w:val="center"/>
              <w:rPr>
                <w:b/>
                <w:bCs/>
                <w:color w:val="000000"/>
                <w:sz w:val="14"/>
                <w:szCs w:val="14"/>
              </w:rPr>
            </w:pPr>
            <w:r w:rsidRPr="00C47DDC">
              <w:rPr>
                <w:b/>
                <w:bCs/>
                <w:color w:val="000000"/>
                <w:sz w:val="14"/>
                <w:szCs w:val="14"/>
              </w:rPr>
              <w:t>Anatomical and non-anatomical resections combined</w:t>
            </w:r>
          </w:p>
        </w:tc>
      </w:tr>
      <w:tr w:rsidR="000F0341" w:rsidRPr="00BF62A1" w14:paraId="167326A0" w14:textId="77777777" w:rsidTr="00E40B0D">
        <w:trPr>
          <w:trHeight w:val="20"/>
        </w:trPr>
        <w:tc>
          <w:tcPr>
            <w:tcW w:w="1129" w:type="dxa"/>
            <w:vAlign w:val="center"/>
          </w:tcPr>
          <w:p w14:paraId="23EBEB67" w14:textId="77777777" w:rsidR="000F0341" w:rsidRPr="00C47DDC" w:rsidRDefault="000F0341" w:rsidP="00E40B0D">
            <w:pPr>
              <w:spacing w:line="240" w:lineRule="auto"/>
              <w:jc w:val="left"/>
              <w:rPr>
                <w:color w:val="000000"/>
                <w:sz w:val="14"/>
                <w:szCs w:val="14"/>
              </w:rPr>
            </w:pPr>
            <w:r w:rsidRPr="00C47DDC">
              <w:rPr>
                <w:color w:val="000000"/>
                <w:sz w:val="14"/>
                <w:szCs w:val="14"/>
              </w:rPr>
              <w:t xml:space="preserve">Ardito 2019 </w:t>
            </w:r>
            <w:r w:rsidRPr="00C47DDC">
              <w:rPr>
                <w:color w:val="000000"/>
                <w:sz w:val="14"/>
                <w:szCs w:val="14"/>
              </w:rPr>
              <w:fldChar w:fldCharType="begin"/>
            </w:r>
            <w:r>
              <w:rPr>
                <w:color w:val="000000"/>
                <w:sz w:val="14"/>
                <w:szCs w:val="14"/>
              </w:rPr>
              <w:instrText xml:space="preserve"> ADDIN ZOTERO_ITEM CSL_CITATION {"citationID":"8ujGrEou","properties":{"formattedCitation":"[65]","plainCitation":"[65]","noteIndex":0},"citationItems":[{"id":14219,"uris":["http://zotero.org/groups/4983919/items/5P557HLN"],"itemData":{"id":14219,"type":"article-journal","abstract":"OBJECTIVE: The aim of this study was to evaluate correlation between centers' volume and incidence of failure to rescue (FTR) following liver resection for hepatocellular carcinoma (HCC). SUMMARY BACKGROUND DATA: FTR, defined as the probability of postoperative death among patients with major complication, has been proposed to assess quality of care during hospitalization. Perioperative management is challenging in cirrhotic patients and the ability to recognize and treat a complication may be fundamental to rescue patients from the risk of death. METHODS: Patients undergoing liver resection for HCC between 2008 and 2018 in 18 Centers enrolled in the He.Rc.O.Le.S. Italian register. Early results included major complications (Clavien ≥3), 90-day mortality, and FTR and were analyzed according to center's volume. RESULTS: Among 1935 included patients, major complication rate was 9.4% (8.6%, 12.3%, and 7.0% for low-, intermediate- and high-volume centers, respectively, P = 0.001). Ninety-day mortality rate was 2.6% (3.7%, 4.2% and 0.9% for low-, intermediate- and high-volume centers, respectively, P &lt; 0.001). FTR was significantly higher at low- and intermediate-volume centers (28.6% and 26.5%, respectively) than at high-volume centers (6.1%, P = 0.002). Independent predictors for major complications were American Society of Anesthesiologists (ASA) &gt;2, portal hypertension, intraoperative blood transfusions, and center's volume. Independent predictors for 90-day mortality were ASA &gt;2, Child-Pugh score B, BCLC stage B-C, and center's volume. Center's volume and BCLC stage were strongly associated with FTR. CONCLUSIONS: Risk of major complications and mortality was related with comorbidities, cirrhosis severity, and complexity of surgery. These factors were not correlated with FTR. Center's volume was the only independent predictor related with severe complications, mortality, and FTR.","container-title":"Ann Surg","DOI":"10.1097/sla.0000000000004327","ISSN":"0003-4932","issue":"5","language":"eng","note":"publisher-place: Hepatobiliary Surgery Unit, Fondazione \"Policlinico Universitario A. Gemelli, IRCCS\" Catholic University of the Sacred Heart, Rome, Italy. School of Medicine and Surgery, University of Milano-Bicocca, Department of Surgery, SanGerardo Hospital, Monza, Italy. Hepatobiliary Surgery Division, Ospedale San Raffaele, Milano, Italy. Division of Hepatobiliarypancreatic Surgery, IRCCS - Regina Elena National Cancer Institute, Rome, Italy. Department of Surgery, University of Parma, Parma, Italy. Unit of General Surgery 1, University of Pavia and Foundation IRCCS Policlinico San Matteo, Pavia, Italy. Department of Surgery, AUSL Bologna Bellaria-Maggiore Hospital, Bologna, Italy. Division of General and Hepatobiliary Surgery, Department of Surgical Sciences, Dentistry, Gynecology and Pediatrics, University of Verona, Verona, Italy. Department of Clinical and Experimental Sciences, University of Brescia, Brescia, Italy. General and Oncologic Surgery, Morgagni-Pierantoni Hospital, Forlì, Italy. HPB Surgical Unit, San Paolo Hospital, Savona, Italy. Department of Surgery, Bolzano Central Hospital, Bolzano, Italy. Department of Surgery, Oncology and Gastroenterology, Hepatobiliary Surgery and Liver Transplantation, Padua University, Italy. Department of General Surgery, Poliambulanza Foundation Hospital, Brescia, Italy. Department of Surgery, Monza Policlinic, Monza, Italy. Department of Surgery, L. Sacco Hospital, Milan, Italy. Department of Emergency and Organ Transplantation, Aldo Moro University, Bari, Italy.","page":"840-846","title":"The Impact of Hospital Volume on Failure to Rescue after Liver Resection for Hepatocellular Carcinoma: Analysis from the HE.RC.O.LE.S. Italian Registry","volume":"272","author":[{"family":"Ardito","given":"F."},{"family":"Famularo","given":"S."},{"family":"Aldrighetti","given":"L."},{"family":"Grazi","given":"G. L."},{"family":"DallaValle","given":"R."},{"family":"Maestri","given":"M."},{"family":"Jovine","given":"E."},{"family":"Ruzzenente","given":"A."},{"family":"Baiocchi","given":"G. L."},{"family":"Ercolani","given":"G."},{"family":"Griseri","given":"G."},{"family":"Frena","given":"A."},{"family":"Zanus","given":"G."},{"family":"Zimmitti","given":"G."},{"family":"Antonucci","given":"A."},{"family":"Crespi","given":"M."},{"family":"Memeo","given":"R."},{"family":"Romano","given":"F."},{"family":"Giuliante","given":"F."}],"issued":{"date-parts":[["2020",11]]}}}],"schema":"https://github.com/citation-style-language/schema/raw/master/csl-citation.json"} </w:instrText>
            </w:r>
            <w:r w:rsidRPr="00C47DDC">
              <w:rPr>
                <w:color w:val="000000"/>
                <w:sz w:val="14"/>
                <w:szCs w:val="14"/>
              </w:rPr>
              <w:fldChar w:fldCharType="separate"/>
            </w:r>
            <w:r w:rsidRPr="004125CE">
              <w:rPr>
                <w:sz w:val="14"/>
              </w:rPr>
              <w:t>[65]</w:t>
            </w:r>
            <w:r w:rsidRPr="00C47DDC">
              <w:rPr>
                <w:color w:val="000000"/>
                <w:sz w:val="14"/>
                <w:szCs w:val="14"/>
              </w:rPr>
              <w:fldChar w:fldCharType="end"/>
            </w:r>
          </w:p>
        </w:tc>
        <w:tc>
          <w:tcPr>
            <w:tcW w:w="5954" w:type="dxa"/>
            <w:vAlign w:val="center"/>
          </w:tcPr>
          <w:p w14:paraId="2CB28B56" w14:textId="77777777" w:rsidR="000F0341" w:rsidRPr="00C47DDC" w:rsidRDefault="000F0341" w:rsidP="00E40B0D">
            <w:pPr>
              <w:spacing w:line="240" w:lineRule="auto"/>
              <w:jc w:val="left"/>
              <w:rPr>
                <w:b/>
                <w:bCs/>
                <w:color w:val="000000"/>
                <w:sz w:val="14"/>
                <w:szCs w:val="14"/>
              </w:rPr>
            </w:pPr>
            <w:r w:rsidRPr="00C47DDC">
              <w:rPr>
                <w:b/>
                <w:bCs/>
                <w:color w:val="000000"/>
                <w:sz w:val="14"/>
                <w:szCs w:val="14"/>
              </w:rPr>
              <w:t>Mortality:</w:t>
            </w:r>
            <w:r w:rsidRPr="00C47DDC">
              <w:rPr>
                <w:color w:val="000000"/>
                <w:sz w:val="14"/>
                <w:szCs w:val="14"/>
              </w:rPr>
              <w:t xml:space="preserve"> (OR): (90-day): </w:t>
            </w:r>
            <w:r w:rsidRPr="00C47DDC">
              <w:rPr>
                <w:color w:val="000000"/>
                <w:sz w:val="14"/>
                <w:szCs w:val="14"/>
                <w:u w:val="single"/>
              </w:rPr>
              <w:t>High</w:t>
            </w:r>
            <w:r w:rsidRPr="00C47DDC">
              <w:rPr>
                <w:color w:val="000000"/>
                <w:sz w:val="14"/>
                <w:szCs w:val="14"/>
              </w:rPr>
              <w:t xml:space="preserve"> vs. Low: 5.625</w:t>
            </w:r>
            <w:r w:rsidRPr="00C47DDC">
              <w:rPr>
                <w:color w:val="000000"/>
                <w:sz w:val="14"/>
                <w:szCs w:val="14"/>
                <w:vertAlign w:val="superscript"/>
              </w:rPr>
              <w:t>a</w:t>
            </w:r>
            <w:r w:rsidRPr="00C47DDC">
              <w:rPr>
                <w:color w:val="000000"/>
                <w:sz w:val="14"/>
                <w:szCs w:val="14"/>
              </w:rPr>
              <w:t xml:space="preserve"> [1.050-30.131]*;</w:t>
            </w:r>
            <w:r w:rsidRPr="00C47DDC">
              <w:rPr>
                <w:color w:val="000000"/>
                <w:sz w:val="14"/>
                <w:szCs w:val="14"/>
              </w:rPr>
              <w:br/>
              <w:t>Intermediate: 7.119</w:t>
            </w:r>
            <w:r w:rsidRPr="00C47DDC">
              <w:rPr>
                <w:color w:val="000000"/>
                <w:sz w:val="14"/>
                <w:szCs w:val="14"/>
                <w:vertAlign w:val="superscript"/>
              </w:rPr>
              <w:t>a</w:t>
            </w:r>
            <w:r w:rsidRPr="00C47DDC">
              <w:rPr>
                <w:color w:val="000000"/>
                <w:sz w:val="14"/>
                <w:szCs w:val="14"/>
              </w:rPr>
              <w:t xml:space="preserve"> [1.050-30.131]**/ FTR: </w:t>
            </w:r>
            <w:r w:rsidRPr="00C47DDC">
              <w:rPr>
                <w:color w:val="000000"/>
                <w:sz w:val="14"/>
                <w:szCs w:val="14"/>
                <w:u w:val="single"/>
              </w:rPr>
              <w:t>High</w:t>
            </w:r>
            <w:r w:rsidRPr="00C47DDC">
              <w:rPr>
                <w:color w:val="000000"/>
                <w:sz w:val="14"/>
                <w:szCs w:val="14"/>
              </w:rPr>
              <w:t xml:space="preserve"> vs. Low-intermediate: 5.095</w:t>
            </w:r>
            <w:r w:rsidRPr="00C47DDC">
              <w:rPr>
                <w:color w:val="000000"/>
                <w:sz w:val="14"/>
                <w:szCs w:val="14"/>
                <w:vertAlign w:val="superscript"/>
              </w:rPr>
              <w:t>a</w:t>
            </w:r>
            <w:r w:rsidRPr="00C47DDC">
              <w:rPr>
                <w:color w:val="000000"/>
                <w:sz w:val="14"/>
                <w:szCs w:val="14"/>
              </w:rPr>
              <w:t xml:space="preserve"> [1.878-13.821]**|</w:t>
            </w:r>
          </w:p>
        </w:tc>
        <w:tc>
          <w:tcPr>
            <w:tcW w:w="1276" w:type="dxa"/>
            <w:vAlign w:val="center"/>
          </w:tcPr>
          <w:p w14:paraId="58982F91" w14:textId="77777777" w:rsidR="000F0341" w:rsidRPr="00C47DDC" w:rsidRDefault="000F0341" w:rsidP="00E40B0D">
            <w:pPr>
              <w:spacing w:line="276" w:lineRule="auto"/>
              <w:jc w:val="left"/>
              <w:rPr>
                <w:color w:val="000000"/>
                <w:sz w:val="14"/>
                <w:szCs w:val="14"/>
              </w:rPr>
            </w:pPr>
            <w:r w:rsidRPr="00C47DDC">
              <w:rPr>
                <w:color w:val="000000"/>
                <w:sz w:val="14"/>
                <w:szCs w:val="14"/>
              </w:rPr>
              <w:t>9/4/8/6</w:t>
            </w:r>
          </w:p>
        </w:tc>
        <w:tc>
          <w:tcPr>
            <w:tcW w:w="997" w:type="dxa"/>
            <w:vAlign w:val="center"/>
          </w:tcPr>
          <w:p w14:paraId="6165B8E5" w14:textId="77777777" w:rsidR="000F0341" w:rsidRPr="00C47DDC" w:rsidRDefault="000F0341" w:rsidP="00E40B0D">
            <w:pPr>
              <w:spacing w:line="276" w:lineRule="auto"/>
              <w:jc w:val="left"/>
              <w:rPr>
                <w:color w:val="000000"/>
                <w:sz w:val="14"/>
                <w:szCs w:val="14"/>
              </w:rPr>
            </w:pPr>
            <w:r w:rsidRPr="00C47DDC">
              <w:rPr>
                <w:color w:val="000000"/>
                <w:sz w:val="14"/>
                <w:szCs w:val="14"/>
              </w:rPr>
              <w:t>Low Risk</w:t>
            </w:r>
          </w:p>
        </w:tc>
      </w:tr>
      <w:tr w:rsidR="000F0341" w:rsidRPr="00BF62A1" w14:paraId="093DC7F9" w14:textId="77777777" w:rsidTr="00E40B0D">
        <w:trPr>
          <w:trHeight w:val="20"/>
        </w:trPr>
        <w:tc>
          <w:tcPr>
            <w:tcW w:w="1129" w:type="dxa"/>
            <w:vAlign w:val="center"/>
          </w:tcPr>
          <w:p w14:paraId="5A9D7E26" w14:textId="77777777" w:rsidR="000F0341" w:rsidRPr="00C47DDC" w:rsidRDefault="000F0341" w:rsidP="00E40B0D">
            <w:pPr>
              <w:spacing w:line="240" w:lineRule="auto"/>
              <w:jc w:val="left"/>
              <w:rPr>
                <w:color w:val="000000"/>
                <w:sz w:val="14"/>
                <w:szCs w:val="14"/>
              </w:rPr>
            </w:pPr>
            <w:r w:rsidRPr="00C47DDC">
              <w:rPr>
                <w:color w:val="000000"/>
                <w:sz w:val="14"/>
                <w:szCs w:val="14"/>
              </w:rPr>
              <w:t xml:space="preserve">El Amrani 2019 </w:t>
            </w:r>
            <w:r w:rsidRPr="00C47DDC">
              <w:rPr>
                <w:color w:val="000000"/>
                <w:sz w:val="14"/>
                <w:szCs w:val="14"/>
              </w:rPr>
              <w:fldChar w:fldCharType="begin"/>
            </w:r>
            <w:r>
              <w:rPr>
                <w:color w:val="000000"/>
                <w:sz w:val="14"/>
                <w:szCs w:val="14"/>
              </w:rPr>
              <w:instrText xml:space="preserve"> ADDIN ZOTERO_ITEM CSL_CITATION {"citationID":"S74pakh6","properties":{"formattedCitation":"[69]","plainCitation":"[69]","noteIndex":0},"citationItems":[{"id":14197,"uris":["http://zotero.org/groups/4983919/items/7G97H27I"],"itemData":{"id":14197,"type":"article-journal","abstract":"OBJECTIVES: We aimed to examine whether the improved outcome of a digestive cancer procedure in high-volume hospitals is specific or correlates with that of other digestive cancer procedures, and determine if the discriminant cut-off of hospital volume may influence postoperative mortality (POM) regardless of the procedure. BACKGROUND: Performing complex surgeries in tertiary centers is associated with improved outcome. However, the association between POM and hospital volume of nonspecific procedures is unknown. METHODS: Patients who underwent colectomy, proctectomy, esophagectomy, gastrectomy, pancreatectomy, and hepatectomy for cancer between 2012 and 2017 were identified in the French nationwide database. Chi-square automatic interaction detector was used to identify the cut-off values of the annual caseload affecting the 90-day POM. A common threshold was estimated by minimization of chi-square distance taking into account the specific mortality of each procedure. RESULTS: Overall, 225,752 patients were identified. Hospitals were categorized according to the procedure volume (colectomy: ≥80 cases/yr, proctectomy: ≥35/yr, esophagectomy: ≥41/yr, gastrectomy: ≥16/yr, pancreatectomy: ≥26/yr, and hepatectomy: ≥76/yr). The overall 90-day POM was 5.1% and varied significantly with volume. The benefits of high volume were transferable across procedures. High-volume hospitals for colorectal cancer surgery significantly influenced the risk of death after hepatectomy (P &lt; 0.001) and pancreatectomy (P &lt; 0.001). The common threshold for all procedures that influenced POM was 199 cases/yr (odds ratio 1.29, P &lt; 0.001). CONCLUSION: In digestive cancer surgery, the volume-POM relationship of one procedure was associated with the volume of other procedures. Thus, tertiary hospitals should be defined according to the common threshold of different procedures.","container-title":"Ann Surg","DOI":"10.1097/sla.0000000000003532","ISSN":"0003-4932","issue":"5","language":"eng","note":"publisher-place: Department of Digestive Surgery and Transplantation, Lille University Hospital, Lille, France. University of Lille, Lille, France. Medical Information Department, Lille University Hospital, Lille, France. University Lille, EA2694 - Evaluation des Technologies de Santé et des Pratiques Médicales, Lille, France. Department of surgery, Institut Paoli Calmettes, Marseille, France.","page":"775-782","title":"Specificity of Procedure volume and its Association With Postoperative Mortality in Digestive Cancer Surgery: A Nationwide Study of 225,752 Patients","volume":"270","author":[{"family":"El Amrani","given":"M."},{"family":"Lenne","given":"X."},{"family":"Clement","given":"G."},{"family":"Delpero","given":"J. R."},{"family":"Theis","given":"D."},{"family":"Pruvot","given":"F. R."},{"family":"Bruandet","given":"A."},{"family":"Truant","given":"S."}],"issued":{"date-parts":[["2019",11]]}}}],"schema":"https://github.com/citation-style-language/schema/raw/master/csl-citation.json"} </w:instrText>
            </w:r>
            <w:r w:rsidRPr="00C47DDC">
              <w:rPr>
                <w:color w:val="000000"/>
                <w:sz w:val="14"/>
                <w:szCs w:val="14"/>
              </w:rPr>
              <w:fldChar w:fldCharType="separate"/>
            </w:r>
            <w:r w:rsidRPr="004125CE">
              <w:rPr>
                <w:sz w:val="14"/>
              </w:rPr>
              <w:t>[69]</w:t>
            </w:r>
            <w:r w:rsidRPr="00C47DDC">
              <w:rPr>
                <w:color w:val="000000"/>
                <w:sz w:val="14"/>
                <w:szCs w:val="14"/>
              </w:rPr>
              <w:fldChar w:fldCharType="end"/>
            </w:r>
          </w:p>
        </w:tc>
        <w:tc>
          <w:tcPr>
            <w:tcW w:w="5954" w:type="dxa"/>
            <w:vAlign w:val="center"/>
          </w:tcPr>
          <w:p w14:paraId="66FD5038" w14:textId="77777777" w:rsidR="000F0341" w:rsidRPr="00C47DDC" w:rsidRDefault="000F0341" w:rsidP="00E40B0D">
            <w:pPr>
              <w:spacing w:line="240" w:lineRule="auto"/>
              <w:jc w:val="left"/>
              <w:rPr>
                <w:b/>
                <w:bCs/>
                <w:color w:val="000000"/>
                <w:sz w:val="14"/>
                <w:szCs w:val="14"/>
              </w:rPr>
            </w:pPr>
            <w:r w:rsidRPr="00C47DDC">
              <w:rPr>
                <w:b/>
                <w:bCs/>
                <w:color w:val="000000"/>
                <w:sz w:val="14"/>
                <w:szCs w:val="14"/>
              </w:rPr>
              <w:t>Mortality:</w:t>
            </w:r>
            <w:r w:rsidRPr="00C47DDC">
              <w:rPr>
                <w:color w:val="000000"/>
                <w:sz w:val="14"/>
                <w:szCs w:val="14"/>
              </w:rPr>
              <w:t xml:space="preserve"> (OR): (90-day): </w:t>
            </w:r>
            <w:r w:rsidRPr="00C47DDC">
              <w:rPr>
                <w:color w:val="000000"/>
                <w:sz w:val="14"/>
                <w:szCs w:val="14"/>
                <w:u w:val="single"/>
              </w:rPr>
              <w:t>High</w:t>
            </w:r>
            <w:r w:rsidRPr="00C47DDC">
              <w:rPr>
                <w:color w:val="000000"/>
                <w:sz w:val="14"/>
                <w:szCs w:val="14"/>
              </w:rPr>
              <w:t xml:space="preserve"> vs. Low: 1.34</w:t>
            </w:r>
            <w:r w:rsidRPr="00C47DDC">
              <w:rPr>
                <w:color w:val="000000"/>
                <w:sz w:val="14"/>
                <w:szCs w:val="14"/>
                <w:vertAlign w:val="superscript"/>
              </w:rPr>
              <w:t>a</w:t>
            </w:r>
            <w:r w:rsidRPr="00C47DDC">
              <w:rPr>
                <w:color w:val="000000"/>
                <w:sz w:val="14"/>
                <w:szCs w:val="14"/>
              </w:rPr>
              <w:t xml:space="preserve"> [1.07-1.67]**</w:t>
            </w:r>
            <w:r w:rsidRPr="00C47DDC">
              <w:rPr>
                <w:color w:val="000000"/>
                <w:sz w:val="14"/>
                <w:szCs w:val="14"/>
              </w:rPr>
              <w:br/>
            </w:r>
          </w:p>
        </w:tc>
        <w:tc>
          <w:tcPr>
            <w:tcW w:w="1276" w:type="dxa"/>
            <w:vAlign w:val="center"/>
          </w:tcPr>
          <w:p w14:paraId="1EFB5B13" w14:textId="77777777" w:rsidR="000F0341" w:rsidRPr="00C47DDC" w:rsidRDefault="000F0341" w:rsidP="00E40B0D">
            <w:pPr>
              <w:spacing w:line="276" w:lineRule="auto"/>
              <w:jc w:val="left"/>
              <w:rPr>
                <w:color w:val="000000"/>
                <w:sz w:val="14"/>
                <w:szCs w:val="14"/>
              </w:rPr>
            </w:pPr>
            <w:r w:rsidRPr="00C47DDC">
              <w:rPr>
                <w:color w:val="000000"/>
                <w:sz w:val="14"/>
                <w:szCs w:val="14"/>
              </w:rPr>
              <w:t>10/2/9/6</w:t>
            </w:r>
          </w:p>
        </w:tc>
        <w:tc>
          <w:tcPr>
            <w:tcW w:w="997" w:type="dxa"/>
            <w:vAlign w:val="center"/>
          </w:tcPr>
          <w:p w14:paraId="2BE19C81" w14:textId="77777777" w:rsidR="000F0341" w:rsidRPr="00C47DDC" w:rsidRDefault="000F0341" w:rsidP="00E40B0D">
            <w:pPr>
              <w:spacing w:line="276" w:lineRule="auto"/>
              <w:jc w:val="left"/>
              <w:rPr>
                <w:color w:val="000000"/>
                <w:sz w:val="14"/>
                <w:szCs w:val="14"/>
              </w:rPr>
            </w:pPr>
            <w:r w:rsidRPr="00C47DDC">
              <w:rPr>
                <w:color w:val="000000"/>
                <w:sz w:val="14"/>
                <w:szCs w:val="14"/>
              </w:rPr>
              <w:t>Low Risk</w:t>
            </w:r>
          </w:p>
        </w:tc>
      </w:tr>
      <w:tr w:rsidR="000F0341" w:rsidRPr="00BF62A1" w14:paraId="7EB64708" w14:textId="77777777" w:rsidTr="00E40B0D">
        <w:trPr>
          <w:trHeight w:val="20"/>
        </w:trPr>
        <w:tc>
          <w:tcPr>
            <w:tcW w:w="1129" w:type="dxa"/>
            <w:vAlign w:val="center"/>
          </w:tcPr>
          <w:p w14:paraId="222D5D65" w14:textId="77777777" w:rsidR="000F0341" w:rsidRPr="00C47DDC" w:rsidRDefault="000F0341" w:rsidP="00E40B0D">
            <w:pPr>
              <w:spacing w:line="240" w:lineRule="auto"/>
              <w:jc w:val="left"/>
              <w:rPr>
                <w:color w:val="000000" w:themeColor="text1"/>
                <w:sz w:val="14"/>
                <w:szCs w:val="14"/>
              </w:rPr>
            </w:pPr>
            <w:r w:rsidRPr="00C47DDC">
              <w:rPr>
                <w:color w:val="000000"/>
                <w:sz w:val="14"/>
                <w:szCs w:val="14"/>
              </w:rPr>
              <w:t xml:space="preserve">Okinaga 2018 </w:t>
            </w:r>
            <w:r w:rsidRPr="00C47DDC">
              <w:rPr>
                <w:color w:val="000000"/>
                <w:sz w:val="14"/>
                <w:szCs w:val="14"/>
              </w:rPr>
              <w:fldChar w:fldCharType="begin"/>
            </w:r>
            <w:r>
              <w:rPr>
                <w:color w:val="000000"/>
                <w:sz w:val="14"/>
                <w:szCs w:val="14"/>
              </w:rPr>
              <w:instrText xml:space="preserve"> ADDIN ZOTERO_ITEM CSL_CITATION {"citationID":"I6flxuoe","properties":{"formattedCitation":"[56]","plainCitation":"[56]","noteIndex":0},"citationItems":[{"id":14165,"uris":["http://zotero.org/groups/4983919/items/87YGMFSZ"],"itemData":{"id":14165,"type":"article-journal","abstract":"BACKGROUND: As the population is aging, the indication for hepatocellular carcinoma (HCC) resection in patients aged over 80 years will increase. Japan is facing the most aging society worldwide. We examined the safety of hepatectomy in octogenarians and nonagenarians using large-scale data from the Diagnosis Procedure Combination database, a national administrative database in Japan. METHOD: We conducted a survey to collect data for all inpatients from 2007 and 2012. We identified 27,094 patients who underwent hepatectomy for HCC. Patients' age was divided into the following five categories: ≤59, 60-69, 70-79, 80-84, and ≥85 years (n = 5,099, 8,809, 10,805, 2,011, and 370, respectively). The primary outcomes of hepatectomy were in-hospital death within 90 days and complications. Logistic regression analyses were performed to analyze the impact of age on the outcomes with the adjustment of other individual-level factors. RESULTS: The mortality and morbidity rates were 2.6 and 23.4%, respectively. Compared with patients in their 70s, the mortality rate was significantly lower in patients aged ≤59 years (odds ratio [OR], 0.34; 95% confidence interval [CI], 0.26-0.45; p &lt; 0.01) and in those in their 60s (OR, 0.63; 95% CI, 0.53-0.74; p &lt; 0.01). However, no significant difference was observed in patients aged 80-84 years (OR, 1.03; 95% CI, 0.78-1.385; p = 0.844) and those aged ≥85 years (OR, 0.95; 95% CI, 0.50-1.79; p = 0.870). Based on the multivariate logistic regression analysis, age ≥70 years, male gender, low hospital volume, and surgical procedure were identified as independent predictors of mortality. CONCLUSIONS: The operative risk for hepatectomy gradually increases with age until patients are in their 70s, and it appears to reach a plateau among septuagenarian. Indeed, age over 70 years can also be a risk factor for HCC. By considering the aging risk, surgeons can attain good outcome after hepatectomy even in octo- and nonagenarian patients.","container-title":"Liver Cancer","DOI":"10.1159/000484178","ISSN":"2235-1795 (Print) 1664-5553","issue":"1","language":"eng","note":"publisher-place: Hepato-Biliary-Pancreatic Surgery Division, Department of Surgery, Graduate School of Medicine, Tokyo, Japan. Department of Clinical Epidemiology and Health Economics, School of Public Health, The University of Tokyo, Tokyo, Japan. Department of Health Care Informatics, Tokyo Medical and Dental University, Tokyo, Japan. National Center of Global Health and Medicine, Tokyo, Japan.","page":"55-64","title":"Short-Term Outcomes following Hepatectomy in Elderly Patients with Hepatocellular Carcinoma: An Analysis of 10,805 Septuagenarians and 2,381 Octo- and Nonagenarians in Japan","volume":"7","author":[{"family":"Okinaga","given":"H."},{"family":"Yasunaga","given":"H."},{"family":"Hasegawa","given":"K."},{"family":"Fushimi","given":"K."},{"family":"Kokudo","given":"N."}],"issued":{"date-parts":[["2018",3]]}}}],"schema":"https://github.com/citation-style-language/schema/raw/master/csl-citation.json"} </w:instrText>
            </w:r>
            <w:r w:rsidRPr="00C47DDC">
              <w:rPr>
                <w:color w:val="000000"/>
                <w:sz w:val="14"/>
                <w:szCs w:val="14"/>
              </w:rPr>
              <w:fldChar w:fldCharType="separate"/>
            </w:r>
            <w:r w:rsidRPr="004125CE">
              <w:rPr>
                <w:sz w:val="14"/>
              </w:rPr>
              <w:t>[56]</w:t>
            </w:r>
            <w:r w:rsidRPr="00C47DDC">
              <w:rPr>
                <w:color w:val="000000"/>
                <w:sz w:val="14"/>
                <w:szCs w:val="14"/>
              </w:rPr>
              <w:fldChar w:fldCharType="end"/>
            </w:r>
          </w:p>
        </w:tc>
        <w:tc>
          <w:tcPr>
            <w:tcW w:w="5954" w:type="dxa"/>
            <w:vAlign w:val="center"/>
          </w:tcPr>
          <w:p w14:paraId="4164BF89" w14:textId="77777777" w:rsidR="000F0341" w:rsidRPr="00C47DDC" w:rsidRDefault="000F0341" w:rsidP="00E40B0D">
            <w:pPr>
              <w:spacing w:line="240" w:lineRule="auto"/>
              <w:jc w:val="left"/>
              <w:rPr>
                <w:b/>
                <w:bCs/>
                <w:color w:val="000000" w:themeColor="text1"/>
                <w:sz w:val="14"/>
                <w:szCs w:val="14"/>
              </w:rPr>
            </w:pPr>
            <w:r w:rsidRPr="00C47DDC">
              <w:rPr>
                <w:b/>
                <w:bCs/>
                <w:color w:val="000000"/>
                <w:sz w:val="14"/>
                <w:szCs w:val="14"/>
              </w:rPr>
              <w:t>Mortality:</w:t>
            </w:r>
            <w:r w:rsidRPr="00C47DDC">
              <w:rPr>
                <w:color w:val="000000"/>
                <w:sz w:val="14"/>
                <w:szCs w:val="14"/>
              </w:rPr>
              <w:t xml:space="preserve"> (OR): (90-day): </w:t>
            </w:r>
            <w:r w:rsidRPr="00C47DDC">
              <w:rPr>
                <w:color w:val="000000"/>
                <w:sz w:val="14"/>
                <w:szCs w:val="14"/>
                <w:u w:val="single"/>
              </w:rPr>
              <w:t>Very low</w:t>
            </w:r>
            <w:r w:rsidRPr="00C47DDC">
              <w:rPr>
                <w:color w:val="000000"/>
                <w:sz w:val="14"/>
                <w:szCs w:val="14"/>
              </w:rPr>
              <w:t xml:space="preserve"> vs. Low: 0.84</w:t>
            </w:r>
            <w:r w:rsidRPr="00C47DDC">
              <w:rPr>
                <w:color w:val="000000"/>
                <w:sz w:val="14"/>
                <w:szCs w:val="14"/>
                <w:vertAlign w:val="superscript"/>
              </w:rPr>
              <w:t>a</w:t>
            </w:r>
            <w:r w:rsidRPr="00C47DDC">
              <w:rPr>
                <w:color w:val="000000"/>
                <w:sz w:val="14"/>
                <w:szCs w:val="14"/>
              </w:rPr>
              <w:t xml:space="preserve"> [0.67 - 1.05]; High: 0.60</w:t>
            </w:r>
            <w:r w:rsidRPr="00C47DDC">
              <w:rPr>
                <w:color w:val="000000"/>
                <w:sz w:val="14"/>
                <w:szCs w:val="14"/>
                <w:vertAlign w:val="superscript"/>
              </w:rPr>
              <w:t>a</w:t>
            </w:r>
            <w:r w:rsidRPr="00C47DDC">
              <w:rPr>
                <w:color w:val="000000"/>
                <w:sz w:val="14"/>
                <w:szCs w:val="14"/>
              </w:rPr>
              <w:t xml:space="preserve"> [0.47 - 0.78]***; Very high: 0.36</w:t>
            </w:r>
            <w:r w:rsidRPr="00C47DDC">
              <w:rPr>
                <w:color w:val="000000"/>
                <w:sz w:val="14"/>
                <w:szCs w:val="14"/>
                <w:vertAlign w:val="superscript"/>
              </w:rPr>
              <w:t>a</w:t>
            </w:r>
            <w:r w:rsidRPr="00C47DDC">
              <w:rPr>
                <w:color w:val="000000"/>
                <w:sz w:val="14"/>
                <w:szCs w:val="14"/>
              </w:rPr>
              <w:t xml:space="preserve"> [0.27 - 0.49]***</w:t>
            </w:r>
          </w:p>
        </w:tc>
        <w:tc>
          <w:tcPr>
            <w:tcW w:w="1276" w:type="dxa"/>
            <w:vAlign w:val="center"/>
          </w:tcPr>
          <w:p w14:paraId="5114CE6C" w14:textId="77777777" w:rsidR="000F0341" w:rsidRPr="00C47DDC" w:rsidRDefault="000F0341" w:rsidP="00E40B0D">
            <w:pPr>
              <w:spacing w:line="276" w:lineRule="auto"/>
              <w:jc w:val="left"/>
              <w:rPr>
                <w:color w:val="000000" w:themeColor="text1"/>
                <w:sz w:val="14"/>
                <w:szCs w:val="14"/>
              </w:rPr>
            </w:pPr>
            <w:r w:rsidRPr="00C47DDC">
              <w:rPr>
                <w:color w:val="000000"/>
                <w:sz w:val="14"/>
                <w:szCs w:val="14"/>
              </w:rPr>
              <w:t>9/1/11/6</w:t>
            </w:r>
          </w:p>
        </w:tc>
        <w:tc>
          <w:tcPr>
            <w:tcW w:w="997" w:type="dxa"/>
            <w:vAlign w:val="center"/>
          </w:tcPr>
          <w:p w14:paraId="263FF567" w14:textId="77777777" w:rsidR="000F0341" w:rsidRPr="00C47DDC" w:rsidRDefault="000F0341" w:rsidP="00E40B0D">
            <w:pPr>
              <w:spacing w:line="276" w:lineRule="auto"/>
              <w:jc w:val="left"/>
              <w:rPr>
                <w:color w:val="000000"/>
                <w:sz w:val="14"/>
                <w:szCs w:val="14"/>
              </w:rPr>
            </w:pPr>
            <w:r w:rsidRPr="00C47DDC">
              <w:rPr>
                <w:color w:val="000000"/>
                <w:sz w:val="14"/>
                <w:szCs w:val="14"/>
              </w:rPr>
              <w:t>Low Risk</w:t>
            </w:r>
          </w:p>
        </w:tc>
      </w:tr>
      <w:tr w:rsidR="000F0341" w:rsidRPr="00BF62A1" w14:paraId="1FA23F69" w14:textId="77777777" w:rsidTr="00E40B0D">
        <w:trPr>
          <w:trHeight w:val="20"/>
        </w:trPr>
        <w:tc>
          <w:tcPr>
            <w:tcW w:w="1129" w:type="dxa"/>
            <w:vAlign w:val="center"/>
            <w:hideMark/>
          </w:tcPr>
          <w:p w14:paraId="31CFFD36" w14:textId="679C05B0" w:rsidR="000F0341" w:rsidRPr="00C47DDC" w:rsidRDefault="000F0341" w:rsidP="00E40B0D">
            <w:pPr>
              <w:spacing w:line="240" w:lineRule="auto"/>
              <w:jc w:val="left"/>
              <w:rPr>
                <w:color w:val="000000" w:themeColor="text1"/>
                <w:sz w:val="14"/>
                <w:szCs w:val="14"/>
              </w:rPr>
            </w:pPr>
            <w:r w:rsidRPr="00C47DDC">
              <w:rPr>
                <w:color w:val="000000" w:themeColor="text1"/>
                <w:sz w:val="14"/>
                <w:szCs w:val="14"/>
              </w:rPr>
              <w:t xml:space="preserve">Beal 2019 </w:t>
            </w:r>
            <w:r w:rsidRPr="00C47DDC">
              <w:rPr>
                <w:color w:val="000000" w:themeColor="text1"/>
                <w:sz w:val="14"/>
                <w:szCs w:val="14"/>
              </w:rPr>
              <w:fldChar w:fldCharType="begin"/>
            </w:r>
            <w:r>
              <w:rPr>
                <w:color w:val="000000" w:themeColor="text1"/>
                <w:sz w:val="14"/>
                <w:szCs w:val="14"/>
              </w:rPr>
              <w:instrText xml:space="preserve"> ADDIN ZOTERO_ITEM CSL_CITATION {"citationID":"5a8NBMLd","properties":{"formattedCitation":"[87]","plainCitation":"[87]","noteIndex":0},"citationItems":[{"id":14211,"uris":["http://zotero.org/groups/4983919/items/683U76IA"],"itemData":{"id":14211,"type":"article-journal","abstract":"BACKGROUND: Data on the impact of hospital volume and travel distance on patient outcomes after major abdominal surgery remain poorly defined. We sought to characterize the relationship of travel distance, hospital volume, and long-term outcomes of patients undergoing surgical resection of hepatocellular carcinoma (HCC). METHODS: The 2004-2015 National Cancer Database was used to identify patients who underwent resection of HCC. Patients were stratified according to travel distance and hospital volume quartiles, and multivariable regression models were utilized to examine the impact of travel distance, hospital volume, and travel distance/hospital volume on overall survival (OS). RESULTS: Among the 12,266 patients identified, procedures included wedge/segmental resections (N = 7354, 59.9%), hemi-hepatectomy (N = 4003, 32.6%), and extended hepatectomy (N = 909, 7.5%). Stratifying data into quartiles, travel distance to surgical care was ≤ 5.7 miles (mi), &gt; 5.7-14.2 mi, &gt; 14.2-44.4 mi, and ≥ 44.4 mi, while hospital volume quartiles determined on the hospital level were ≤ 1 case per year, 1.1-4, 4.1-12.5, and ≥ 12.5. On multivariable analysis, increased hospital volume was associated with decreased hazard of mortality (HR 0.69, 95% CI 0.45-0.82, p &lt; 0.001). Travel distance was not significantly associated with hazard of mortality. Furthermore, only hospital volume was associated with mortality (HR 0.67, 95% CI 0.56-0.80, p &lt; 0.001) after controlling for both travel distance and hospital volume. CONCLUSIONS: Only hospital volume was associated with increased hazard of mortality. The benefits of undergoing resection for HCC at a high-volume hospital appear to outweigh the inconvenience of longer travel distances.","container-title":"J Gastrointest Surg","DOI":"10.1007/s11605-019-04233-w","ISSN":"1091-255x","issue":"7","language":"eng","note":"publisher-place: Department of Surgery, Division of Surgical Oncology, The Ohio State University Wexner Medical Center, 395 W. 12th Ave., Suite 670, Columbus, OH, USA. Department of Surgery, Division of Surgical Oncology, The Ohio State University Wexner Medical Center, 395 W. 12th Ave., Suite 670, Columbus, OH, USA. tim.pawlik@osumc.edu.","page":"1425-1434","title":"Outcomes After Resection of Hepatocellular Carcinoma: Intersection of Travel Distance and Hospital Volume","volume":"23","author":[{"family":"Beal","given":"E. W."},{"family":"Mehta","given":"R."},{"family":"Merath","given":"K."},{"family":"Tsilimigras","given":"D. I."},{"family":"Hyer","given":"J. M."},{"family":"Paredes","given":"A."},{"family":"Dillhoff","given":"M. E."},{"family":"Cloyd","given":"J."},{"family":"Ejaz","given":"A."},{"family":"Pawlik","given":"T. M."}],"issued":{"date-parts":[["2019",7]]}}}],"schema":"https://github.com/citation-style-language/schema/raw/master/csl-citation.json"} </w:instrText>
            </w:r>
            <w:r w:rsidRPr="00C47DDC">
              <w:rPr>
                <w:color w:val="000000" w:themeColor="text1"/>
                <w:sz w:val="14"/>
                <w:szCs w:val="14"/>
              </w:rPr>
              <w:fldChar w:fldCharType="separate"/>
            </w:r>
            <w:r w:rsidRPr="004125CE">
              <w:rPr>
                <w:sz w:val="14"/>
              </w:rPr>
              <w:t>[</w:t>
            </w:r>
            <w:r w:rsidR="00D03F0D">
              <w:rPr>
                <w:sz w:val="14"/>
              </w:rPr>
              <w:t>78</w:t>
            </w:r>
            <w:r w:rsidRPr="004125CE">
              <w:rPr>
                <w:sz w:val="14"/>
              </w:rPr>
              <w:t>]</w:t>
            </w:r>
            <w:r w:rsidRPr="00C47DDC">
              <w:rPr>
                <w:color w:val="000000" w:themeColor="text1"/>
                <w:sz w:val="14"/>
                <w:szCs w:val="14"/>
              </w:rPr>
              <w:fldChar w:fldCharType="end"/>
            </w:r>
          </w:p>
        </w:tc>
        <w:tc>
          <w:tcPr>
            <w:tcW w:w="5954" w:type="dxa"/>
            <w:vAlign w:val="center"/>
            <w:hideMark/>
          </w:tcPr>
          <w:p w14:paraId="1331CB79" w14:textId="77777777" w:rsidR="000F0341" w:rsidRPr="00C47DDC" w:rsidRDefault="000F0341" w:rsidP="00E40B0D">
            <w:pPr>
              <w:spacing w:line="240" w:lineRule="auto"/>
              <w:jc w:val="left"/>
              <w:rPr>
                <w:color w:val="000000" w:themeColor="text1"/>
                <w:sz w:val="14"/>
                <w:szCs w:val="14"/>
              </w:rPr>
            </w:pPr>
            <w:r w:rsidRPr="00C47DDC">
              <w:rPr>
                <w:b/>
                <w:bCs/>
                <w:color w:val="000000" w:themeColor="text1"/>
                <w:sz w:val="14"/>
                <w:szCs w:val="14"/>
              </w:rPr>
              <w:t>HR:</w:t>
            </w:r>
            <w:r w:rsidRPr="00C47DDC">
              <w:rPr>
                <w:color w:val="000000" w:themeColor="text1"/>
                <w:sz w:val="14"/>
                <w:szCs w:val="14"/>
              </w:rPr>
              <w:t xml:space="preserve"> (30 to 90 day mortality): </w:t>
            </w:r>
            <w:r w:rsidRPr="00C47DDC">
              <w:rPr>
                <w:color w:val="000000" w:themeColor="text1"/>
                <w:sz w:val="14"/>
                <w:szCs w:val="14"/>
                <w:u w:val="single"/>
              </w:rPr>
              <w:t>Q1 (lowest)</w:t>
            </w:r>
            <w:r w:rsidRPr="00C47DDC">
              <w:rPr>
                <w:color w:val="000000" w:themeColor="text1"/>
                <w:sz w:val="14"/>
                <w:szCs w:val="14"/>
              </w:rPr>
              <w:t xml:space="preserve"> vs. Q2: 1.11</w:t>
            </w:r>
            <w:r w:rsidRPr="00C47DDC">
              <w:rPr>
                <w:color w:val="000000" w:themeColor="text1"/>
                <w:sz w:val="14"/>
                <w:szCs w:val="14"/>
                <w:vertAlign w:val="superscript"/>
              </w:rPr>
              <w:t>b</w:t>
            </w:r>
            <w:r w:rsidRPr="00C47DDC">
              <w:rPr>
                <w:color w:val="000000" w:themeColor="text1"/>
                <w:sz w:val="14"/>
                <w:szCs w:val="14"/>
              </w:rPr>
              <w:t xml:space="preserve"> [0.90–1.37]; Q3: 0.97</w:t>
            </w:r>
            <w:r w:rsidRPr="00C47DDC">
              <w:rPr>
                <w:color w:val="000000" w:themeColor="text1"/>
                <w:sz w:val="14"/>
                <w:szCs w:val="14"/>
                <w:vertAlign w:val="superscript"/>
              </w:rPr>
              <w:t>b</w:t>
            </w:r>
            <w:r w:rsidRPr="00C47DDC">
              <w:rPr>
                <w:color w:val="000000" w:themeColor="text1"/>
                <w:sz w:val="14"/>
                <w:szCs w:val="14"/>
              </w:rPr>
              <w:t xml:space="preserve"> [0.79–1.18]; Q4: 0.69</w:t>
            </w:r>
            <w:r w:rsidRPr="00C47DDC">
              <w:rPr>
                <w:color w:val="000000" w:themeColor="text1"/>
                <w:sz w:val="14"/>
                <w:szCs w:val="14"/>
                <w:vertAlign w:val="superscript"/>
              </w:rPr>
              <w:t>b</w:t>
            </w:r>
            <w:r w:rsidRPr="00C47DDC">
              <w:rPr>
                <w:color w:val="000000" w:themeColor="text1"/>
                <w:sz w:val="14"/>
                <w:szCs w:val="14"/>
              </w:rPr>
              <w:t xml:space="preserve"> [0.58–0.82]**|</w:t>
            </w:r>
            <w:r w:rsidRPr="00C47DDC">
              <w:rPr>
                <w:color w:val="000000" w:themeColor="text1"/>
                <w:sz w:val="14"/>
                <w:szCs w:val="14"/>
              </w:rPr>
              <w:br/>
            </w:r>
            <w:r w:rsidRPr="00C47DDC">
              <w:rPr>
                <w:b/>
                <w:bCs/>
                <w:i/>
                <w:iCs/>
                <w:color w:val="000000" w:themeColor="text1"/>
                <w:sz w:val="14"/>
                <w:szCs w:val="14"/>
              </w:rPr>
              <w:t>Per 10 cases:</w:t>
            </w:r>
            <w:r w:rsidRPr="00C47DDC">
              <w:rPr>
                <w:color w:val="000000" w:themeColor="text1"/>
                <w:sz w:val="14"/>
                <w:szCs w:val="14"/>
              </w:rPr>
              <w:t xml:space="preserve"> 0.981</w:t>
            </w:r>
            <w:r w:rsidRPr="00C47DDC">
              <w:rPr>
                <w:color w:val="000000" w:themeColor="text1"/>
                <w:sz w:val="14"/>
                <w:szCs w:val="14"/>
                <w:vertAlign w:val="superscript"/>
              </w:rPr>
              <w:t>b</w:t>
            </w:r>
            <w:r w:rsidRPr="00C47DDC">
              <w:rPr>
                <w:color w:val="000000" w:themeColor="text1"/>
                <w:sz w:val="14"/>
                <w:szCs w:val="14"/>
              </w:rPr>
              <w:t xml:space="preserve"> [0.977–0.984]**</w:t>
            </w:r>
          </w:p>
        </w:tc>
        <w:tc>
          <w:tcPr>
            <w:tcW w:w="1276" w:type="dxa"/>
            <w:vAlign w:val="center"/>
          </w:tcPr>
          <w:p w14:paraId="7857A60A" w14:textId="77777777" w:rsidR="000F0341" w:rsidRPr="00C47DDC" w:rsidRDefault="000F0341" w:rsidP="00E40B0D">
            <w:pPr>
              <w:spacing w:line="276" w:lineRule="auto"/>
              <w:jc w:val="left"/>
              <w:rPr>
                <w:color w:val="000000" w:themeColor="text1"/>
                <w:sz w:val="14"/>
                <w:szCs w:val="14"/>
              </w:rPr>
            </w:pPr>
            <w:r w:rsidRPr="00C47DDC">
              <w:rPr>
                <w:color w:val="000000" w:themeColor="text1"/>
                <w:sz w:val="14"/>
                <w:szCs w:val="14"/>
              </w:rPr>
              <w:t>11/0/10/6</w:t>
            </w:r>
          </w:p>
        </w:tc>
        <w:tc>
          <w:tcPr>
            <w:tcW w:w="997" w:type="dxa"/>
            <w:vAlign w:val="center"/>
          </w:tcPr>
          <w:p w14:paraId="5589B99A" w14:textId="77777777" w:rsidR="000F0341" w:rsidRPr="00C47DDC" w:rsidRDefault="000F0341" w:rsidP="00E40B0D">
            <w:pPr>
              <w:spacing w:line="276" w:lineRule="auto"/>
              <w:jc w:val="left"/>
              <w:rPr>
                <w:color w:val="000000" w:themeColor="text1"/>
                <w:sz w:val="14"/>
                <w:szCs w:val="14"/>
              </w:rPr>
            </w:pPr>
            <w:r w:rsidRPr="00C47DDC">
              <w:rPr>
                <w:color w:val="000000"/>
                <w:sz w:val="14"/>
                <w:szCs w:val="14"/>
              </w:rPr>
              <w:t>High Risk</w:t>
            </w:r>
          </w:p>
        </w:tc>
      </w:tr>
      <w:tr w:rsidR="000F0341" w:rsidRPr="00BF62A1" w14:paraId="6E379B58" w14:textId="77777777" w:rsidTr="00E40B0D">
        <w:trPr>
          <w:trHeight w:val="20"/>
        </w:trPr>
        <w:tc>
          <w:tcPr>
            <w:tcW w:w="1129" w:type="dxa"/>
            <w:vAlign w:val="center"/>
          </w:tcPr>
          <w:p w14:paraId="2E67594A" w14:textId="12EB399C" w:rsidR="000F0341" w:rsidRPr="00C47DDC" w:rsidRDefault="000F0341" w:rsidP="00E40B0D">
            <w:pPr>
              <w:spacing w:line="240" w:lineRule="auto"/>
              <w:jc w:val="left"/>
              <w:rPr>
                <w:color w:val="000000"/>
                <w:sz w:val="14"/>
                <w:szCs w:val="14"/>
              </w:rPr>
            </w:pPr>
            <w:r w:rsidRPr="00C47DDC">
              <w:rPr>
                <w:color w:val="000000"/>
                <w:sz w:val="14"/>
                <w:szCs w:val="14"/>
              </w:rPr>
              <w:t xml:space="preserve">Farges 2012 </w:t>
            </w:r>
            <w:r w:rsidRPr="00C47DDC">
              <w:rPr>
                <w:color w:val="000000"/>
                <w:sz w:val="14"/>
                <w:szCs w:val="14"/>
              </w:rPr>
              <w:fldChar w:fldCharType="begin"/>
            </w:r>
            <w:r>
              <w:rPr>
                <w:color w:val="000000"/>
                <w:sz w:val="14"/>
                <w:szCs w:val="14"/>
              </w:rPr>
              <w:instrText xml:space="preserve"> ADDIN ZOTERO_ITEM CSL_CITATION {"citationID":"Unz8scYj","properties":{"formattedCitation":"[85]","plainCitation":"[85]","noteIndex":0},"citationItems":[{"id":14195,"uris":["http://zotero.org/groups/4983919/items/RGM7KH6Z"],"itemData":{"id":14195,"type":"article-journal","abstract":"OBJECTIVE: To evaluate at a national level the incidence of liver resection, postoperative mortality, and variables that predict this outcome. BACKGROUND: Data on indications of and results of liver resection are mainly derived from high-volume centers. Nationwide data are lacking. METHODS: French health care databases were screened to identify all patients who had undergone elective hepatectomy between 2007 and 2010. The patients' age, address, associated conditions, indication and extent of hepatic (or extrahepatic) surgery and the hospital type, location, and hepatectomy caseload were retrieved. Logistic regression was used to measure the influence of these parameters on in-hospital and 90-day mortality rates. The model, created using patients operated on in 2007 and 2009, was tested in those operated on in 2008 and 2010. RESULTS: Overall, 28,708 hepatectomies were performed. The annual incidence (13.2 per 10 adult inhabitants) varied between regions, but the extremal quotient was limited to 2.2 because 15% of the operations took place outside the patients' home region. Hospitals performed a median of 4 resections per year but 53% of all resections were performed in institutions with a volume of more than 50 per year. Treatment for primary tumors and major resections correlated with hepatectomy caseload. In-hospital and 90-day mortality were 3.4% and 5.8%, respectively. The area under the receiver operating characteristic curve of the prognostic model was 0.78/0.77 in the training and validation sample. CONCLUSIONS: There were significant disparities in practice. In-hospital mortality underestimated true, postoperative mortality by more than 50%. The model created may be useful for more efficient regionalization of care and patient counseling.","container-title":"Ann Surg","DOI":"10.1097/SLA.0b013e31827241d5","ISSN":"0003-4932","issue":"5","language":"eng","note":"publisher-place: Department of Hepatobiliopancreatic Surgery and Liver Transplantation, Hôpital Beaujon, AP-HP, Université Paris 7, 100 bld du General Leclerc, Clichy, France. olivier.farges@bjn.aphp.fr","page":"697-704; discussion 704-5","title":"Incidence and risks of liver resection: an all-inclusive French nationwide study","volume":"256","author":[{"family":"Farges","given":"O."},{"family":"Goutte","given":"N."},{"family":"Bendersky","given":"N."},{"family":"Falissard","given":"B."}],"issued":{"date-parts":[["2012",11]]}}}],"schema":"https://github.com/citation-style-language/schema/raw/master/csl-citation.json"} </w:instrText>
            </w:r>
            <w:r w:rsidRPr="00C47DDC">
              <w:rPr>
                <w:color w:val="000000"/>
                <w:sz w:val="14"/>
                <w:szCs w:val="14"/>
              </w:rPr>
              <w:fldChar w:fldCharType="separate"/>
            </w:r>
            <w:r w:rsidRPr="004125CE">
              <w:rPr>
                <w:sz w:val="14"/>
              </w:rPr>
              <w:t>[8</w:t>
            </w:r>
            <w:r w:rsidR="00D03F0D">
              <w:rPr>
                <w:sz w:val="14"/>
              </w:rPr>
              <w:t>8</w:t>
            </w:r>
            <w:r w:rsidRPr="004125CE">
              <w:rPr>
                <w:sz w:val="14"/>
              </w:rPr>
              <w:t>]</w:t>
            </w:r>
            <w:r w:rsidRPr="00C47DDC">
              <w:rPr>
                <w:color w:val="000000"/>
                <w:sz w:val="14"/>
                <w:szCs w:val="14"/>
              </w:rPr>
              <w:fldChar w:fldCharType="end"/>
            </w:r>
          </w:p>
        </w:tc>
        <w:tc>
          <w:tcPr>
            <w:tcW w:w="5954" w:type="dxa"/>
            <w:vAlign w:val="center"/>
          </w:tcPr>
          <w:p w14:paraId="4DD943EC" w14:textId="77777777" w:rsidR="000F0341" w:rsidRPr="00C47DDC" w:rsidRDefault="000F0341" w:rsidP="00E40B0D">
            <w:pPr>
              <w:spacing w:line="240" w:lineRule="auto"/>
              <w:jc w:val="left"/>
              <w:rPr>
                <w:color w:val="000000"/>
                <w:sz w:val="14"/>
                <w:szCs w:val="14"/>
              </w:rPr>
            </w:pPr>
            <w:r w:rsidRPr="00C47DDC">
              <w:rPr>
                <w:b/>
                <w:bCs/>
                <w:color w:val="000000"/>
                <w:sz w:val="14"/>
                <w:szCs w:val="14"/>
              </w:rPr>
              <w:t>Mortality:</w:t>
            </w:r>
            <w:r w:rsidRPr="00C47DDC">
              <w:rPr>
                <w:color w:val="000000"/>
                <w:sz w:val="14"/>
                <w:szCs w:val="14"/>
              </w:rPr>
              <w:t xml:space="preserve"> (OR): (90-day): </w:t>
            </w:r>
            <w:r w:rsidRPr="00C47DDC">
              <w:rPr>
                <w:color w:val="000000"/>
                <w:sz w:val="14"/>
                <w:szCs w:val="14"/>
                <w:u w:val="single"/>
              </w:rPr>
              <w:t>≤ 5</w:t>
            </w:r>
            <w:r w:rsidRPr="00C47DDC">
              <w:rPr>
                <w:color w:val="000000"/>
                <w:sz w:val="14"/>
                <w:szCs w:val="14"/>
              </w:rPr>
              <w:t xml:space="preserve"> vs.6-10: 0.81</w:t>
            </w:r>
            <w:r w:rsidRPr="00C47DDC">
              <w:rPr>
                <w:color w:val="000000"/>
                <w:sz w:val="14"/>
                <w:szCs w:val="14"/>
                <w:vertAlign w:val="superscript"/>
              </w:rPr>
              <w:t>a</w:t>
            </w:r>
            <w:r w:rsidRPr="00C47DDC">
              <w:rPr>
                <w:color w:val="000000"/>
                <w:sz w:val="14"/>
                <w:szCs w:val="14"/>
              </w:rPr>
              <w:t xml:space="preserve"> [0.56–1.16]; 11-25: 0.50</w:t>
            </w:r>
            <w:r w:rsidRPr="00C47DDC">
              <w:rPr>
                <w:color w:val="000000"/>
                <w:sz w:val="14"/>
                <w:szCs w:val="14"/>
                <w:vertAlign w:val="superscript"/>
              </w:rPr>
              <w:t>a</w:t>
            </w:r>
            <w:r w:rsidRPr="00C47DDC">
              <w:rPr>
                <w:color w:val="000000"/>
                <w:sz w:val="14"/>
                <w:szCs w:val="14"/>
              </w:rPr>
              <w:t xml:space="preserve"> [0.35–0.72]***; </w:t>
            </w:r>
            <w:r w:rsidRPr="00C47DDC">
              <w:rPr>
                <w:color w:val="000000"/>
                <w:sz w:val="14"/>
                <w:szCs w:val="14"/>
              </w:rPr>
              <w:br/>
              <w:t>26-50: 0.58</w:t>
            </w:r>
            <w:r w:rsidRPr="00C47DDC">
              <w:rPr>
                <w:color w:val="000000"/>
                <w:sz w:val="14"/>
                <w:szCs w:val="14"/>
                <w:vertAlign w:val="superscript"/>
              </w:rPr>
              <w:t>a</w:t>
            </w:r>
            <w:r w:rsidRPr="00C47DDC">
              <w:rPr>
                <w:color w:val="000000"/>
                <w:sz w:val="14"/>
                <w:szCs w:val="14"/>
              </w:rPr>
              <w:t xml:space="preserve"> [0.39–0.86]**; 51-100: 0.51</w:t>
            </w:r>
            <w:r w:rsidRPr="00C47DDC">
              <w:rPr>
                <w:color w:val="000000"/>
                <w:sz w:val="14"/>
                <w:szCs w:val="14"/>
                <w:vertAlign w:val="superscript"/>
              </w:rPr>
              <w:t>a</w:t>
            </w:r>
            <w:r w:rsidRPr="00C47DDC">
              <w:rPr>
                <w:color w:val="000000"/>
                <w:sz w:val="14"/>
                <w:szCs w:val="14"/>
              </w:rPr>
              <w:t xml:space="preserve"> [0.34–0.78]**; &gt; 100: 0.53</w:t>
            </w:r>
            <w:r w:rsidRPr="00C47DDC">
              <w:rPr>
                <w:color w:val="000000"/>
                <w:sz w:val="14"/>
                <w:szCs w:val="14"/>
                <w:vertAlign w:val="superscript"/>
              </w:rPr>
              <w:t>a</w:t>
            </w:r>
            <w:r w:rsidRPr="00C47DDC">
              <w:rPr>
                <w:color w:val="000000"/>
                <w:sz w:val="14"/>
                <w:szCs w:val="14"/>
              </w:rPr>
              <w:t xml:space="preserve"> [0.34–0.82]**</w:t>
            </w:r>
          </w:p>
        </w:tc>
        <w:tc>
          <w:tcPr>
            <w:tcW w:w="1276" w:type="dxa"/>
            <w:vAlign w:val="center"/>
          </w:tcPr>
          <w:p w14:paraId="230F9EFC" w14:textId="77777777" w:rsidR="000F0341" w:rsidRPr="00C47DDC" w:rsidRDefault="000F0341" w:rsidP="00E40B0D">
            <w:pPr>
              <w:spacing w:line="276" w:lineRule="auto"/>
              <w:jc w:val="left"/>
              <w:rPr>
                <w:color w:val="000000"/>
                <w:sz w:val="14"/>
                <w:szCs w:val="14"/>
              </w:rPr>
            </w:pPr>
            <w:r w:rsidRPr="00C47DDC">
              <w:rPr>
                <w:color w:val="000000"/>
                <w:sz w:val="14"/>
                <w:szCs w:val="14"/>
              </w:rPr>
              <w:t>10/1/10/6</w:t>
            </w:r>
          </w:p>
        </w:tc>
        <w:tc>
          <w:tcPr>
            <w:tcW w:w="997" w:type="dxa"/>
            <w:vAlign w:val="center"/>
          </w:tcPr>
          <w:p w14:paraId="2952F2C1" w14:textId="77777777" w:rsidR="000F0341" w:rsidRPr="00C47DDC" w:rsidRDefault="000F0341" w:rsidP="00E40B0D">
            <w:pPr>
              <w:spacing w:line="276" w:lineRule="auto"/>
              <w:jc w:val="left"/>
              <w:rPr>
                <w:color w:val="000000"/>
                <w:sz w:val="14"/>
                <w:szCs w:val="14"/>
              </w:rPr>
            </w:pPr>
            <w:r w:rsidRPr="00C47DDC">
              <w:rPr>
                <w:color w:val="000000"/>
                <w:sz w:val="14"/>
                <w:szCs w:val="14"/>
              </w:rPr>
              <w:t>High Risk</w:t>
            </w:r>
          </w:p>
        </w:tc>
      </w:tr>
      <w:tr w:rsidR="000F0341" w:rsidRPr="00BF62A1" w14:paraId="156B7AD4" w14:textId="77777777" w:rsidTr="00E40B0D">
        <w:trPr>
          <w:trHeight w:val="57"/>
        </w:trPr>
        <w:tc>
          <w:tcPr>
            <w:tcW w:w="1129" w:type="dxa"/>
            <w:vAlign w:val="center"/>
            <w:hideMark/>
          </w:tcPr>
          <w:p w14:paraId="664F78E0" w14:textId="17ACB826" w:rsidR="000F0341" w:rsidRPr="00C47DDC" w:rsidRDefault="000F0341" w:rsidP="00E40B0D">
            <w:pPr>
              <w:spacing w:line="240" w:lineRule="auto"/>
              <w:jc w:val="left"/>
              <w:rPr>
                <w:color w:val="000000"/>
                <w:sz w:val="14"/>
                <w:szCs w:val="14"/>
              </w:rPr>
            </w:pPr>
            <w:r w:rsidRPr="00C47DDC">
              <w:rPr>
                <w:color w:val="000000"/>
                <w:sz w:val="14"/>
                <w:szCs w:val="14"/>
              </w:rPr>
              <w:t xml:space="preserve">Chiu 2015 </w:t>
            </w:r>
            <w:r w:rsidRPr="00C47DDC">
              <w:rPr>
                <w:color w:val="000000"/>
                <w:sz w:val="14"/>
                <w:szCs w:val="14"/>
              </w:rPr>
              <w:fldChar w:fldCharType="begin"/>
            </w:r>
            <w:r>
              <w:rPr>
                <w:color w:val="000000"/>
                <w:sz w:val="14"/>
                <w:szCs w:val="14"/>
              </w:rPr>
              <w:instrText xml:space="preserve"> ADDIN ZOTERO_ITEM CSL_CITATION {"citationID":"bXd8cLEF","properties":{"formattedCitation":"[88]","plainCitation":"[88]","noteIndex":0},"citationItems":[{"id":14354,"uris":["http://zotero.org/groups/4983919/items/85AI84VG"],"itemData":{"id":14354,"type":"article-journal","abstract":"BACKGROUND: Despite the huge and growing global burden of hepatocellular carcinoma (HCC), high-quality population-based studies of HCC prevalence and outcomes are scarce. PURPOSE: To analyze trends and predictors of hospital resource utilization and mortality rates in a population of patients who had received HCC surgery. PATIENTS AND MATERIALS: This population-based patient cohort study retrospectively analyzed 23,107 patients who had received surgical treatment for HCC from 1998 to 2009. RESULTS: The prevalence rate of surgical treatment in HCC patients significantly increased by 167.4% from 4.857 per 100,000 persons in 1998 to 12.989 per 100,000 persons in 2009 (P &lt; 0.001). Age, gender, Deyo-Charlson co-morbidity index score, hospital volume, surgeon volume, digestive system disease, hepatitis type and liver cirrhosis were significantly associated with HCC surgical outcomes (P &lt; 0.05). Over the 12-year period analyzed, the estimated mean hospital treatment cost increased 9.4% whereas mean length of stay (LOS) decreased 25.3%. The estimated mean overall survival time after HCC surgery was 40.9 months (SD 1.2 months), and the overall in-hospital 1-, 3-, and 5-year survival rates were 97.2%, 79.9%, 61.1%, and 54.6%, respectively. CONCLUSIONS: These population-based data reveal that the prevalence of HCC has increased, especially in older patients. Additionally, hospital treatment costs for HCC have increased despite decreases in LOS. These analytical results should be applicable to most countries with relatively small populations. Additionally, healthcare providers and patients should recognize that attributes of both the patient and the hospital may affect outcomes.","container-title":"Eur J Surg Oncol","DOI":"10.1016/j.ejso.2015.04.023","ISSN":"0748-7983","issue":"9","language":"eng","page":"1170-8","title":"Trends and predictors of outcomes after surgery for hepatocellular carcinoma: A nationwide population-based study in Taiwan","volume":"41","author":[{"family":"Chiu","given":"C. C."},{"family":"Wang","given":"J. J."},{"family":"Chen","given":"Y. S."},{"family":"Chen","given":"J. J."},{"family":"Tsai","given":"T. C."},{"family":"Lai","given":"C. C."},{"family":"Sun","given":"D. P."},{"family":"Shi","given":"H. Y."}],"issued":{"date-parts":[["2015",9]]}}}],"schema":"https://github.com/citation-style-language/schema/raw/master/csl-citation.json"} </w:instrText>
            </w:r>
            <w:r w:rsidRPr="00C47DDC">
              <w:rPr>
                <w:color w:val="000000"/>
                <w:sz w:val="14"/>
                <w:szCs w:val="14"/>
              </w:rPr>
              <w:fldChar w:fldCharType="separate"/>
            </w:r>
            <w:r w:rsidRPr="004125CE">
              <w:rPr>
                <w:sz w:val="14"/>
              </w:rPr>
              <w:t>[</w:t>
            </w:r>
            <w:r w:rsidR="00D03F0D">
              <w:rPr>
                <w:sz w:val="14"/>
              </w:rPr>
              <w:t>52</w:t>
            </w:r>
            <w:r w:rsidRPr="004125CE">
              <w:rPr>
                <w:sz w:val="14"/>
              </w:rPr>
              <w:t>]</w:t>
            </w:r>
            <w:r w:rsidRPr="00C47DDC">
              <w:rPr>
                <w:color w:val="000000"/>
                <w:sz w:val="14"/>
                <w:szCs w:val="14"/>
              </w:rPr>
              <w:fldChar w:fldCharType="end"/>
            </w:r>
            <w:r w:rsidRPr="00C47DDC">
              <w:rPr>
                <w:color w:val="000000"/>
                <w:sz w:val="14"/>
                <w:szCs w:val="14"/>
              </w:rPr>
              <w:t xml:space="preserve"> </w:t>
            </w:r>
          </w:p>
        </w:tc>
        <w:tc>
          <w:tcPr>
            <w:tcW w:w="5954" w:type="dxa"/>
            <w:vAlign w:val="center"/>
            <w:hideMark/>
          </w:tcPr>
          <w:p w14:paraId="11DD1799" w14:textId="77777777" w:rsidR="000F0341" w:rsidRPr="00C47DDC" w:rsidRDefault="000F0341" w:rsidP="00E40B0D">
            <w:pPr>
              <w:spacing w:line="240" w:lineRule="auto"/>
              <w:jc w:val="left"/>
              <w:rPr>
                <w:color w:val="000000"/>
                <w:sz w:val="14"/>
                <w:szCs w:val="14"/>
              </w:rPr>
            </w:pPr>
            <w:r w:rsidRPr="00C47DDC">
              <w:rPr>
                <w:b/>
                <w:bCs/>
                <w:color w:val="000000"/>
                <w:sz w:val="14"/>
                <w:szCs w:val="14"/>
              </w:rPr>
              <w:t>Mortality:</w:t>
            </w:r>
            <w:r w:rsidRPr="00C47DDC">
              <w:rPr>
                <w:color w:val="000000"/>
                <w:sz w:val="14"/>
                <w:szCs w:val="14"/>
              </w:rPr>
              <w:t xml:space="preserve"> (HR): (90-day): </w:t>
            </w:r>
            <w:r w:rsidRPr="00C47DDC">
              <w:rPr>
                <w:color w:val="000000"/>
                <w:sz w:val="14"/>
                <w:szCs w:val="14"/>
                <w:u w:val="single"/>
              </w:rPr>
              <w:t>Low</w:t>
            </w:r>
            <w:r w:rsidRPr="00C47DDC">
              <w:rPr>
                <w:color w:val="000000"/>
                <w:sz w:val="14"/>
                <w:szCs w:val="14"/>
              </w:rPr>
              <w:t xml:space="preserve"> vs. High: 0.79</w:t>
            </w:r>
            <w:r w:rsidRPr="00C47DDC">
              <w:rPr>
                <w:color w:val="000000"/>
                <w:sz w:val="14"/>
                <w:szCs w:val="14"/>
                <w:vertAlign w:val="superscript"/>
              </w:rPr>
              <w:t>b</w:t>
            </w:r>
            <w:r w:rsidRPr="00C47DDC">
              <w:rPr>
                <w:color w:val="000000"/>
                <w:sz w:val="14"/>
                <w:szCs w:val="14"/>
              </w:rPr>
              <w:t xml:space="preserve"> [0.698-0.887]***|</w:t>
            </w:r>
          </w:p>
        </w:tc>
        <w:tc>
          <w:tcPr>
            <w:tcW w:w="1276" w:type="dxa"/>
            <w:vAlign w:val="center"/>
          </w:tcPr>
          <w:p w14:paraId="69DF0379" w14:textId="77777777" w:rsidR="000F0341" w:rsidRPr="00C47DDC" w:rsidRDefault="000F0341" w:rsidP="00E40B0D">
            <w:pPr>
              <w:spacing w:line="276" w:lineRule="auto"/>
              <w:jc w:val="left"/>
              <w:rPr>
                <w:color w:val="000000"/>
                <w:sz w:val="14"/>
                <w:szCs w:val="14"/>
              </w:rPr>
            </w:pPr>
            <w:r w:rsidRPr="00C47DDC">
              <w:rPr>
                <w:color w:val="000000"/>
                <w:sz w:val="14"/>
                <w:szCs w:val="14"/>
              </w:rPr>
              <w:t>9/2/10/6</w:t>
            </w:r>
          </w:p>
        </w:tc>
        <w:tc>
          <w:tcPr>
            <w:tcW w:w="997" w:type="dxa"/>
            <w:vAlign w:val="center"/>
          </w:tcPr>
          <w:p w14:paraId="2B953052" w14:textId="77777777" w:rsidR="000F0341" w:rsidRPr="00C47DDC" w:rsidRDefault="000F0341" w:rsidP="00E40B0D">
            <w:pPr>
              <w:spacing w:line="276" w:lineRule="auto"/>
              <w:jc w:val="left"/>
              <w:rPr>
                <w:color w:val="000000"/>
                <w:sz w:val="14"/>
                <w:szCs w:val="14"/>
              </w:rPr>
            </w:pPr>
            <w:r w:rsidRPr="00C47DDC">
              <w:rPr>
                <w:color w:val="000000"/>
                <w:sz w:val="14"/>
                <w:szCs w:val="14"/>
              </w:rPr>
              <w:t>High Risk</w:t>
            </w:r>
          </w:p>
        </w:tc>
      </w:tr>
      <w:tr w:rsidR="000F0341" w:rsidRPr="00BF62A1" w14:paraId="4E935B06" w14:textId="77777777" w:rsidTr="00E40B0D">
        <w:trPr>
          <w:trHeight w:val="20"/>
        </w:trPr>
        <w:tc>
          <w:tcPr>
            <w:tcW w:w="1129" w:type="dxa"/>
            <w:vAlign w:val="center"/>
          </w:tcPr>
          <w:p w14:paraId="5753E3F7" w14:textId="0DD4295C" w:rsidR="000F0341" w:rsidRPr="00C47DDC" w:rsidRDefault="000F0341" w:rsidP="00E40B0D">
            <w:pPr>
              <w:spacing w:line="240" w:lineRule="auto"/>
              <w:jc w:val="left"/>
              <w:rPr>
                <w:color w:val="000000"/>
                <w:sz w:val="14"/>
                <w:szCs w:val="14"/>
              </w:rPr>
            </w:pPr>
            <w:r w:rsidRPr="00C47DDC">
              <w:rPr>
                <w:color w:val="000000"/>
                <w:sz w:val="14"/>
                <w:szCs w:val="14"/>
              </w:rPr>
              <w:t xml:space="preserve">Lee 2019 </w:t>
            </w:r>
            <w:r w:rsidRPr="00C47DDC">
              <w:rPr>
                <w:color w:val="000000"/>
                <w:sz w:val="14"/>
                <w:szCs w:val="14"/>
              </w:rPr>
              <w:fldChar w:fldCharType="begin"/>
            </w:r>
            <w:r>
              <w:rPr>
                <w:color w:val="000000"/>
                <w:sz w:val="14"/>
                <w:szCs w:val="14"/>
              </w:rPr>
              <w:instrText xml:space="preserve"> ADDIN ZOTERO_ITEM CSL_CITATION {"citationID":"Tp2F1N0y","properties":{"formattedCitation":"[84]","plainCitation":"[84]","noteIndex":0},"citationItems":[{"id":14137,"uris":["http://zotero.org/groups/4983919/items/GBPXPSTT"],"itemData":{"id":14137,"type":"article-journal","abstract":"Background. Many studies have demonstrated associations between surgical resections at academic centers and improved outcomes, particularly for complex operations. However, few studies have examined this relationship in intrahepatic cholangiocarcinoma (ICC). The hypothesis of this study was that facility type is associated with improved postoperative outcomes and survival for patients with ICC who undergo resection.","container-title":"Annals of Surgical Oncology","DOI":"10.1245/s10434-019-07657-5","ISSN":"1068-9265, 1534-4681","issue":"12","journalAbbreviation":"Ann Surg Oncol","language":"en","page":"4091-4099","source":"DOI.org (Crossref)","title":"Facility Type is Associated with Margin Status and Overall Survival of Patients with Resected Intrahepatic Cholangiocarcinoma","URL":"http://link.springer.com/10.1245/s10434-019-07657-5","volume":"26","author":[{"family":"Lee","given":"Grace C."},{"family":"Gamblin","given":"T. Clark"},{"family":"Fong","given":"Zhi Ven"},{"family":"Ferrone","given":"Cristina R."},{"family":"Goyal","given":"Lipika"},{"family":"Lillemoe","given":"Keith D."},{"family":"Blaszkowsky","given":"Lawrence S."},{"family":"Tanabe","given":"Kenneth K."},{"family":"Qadan","given":"Motaz"}],"accessed":{"date-parts":[["2023",3,9]]},"issued":{"date-parts":[["2019",11]]}}}],"schema":"https://github.com/citation-style-language/schema/raw/master/csl-citation.json"} </w:instrText>
            </w:r>
            <w:r w:rsidRPr="00C47DDC">
              <w:rPr>
                <w:color w:val="000000"/>
                <w:sz w:val="14"/>
                <w:szCs w:val="14"/>
              </w:rPr>
              <w:fldChar w:fldCharType="separate"/>
            </w:r>
            <w:r w:rsidRPr="004125CE">
              <w:rPr>
                <w:sz w:val="14"/>
              </w:rPr>
              <w:t>[8</w:t>
            </w:r>
            <w:r w:rsidR="00D03F0D">
              <w:rPr>
                <w:sz w:val="14"/>
              </w:rPr>
              <w:t>7</w:t>
            </w:r>
            <w:r w:rsidRPr="004125CE">
              <w:rPr>
                <w:sz w:val="14"/>
              </w:rPr>
              <w:t>]</w:t>
            </w:r>
            <w:r w:rsidRPr="00C47DDC">
              <w:rPr>
                <w:color w:val="000000"/>
                <w:sz w:val="14"/>
                <w:szCs w:val="14"/>
              </w:rPr>
              <w:fldChar w:fldCharType="end"/>
            </w:r>
          </w:p>
        </w:tc>
        <w:tc>
          <w:tcPr>
            <w:tcW w:w="5954" w:type="dxa"/>
            <w:vAlign w:val="center"/>
          </w:tcPr>
          <w:p w14:paraId="485D6979" w14:textId="77777777" w:rsidR="000F0341" w:rsidRPr="00C47DDC" w:rsidRDefault="000F0341" w:rsidP="00E40B0D">
            <w:pPr>
              <w:spacing w:line="240" w:lineRule="auto"/>
              <w:jc w:val="left"/>
              <w:rPr>
                <w:color w:val="000000"/>
                <w:sz w:val="14"/>
                <w:szCs w:val="14"/>
              </w:rPr>
            </w:pPr>
            <w:r w:rsidRPr="00C47DDC">
              <w:rPr>
                <w:b/>
                <w:bCs/>
                <w:color w:val="000000"/>
                <w:sz w:val="14"/>
                <w:szCs w:val="14"/>
              </w:rPr>
              <w:t>Mortality: (90-day):</w:t>
            </w:r>
            <w:r w:rsidRPr="00C47DDC">
              <w:rPr>
                <w:color w:val="000000"/>
                <w:sz w:val="14"/>
                <w:szCs w:val="14"/>
              </w:rPr>
              <w:t xml:space="preserve"> Low vs. High: 0.68</w:t>
            </w:r>
            <w:r w:rsidRPr="00C47DDC">
              <w:rPr>
                <w:color w:val="000000"/>
                <w:sz w:val="14"/>
                <w:szCs w:val="14"/>
                <w:vertAlign w:val="superscript"/>
              </w:rPr>
              <w:t>a</w:t>
            </w:r>
            <w:r w:rsidRPr="00C47DDC">
              <w:rPr>
                <w:color w:val="000000"/>
                <w:sz w:val="14"/>
                <w:szCs w:val="14"/>
              </w:rPr>
              <w:t xml:space="preserve"> [0.46-1.01]| </w:t>
            </w:r>
          </w:p>
        </w:tc>
        <w:tc>
          <w:tcPr>
            <w:tcW w:w="1276" w:type="dxa"/>
            <w:vAlign w:val="center"/>
          </w:tcPr>
          <w:p w14:paraId="42A432A1" w14:textId="77777777" w:rsidR="000F0341" w:rsidRPr="00C47DDC" w:rsidRDefault="000F0341" w:rsidP="00E40B0D">
            <w:pPr>
              <w:spacing w:line="276" w:lineRule="auto"/>
              <w:jc w:val="left"/>
              <w:rPr>
                <w:color w:val="000000"/>
                <w:sz w:val="14"/>
                <w:szCs w:val="14"/>
              </w:rPr>
            </w:pPr>
            <w:r w:rsidRPr="00C47DDC">
              <w:rPr>
                <w:color w:val="000000"/>
                <w:sz w:val="14"/>
                <w:szCs w:val="14"/>
              </w:rPr>
              <w:t>7/4/10/6</w:t>
            </w:r>
          </w:p>
        </w:tc>
        <w:tc>
          <w:tcPr>
            <w:tcW w:w="997" w:type="dxa"/>
            <w:vAlign w:val="center"/>
          </w:tcPr>
          <w:p w14:paraId="30372501" w14:textId="77777777" w:rsidR="000F0341" w:rsidRPr="00C47DDC" w:rsidRDefault="000F0341" w:rsidP="00E40B0D">
            <w:pPr>
              <w:spacing w:line="276" w:lineRule="auto"/>
              <w:jc w:val="left"/>
              <w:rPr>
                <w:color w:val="000000"/>
                <w:sz w:val="14"/>
                <w:szCs w:val="14"/>
              </w:rPr>
            </w:pPr>
            <w:r w:rsidRPr="00C47DDC">
              <w:rPr>
                <w:color w:val="000000"/>
                <w:sz w:val="14"/>
                <w:szCs w:val="14"/>
              </w:rPr>
              <w:t>High Risk</w:t>
            </w:r>
          </w:p>
        </w:tc>
      </w:tr>
      <w:tr w:rsidR="000F0341" w:rsidRPr="00BF62A1" w14:paraId="521895EA" w14:textId="77777777" w:rsidTr="00E40B0D">
        <w:trPr>
          <w:trHeight w:val="20"/>
        </w:trPr>
        <w:tc>
          <w:tcPr>
            <w:tcW w:w="1129" w:type="dxa"/>
            <w:vAlign w:val="center"/>
          </w:tcPr>
          <w:p w14:paraId="0617CFD9" w14:textId="77777777" w:rsidR="000F0341" w:rsidRPr="00C47DDC" w:rsidRDefault="000F0341" w:rsidP="00E40B0D">
            <w:pPr>
              <w:spacing w:line="240" w:lineRule="auto"/>
              <w:jc w:val="left"/>
              <w:rPr>
                <w:color w:val="000000"/>
                <w:sz w:val="14"/>
                <w:szCs w:val="14"/>
              </w:rPr>
            </w:pPr>
            <w:r w:rsidRPr="00C47DDC">
              <w:rPr>
                <w:color w:val="000000"/>
                <w:sz w:val="14"/>
                <w:szCs w:val="14"/>
              </w:rPr>
              <w:t xml:space="preserve">Chang 2014 </w:t>
            </w:r>
            <w:r w:rsidRPr="00C47DDC">
              <w:rPr>
                <w:color w:val="000000"/>
                <w:sz w:val="14"/>
                <w:szCs w:val="14"/>
              </w:rPr>
              <w:fldChar w:fldCharType="begin"/>
            </w:r>
            <w:r>
              <w:rPr>
                <w:color w:val="000000"/>
                <w:sz w:val="14"/>
                <w:szCs w:val="14"/>
              </w:rPr>
              <w:instrText xml:space="preserve"> ADDIN ZOTERO_ITEM CSL_CITATION {"citationID":"jYs2ZfZ0","properties":{"formattedCitation":"[63]","plainCitation":"[63]","noteIndex":0},"citationItems":[{"id":14205,"uris":["http://zotero.org/groups/4983919/items/TRPKDPX6"],"itemData":{"id":14205,"type":"article-journal","abstract":"BACKGROUND: The influence of different hospital and surgeon volumes on short-term survival after hepatic resection is not clearly clarified. By taking the known prognostic factors into account, the purpose of this study is to assess the combined effects of hospital and surgeon volume on short-term survival after hepatic resection. METHODS: 13,159 patients who underwent hepatic resection between 2002 and 2006 were identified in the Taiwan National Health Insurance Research Database. Data were extracted from it and short-term survivals were confirmed through 2006. The Cox proportional hazards model was used to assess the relationship between survival and different hospital, surgeon volume and caseload combinations. RESULTS: High-volume surgeons in high-volume hospitals had the highest short-term survivals, following by high-volume surgeons in low-volume hospitals, low-volume surgeons in high-volume hospitals and low-volume surgeons in low-volume hospitals. Based on Cox proportional hazard models, although high-volume hospitals and surgeons both showed significant lower risks of short-term mortality at hospital and surgeon level analysis, after combining hospital and surgeon volume into account, high-volume surgeons in high-volume hospitals had significantly better outcomes; the hazard ratio of other three caseload combinations ranging from 1.66 to 2.08 (p&lt;0.001) in 3-month mortality, and 1.28 to 1.58 (p&lt;0.01) in 1-year mortality. CONCLUSIONS: The combined effects of hospital and surgeon volume influenced the short-term survival after hepatic resection largely. After adjusting for the prognostic factors in the case mix, high-volume surgeons in high-volume hospitals had better short-term survivals. Centralization of hepatic resection to few surgeons and hospitals might improve patients' prognosis.","container-title":"PLoS One","DOI":"10.1371/journal.pone.0086444","ISSN":"1932-6203","issue":"1","language":"eng","note":"publisher-place: Department of Surgery, Buddhist Dalin Tzu Chi General Hospital, Chiayi, Taiwan ; School of Medicine, Tzu Chi University, Hualian, Taiwan. Department of Otolaryngology, Buddhist Dalin Tzu Chi General Hospital, Chiayi, Taiwan ; Center for Clinical Epidemiology and Biostatistics, Buddhist Dalin Tzu Chi General Hospital, Chiayi, Taiwan ; School of Medicine, Tzu Chi University, Hualian, Taiwan.","page":"e86444","title":"The combined effects of hospital and surgeon volume on short-term survival after hepatic resection in a population-based study","volume":"9","author":[{"family":"Chang","given":"C. M."},{"family":"Yin","given":"W. Y."},{"family":"Wei","given":"C. K."},{"family":"Lee","given":"C. H."},{"family":"Lee","given":"C. C."}],"issued":{"date-parts":[["2014"]]}}}],"schema":"https://github.com/citation-style-language/schema/raw/master/csl-citation.json"} </w:instrText>
            </w:r>
            <w:r w:rsidRPr="00C47DDC">
              <w:rPr>
                <w:color w:val="000000"/>
                <w:sz w:val="14"/>
                <w:szCs w:val="14"/>
              </w:rPr>
              <w:fldChar w:fldCharType="separate"/>
            </w:r>
            <w:r w:rsidRPr="004125CE">
              <w:rPr>
                <w:sz w:val="14"/>
              </w:rPr>
              <w:t>[63]</w:t>
            </w:r>
            <w:r w:rsidRPr="00C47DDC">
              <w:rPr>
                <w:color w:val="000000"/>
                <w:sz w:val="14"/>
                <w:szCs w:val="14"/>
              </w:rPr>
              <w:fldChar w:fldCharType="end"/>
            </w:r>
          </w:p>
        </w:tc>
        <w:tc>
          <w:tcPr>
            <w:tcW w:w="5954" w:type="dxa"/>
            <w:vAlign w:val="center"/>
          </w:tcPr>
          <w:p w14:paraId="5A8D6310" w14:textId="77777777" w:rsidR="000F0341" w:rsidRPr="00C47DDC" w:rsidRDefault="000F0341" w:rsidP="00E40B0D">
            <w:pPr>
              <w:spacing w:line="240" w:lineRule="auto"/>
              <w:jc w:val="left"/>
              <w:rPr>
                <w:color w:val="000000"/>
                <w:sz w:val="14"/>
                <w:szCs w:val="14"/>
              </w:rPr>
            </w:pPr>
            <w:r w:rsidRPr="00C47DDC">
              <w:rPr>
                <w:b/>
                <w:bCs/>
                <w:color w:val="000000"/>
                <w:sz w:val="14"/>
                <w:szCs w:val="14"/>
              </w:rPr>
              <w:t>Mortality: (3-months):</w:t>
            </w:r>
            <w:r w:rsidRPr="00C47DDC">
              <w:rPr>
                <w:color w:val="000000"/>
                <w:sz w:val="14"/>
                <w:szCs w:val="14"/>
              </w:rPr>
              <w:t xml:space="preserve"> </w:t>
            </w:r>
            <w:r w:rsidRPr="00C47DDC">
              <w:rPr>
                <w:color w:val="000000"/>
                <w:sz w:val="14"/>
                <w:szCs w:val="14"/>
                <w:u w:val="single"/>
              </w:rPr>
              <w:t>High</w:t>
            </w:r>
            <w:r w:rsidRPr="00C47DDC">
              <w:rPr>
                <w:color w:val="000000"/>
                <w:sz w:val="14"/>
                <w:szCs w:val="14"/>
              </w:rPr>
              <w:t xml:space="preserve"> vs. Low: 1.56</w:t>
            </w:r>
            <w:r w:rsidRPr="00C47DDC">
              <w:rPr>
                <w:color w:val="000000"/>
                <w:sz w:val="14"/>
                <w:szCs w:val="14"/>
                <w:vertAlign w:val="superscript"/>
              </w:rPr>
              <w:t>b</w:t>
            </w:r>
            <w:r w:rsidRPr="00C47DDC">
              <w:rPr>
                <w:color w:val="000000"/>
                <w:sz w:val="14"/>
                <w:szCs w:val="14"/>
              </w:rPr>
              <w:t xml:space="preserve"> [1.30–1.86]***| </w:t>
            </w:r>
          </w:p>
        </w:tc>
        <w:tc>
          <w:tcPr>
            <w:tcW w:w="1276" w:type="dxa"/>
            <w:vAlign w:val="center"/>
          </w:tcPr>
          <w:p w14:paraId="7D1E5598" w14:textId="77777777" w:rsidR="000F0341" w:rsidRPr="00C47DDC" w:rsidRDefault="000F0341" w:rsidP="00E40B0D">
            <w:pPr>
              <w:spacing w:line="276" w:lineRule="auto"/>
              <w:jc w:val="left"/>
              <w:rPr>
                <w:color w:val="000000"/>
                <w:sz w:val="14"/>
                <w:szCs w:val="14"/>
              </w:rPr>
            </w:pPr>
            <w:r w:rsidRPr="00C47DDC">
              <w:rPr>
                <w:color w:val="000000"/>
                <w:sz w:val="14"/>
                <w:szCs w:val="14"/>
              </w:rPr>
              <w:t>8/3/10/6</w:t>
            </w:r>
          </w:p>
        </w:tc>
        <w:tc>
          <w:tcPr>
            <w:tcW w:w="997" w:type="dxa"/>
            <w:vAlign w:val="center"/>
          </w:tcPr>
          <w:p w14:paraId="0FC6A0EE" w14:textId="77777777" w:rsidR="000F0341" w:rsidRPr="00C47DDC" w:rsidRDefault="000F0341" w:rsidP="00E40B0D">
            <w:pPr>
              <w:spacing w:line="276" w:lineRule="auto"/>
              <w:jc w:val="left"/>
              <w:rPr>
                <w:color w:val="000000"/>
                <w:sz w:val="14"/>
                <w:szCs w:val="14"/>
              </w:rPr>
            </w:pPr>
            <w:r w:rsidRPr="00C47DDC">
              <w:rPr>
                <w:color w:val="000000"/>
                <w:sz w:val="14"/>
                <w:szCs w:val="14"/>
              </w:rPr>
              <w:t>High Risk</w:t>
            </w:r>
          </w:p>
        </w:tc>
      </w:tr>
    </w:tbl>
    <w:p w14:paraId="143C087A" w14:textId="77777777" w:rsidR="000F0341" w:rsidRDefault="000F0341" w:rsidP="000F0341"/>
    <w:tbl>
      <w:tblPr>
        <w:tblpPr w:leftFromText="180" w:rightFromText="180" w:vertAnchor="text" w:tblpX="-303"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00" w:firstRow="0" w:lastRow="0" w:firstColumn="0" w:lastColumn="0" w:noHBand="1" w:noVBand="1"/>
      </w:tblPr>
      <w:tblGrid>
        <w:gridCol w:w="1129"/>
        <w:gridCol w:w="5954"/>
        <w:gridCol w:w="1276"/>
        <w:gridCol w:w="997"/>
      </w:tblGrid>
      <w:tr w:rsidR="000F0341" w:rsidRPr="00BF62A1" w14:paraId="63786E40" w14:textId="77777777" w:rsidTr="00E40B0D">
        <w:trPr>
          <w:trHeight w:val="20"/>
        </w:trPr>
        <w:tc>
          <w:tcPr>
            <w:tcW w:w="1129" w:type="dxa"/>
            <w:vMerge w:val="restart"/>
            <w:vAlign w:val="center"/>
          </w:tcPr>
          <w:p w14:paraId="5E1DFB52" w14:textId="77777777" w:rsidR="000F0341" w:rsidRPr="00C47DDC" w:rsidRDefault="000F0341" w:rsidP="00E40B0D">
            <w:pPr>
              <w:spacing w:line="240" w:lineRule="auto"/>
              <w:jc w:val="center"/>
              <w:rPr>
                <w:b/>
                <w:bCs/>
                <w:color w:val="000000"/>
                <w:sz w:val="14"/>
                <w:szCs w:val="14"/>
              </w:rPr>
            </w:pPr>
            <w:r w:rsidRPr="00C47DDC">
              <w:rPr>
                <w:b/>
                <w:bCs/>
                <w:color w:val="000000"/>
                <w:sz w:val="14"/>
                <w:szCs w:val="14"/>
              </w:rPr>
              <w:t>First author and year of publication</w:t>
            </w:r>
          </w:p>
        </w:tc>
        <w:tc>
          <w:tcPr>
            <w:tcW w:w="5954" w:type="dxa"/>
            <w:vMerge w:val="restart"/>
            <w:vAlign w:val="center"/>
          </w:tcPr>
          <w:p w14:paraId="3F3F722C" w14:textId="77777777" w:rsidR="000F0341" w:rsidRPr="00C47DDC" w:rsidRDefault="000F0341" w:rsidP="00E40B0D">
            <w:pPr>
              <w:spacing w:line="240" w:lineRule="auto"/>
              <w:jc w:val="center"/>
              <w:rPr>
                <w:b/>
                <w:bCs/>
                <w:color w:val="000000"/>
                <w:sz w:val="14"/>
                <w:szCs w:val="14"/>
              </w:rPr>
            </w:pPr>
            <w:r>
              <w:rPr>
                <w:b/>
                <w:bCs/>
                <w:color w:val="000000"/>
                <w:sz w:val="14"/>
                <w:szCs w:val="14"/>
              </w:rPr>
              <w:t>Intermediate-/long-term Mortality</w:t>
            </w:r>
          </w:p>
        </w:tc>
        <w:tc>
          <w:tcPr>
            <w:tcW w:w="2273" w:type="dxa"/>
            <w:gridSpan w:val="2"/>
            <w:vAlign w:val="center"/>
          </w:tcPr>
          <w:p w14:paraId="000BE5B8" w14:textId="77777777" w:rsidR="000F0341" w:rsidRPr="00C47DDC" w:rsidRDefault="000F0341" w:rsidP="00E40B0D">
            <w:pPr>
              <w:spacing w:line="276" w:lineRule="auto"/>
              <w:jc w:val="center"/>
              <w:rPr>
                <w:b/>
                <w:bCs/>
                <w:color w:val="000000"/>
                <w:sz w:val="14"/>
                <w:szCs w:val="14"/>
              </w:rPr>
            </w:pPr>
            <w:r w:rsidRPr="00C47DDC">
              <w:rPr>
                <w:b/>
                <w:sz w:val="14"/>
                <w:szCs w:val="14"/>
              </w:rPr>
              <w:t>Quality</w:t>
            </w:r>
            <w:r w:rsidRPr="00C47DDC">
              <w:rPr>
                <w:bCs/>
                <w:sz w:val="14"/>
                <w:szCs w:val="14"/>
              </w:rPr>
              <w:t xml:space="preserve"> </w:t>
            </w:r>
            <w:r w:rsidRPr="00C47DDC">
              <w:rPr>
                <w:b/>
                <w:sz w:val="14"/>
                <w:szCs w:val="14"/>
              </w:rPr>
              <w:t>appraisal</w:t>
            </w:r>
          </w:p>
        </w:tc>
      </w:tr>
      <w:tr w:rsidR="000F0341" w:rsidRPr="00BF62A1" w14:paraId="772A0924" w14:textId="77777777" w:rsidTr="00E40B0D">
        <w:trPr>
          <w:trHeight w:val="20"/>
        </w:trPr>
        <w:tc>
          <w:tcPr>
            <w:tcW w:w="1129" w:type="dxa"/>
            <w:vMerge/>
            <w:vAlign w:val="center"/>
            <w:hideMark/>
          </w:tcPr>
          <w:p w14:paraId="1E2A861D" w14:textId="77777777" w:rsidR="000F0341" w:rsidRPr="00BF62A1" w:rsidRDefault="000F0341" w:rsidP="00E40B0D">
            <w:pPr>
              <w:spacing w:line="240" w:lineRule="auto"/>
              <w:jc w:val="center"/>
              <w:rPr>
                <w:b/>
                <w:bCs/>
                <w:color w:val="000000"/>
                <w:sz w:val="14"/>
                <w:szCs w:val="14"/>
              </w:rPr>
            </w:pPr>
          </w:p>
        </w:tc>
        <w:tc>
          <w:tcPr>
            <w:tcW w:w="5954" w:type="dxa"/>
            <w:vMerge/>
            <w:vAlign w:val="center"/>
            <w:hideMark/>
          </w:tcPr>
          <w:p w14:paraId="6067C71F" w14:textId="77777777" w:rsidR="000F0341" w:rsidRPr="00BF62A1" w:rsidRDefault="000F0341" w:rsidP="00E40B0D">
            <w:pPr>
              <w:spacing w:line="240" w:lineRule="auto"/>
              <w:jc w:val="center"/>
              <w:rPr>
                <w:b/>
                <w:bCs/>
                <w:color w:val="000000"/>
                <w:sz w:val="14"/>
                <w:szCs w:val="14"/>
              </w:rPr>
            </w:pPr>
          </w:p>
        </w:tc>
        <w:tc>
          <w:tcPr>
            <w:tcW w:w="1276" w:type="dxa"/>
            <w:vAlign w:val="center"/>
          </w:tcPr>
          <w:p w14:paraId="084EE022" w14:textId="77777777" w:rsidR="000F0341" w:rsidRPr="00C47DDC" w:rsidRDefault="000F0341" w:rsidP="00E40B0D">
            <w:pPr>
              <w:spacing w:line="276" w:lineRule="auto"/>
              <w:jc w:val="center"/>
              <w:rPr>
                <w:b/>
                <w:bCs/>
                <w:color w:val="000000"/>
                <w:sz w:val="14"/>
                <w:szCs w:val="14"/>
              </w:rPr>
            </w:pPr>
            <w:r w:rsidRPr="00C47DDC">
              <w:rPr>
                <w:b/>
                <w:bCs/>
                <w:color w:val="000000"/>
                <w:sz w:val="14"/>
                <w:szCs w:val="14"/>
              </w:rPr>
              <w:t xml:space="preserve">ISPOR </w:t>
            </w:r>
            <w:r w:rsidRPr="00C47DDC">
              <w:rPr>
                <w:color w:val="000000"/>
                <w:sz w:val="14"/>
                <w:szCs w:val="14"/>
              </w:rPr>
              <w:t>(Yes/Partially/No/NA)</w:t>
            </w:r>
          </w:p>
        </w:tc>
        <w:tc>
          <w:tcPr>
            <w:tcW w:w="997" w:type="dxa"/>
            <w:vAlign w:val="center"/>
          </w:tcPr>
          <w:p w14:paraId="54F93318" w14:textId="77777777" w:rsidR="000F0341" w:rsidRPr="00C47DDC" w:rsidRDefault="000F0341" w:rsidP="00E40B0D">
            <w:pPr>
              <w:spacing w:line="276" w:lineRule="auto"/>
              <w:jc w:val="center"/>
              <w:rPr>
                <w:b/>
                <w:bCs/>
                <w:color w:val="000000"/>
                <w:sz w:val="14"/>
                <w:szCs w:val="14"/>
              </w:rPr>
            </w:pPr>
            <w:r w:rsidRPr="00C47DDC">
              <w:rPr>
                <w:b/>
                <w:bCs/>
                <w:color w:val="000000"/>
                <w:sz w:val="14"/>
                <w:szCs w:val="14"/>
              </w:rPr>
              <w:t xml:space="preserve">ROBINS-E </w:t>
            </w:r>
            <w:r w:rsidRPr="00C47DDC">
              <w:rPr>
                <w:color w:val="000000"/>
                <w:sz w:val="14"/>
                <w:szCs w:val="14"/>
              </w:rPr>
              <w:t>(Domain 7</w:t>
            </w:r>
            <w:r w:rsidRPr="00C47DDC">
              <w:rPr>
                <w:bCs/>
                <w:sz w:val="14"/>
                <w:szCs w:val="14"/>
              </w:rPr>
              <w:t>†</w:t>
            </w:r>
            <w:r w:rsidRPr="00C47DDC">
              <w:rPr>
                <w:color w:val="000000"/>
                <w:sz w:val="14"/>
                <w:szCs w:val="14"/>
              </w:rPr>
              <w:t>)</w:t>
            </w:r>
          </w:p>
        </w:tc>
      </w:tr>
      <w:tr w:rsidR="000F0341" w:rsidRPr="00BF62A1" w14:paraId="78EF1A8E" w14:textId="77777777" w:rsidTr="00E40B0D">
        <w:trPr>
          <w:trHeight w:val="340"/>
        </w:trPr>
        <w:tc>
          <w:tcPr>
            <w:tcW w:w="9356" w:type="dxa"/>
            <w:gridSpan w:val="4"/>
            <w:vAlign w:val="center"/>
          </w:tcPr>
          <w:p w14:paraId="22AD99B9" w14:textId="77777777" w:rsidR="000F0341" w:rsidRPr="00C47DDC" w:rsidRDefault="000F0341" w:rsidP="00E40B0D">
            <w:pPr>
              <w:spacing w:line="276" w:lineRule="auto"/>
              <w:jc w:val="center"/>
              <w:rPr>
                <w:b/>
                <w:bCs/>
                <w:color w:val="000000"/>
                <w:sz w:val="14"/>
                <w:szCs w:val="14"/>
              </w:rPr>
            </w:pPr>
            <w:r w:rsidRPr="00C47DDC">
              <w:rPr>
                <w:b/>
                <w:bCs/>
                <w:color w:val="000000"/>
                <w:sz w:val="14"/>
                <w:szCs w:val="14"/>
              </w:rPr>
              <w:t>Anatomical resections</w:t>
            </w:r>
          </w:p>
        </w:tc>
      </w:tr>
      <w:tr w:rsidR="000F0341" w:rsidRPr="00BF62A1" w14:paraId="6D9D6620" w14:textId="77777777" w:rsidTr="00E40B0D">
        <w:trPr>
          <w:trHeight w:val="20"/>
        </w:trPr>
        <w:tc>
          <w:tcPr>
            <w:tcW w:w="9356" w:type="dxa"/>
            <w:gridSpan w:val="4"/>
            <w:vAlign w:val="center"/>
          </w:tcPr>
          <w:p w14:paraId="07DABD50" w14:textId="77777777" w:rsidR="000F0341" w:rsidRPr="00D63E7B" w:rsidRDefault="000F0341" w:rsidP="00E40B0D">
            <w:pPr>
              <w:spacing w:line="276" w:lineRule="auto"/>
              <w:jc w:val="center"/>
              <w:rPr>
                <w:b/>
                <w:bCs/>
                <w:color w:val="000000"/>
                <w:sz w:val="14"/>
                <w:szCs w:val="14"/>
              </w:rPr>
            </w:pPr>
            <w:r>
              <w:rPr>
                <w:color w:val="000000"/>
                <w:sz w:val="14"/>
                <w:szCs w:val="14"/>
              </w:rPr>
              <w:t>None</w:t>
            </w:r>
          </w:p>
        </w:tc>
      </w:tr>
      <w:tr w:rsidR="000F0341" w:rsidRPr="00BF62A1" w14:paraId="6FA63A01" w14:textId="77777777" w:rsidTr="00E40B0D">
        <w:trPr>
          <w:trHeight w:val="340"/>
        </w:trPr>
        <w:tc>
          <w:tcPr>
            <w:tcW w:w="9356" w:type="dxa"/>
            <w:gridSpan w:val="4"/>
            <w:vAlign w:val="center"/>
          </w:tcPr>
          <w:p w14:paraId="4A63BF14" w14:textId="77777777" w:rsidR="000F0341" w:rsidRPr="00C47DDC" w:rsidRDefault="000F0341" w:rsidP="00E40B0D">
            <w:pPr>
              <w:spacing w:line="276" w:lineRule="auto"/>
              <w:jc w:val="center"/>
              <w:rPr>
                <w:b/>
                <w:bCs/>
                <w:color w:val="000000"/>
                <w:sz w:val="14"/>
                <w:szCs w:val="14"/>
              </w:rPr>
            </w:pPr>
            <w:r w:rsidRPr="00C47DDC">
              <w:rPr>
                <w:b/>
                <w:bCs/>
                <w:color w:val="000000"/>
                <w:sz w:val="14"/>
                <w:szCs w:val="14"/>
              </w:rPr>
              <w:t>Anatomical and non-anatomical resections separately</w:t>
            </w:r>
          </w:p>
        </w:tc>
      </w:tr>
      <w:tr w:rsidR="000F0341" w:rsidRPr="00BF62A1" w14:paraId="092B184A" w14:textId="77777777" w:rsidTr="00E40B0D">
        <w:trPr>
          <w:trHeight w:val="20"/>
        </w:trPr>
        <w:tc>
          <w:tcPr>
            <w:tcW w:w="9356" w:type="dxa"/>
            <w:gridSpan w:val="4"/>
            <w:vAlign w:val="center"/>
          </w:tcPr>
          <w:p w14:paraId="570C2D1A" w14:textId="77777777" w:rsidR="000F0341" w:rsidRPr="00C47DDC" w:rsidRDefault="000F0341" w:rsidP="00E40B0D">
            <w:pPr>
              <w:spacing w:line="276" w:lineRule="auto"/>
              <w:jc w:val="center"/>
              <w:rPr>
                <w:color w:val="000000"/>
                <w:sz w:val="14"/>
                <w:szCs w:val="14"/>
              </w:rPr>
            </w:pPr>
            <w:r>
              <w:rPr>
                <w:color w:val="000000"/>
                <w:sz w:val="14"/>
                <w:szCs w:val="14"/>
              </w:rPr>
              <w:t>None</w:t>
            </w:r>
          </w:p>
        </w:tc>
      </w:tr>
      <w:tr w:rsidR="000F0341" w:rsidRPr="00BF62A1" w14:paraId="650F8330" w14:textId="77777777" w:rsidTr="00E40B0D">
        <w:trPr>
          <w:trHeight w:val="340"/>
        </w:trPr>
        <w:tc>
          <w:tcPr>
            <w:tcW w:w="9356" w:type="dxa"/>
            <w:gridSpan w:val="4"/>
            <w:vAlign w:val="center"/>
          </w:tcPr>
          <w:p w14:paraId="554F7A31" w14:textId="77777777" w:rsidR="000F0341" w:rsidRPr="00C47DDC" w:rsidRDefault="000F0341" w:rsidP="00E40B0D">
            <w:pPr>
              <w:spacing w:line="276" w:lineRule="auto"/>
              <w:jc w:val="center"/>
              <w:rPr>
                <w:b/>
                <w:bCs/>
                <w:color w:val="000000"/>
                <w:sz w:val="14"/>
                <w:szCs w:val="14"/>
              </w:rPr>
            </w:pPr>
            <w:r w:rsidRPr="00C47DDC">
              <w:rPr>
                <w:b/>
                <w:bCs/>
                <w:color w:val="000000"/>
                <w:sz w:val="14"/>
                <w:szCs w:val="14"/>
              </w:rPr>
              <w:t>Anatomical and non-anatomical resections combined</w:t>
            </w:r>
          </w:p>
        </w:tc>
      </w:tr>
      <w:tr w:rsidR="000F0341" w:rsidRPr="00BF62A1" w14:paraId="3C7D7223" w14:textId="77777777" w:rsidTr="00E40B0D">
        <w:trPr>
          <w:trHeight w:val="20"/>
        </w:trPr>
        <w:tc>
          <w:tcPr>
            <w:tcW w:w="1129" w:type="dxa"/>
            <w:vAlign w:val="center"/>
            <w:hideMark/>
          </w:tcPr>
          <w:p w14:paraId="1F28BD07" w14:textId="66176AEF" w:rsidR="000F0341" w:rsidRPr="00C47DDC" w:rsidRDefault="000F0341" w:rsidP="00E40B0D">
            <w:pPr>
              <w:spacing w:line="240" w:lineRule="auto"/>
              <w:jc w:val="left"/>
              <w:rPr>
                <w:color w:val="000000" w:themeColor="text1"/>
                <w:sz w:val="14"/>
                <w:szCs w:val="14"/>
              </w:rPr>
            </w:pPr>
            <w:r w:rsidRPr="00C47DDC">
              <w:rPr>
                <w:color w:val="000000" w:themeColor="text1"/>
                <w:sz w:val="14"/>
                <w:szCs w:val="14"/>
              </w:rPr>
              <w:t xml:space="preserve">Beal 2019 </w:t>
            </w:r>
            <w:r w:rsidRPr="00C47DDC">
              <w:rPr>
                <w:color w:val="000000" w:themeColor="text1"/>
                <w:sz w:val="14"/>
                <w:szCs w:val="14"/>
              </w:rPr>
              <w:fldChar w:fldCharType="begin"/>
            </w:r>
            <w:r>
              <w:rPr>
                <w:color w:val="000000" w:themeColor="text1"/>
                <w:sz w:val="14"/>
                <w:szCs w:val="14"/>
              </w:rPr>
              <w:instrText xml:space="preserve"> ADDIN ZOTERO_ITEM CSL_CITATION {"citationID":"qLgX8FGD","properties":{"formattedCitation":"[87]","plainCitation":"[87]","noteIndex":0},"citationItems":[{"id":14211,"uris":["http://zotero.org/groups/4983919/items/683U76IA"],"itemData":{"id":14211,"type":"article-journal","abstract":"BACKGROUND: Data on the impact of hospital volume and travel distance on patient outcomes after major abdominal surgery remain poorly defined. We sought to characterize the relationship of travel distance, hospital volume, and long-term outcomes of patients undergoing surgical resection of hepatocellular carcinoma (HCC). METHODS: The 2004-2015 National Cancer Database was used to identify patients who underwent resection of HCC. Patients were stratified according to travel distance and hospital volume quartiles, and multivariable regression models were utilized to examine the impact of travel distance, hospital volume, and travel distance/hospital volume on overall survival (OS). RESULTS: Among the 12,266 patients identified, procedures included wedge/segmental resections (N = 7354, 59.9%), hemi-hepatectomy (N = 4003, 32.6%), and extended hepatectomy (N = 909, 7.5%). Stratifying data into quartiles, travel distance to surgical care was ≤ 5.7 miles (mi), &gt; 5.7-14.2 mi, &gt; 14.2-44.4 mi, and ≥ 44.4 mi, while hospital volume quartiles determined on the hospital level were ≤ 1 case per year, 1.1-4, 4.1-12.5, and ≥ 12.5. On multivariable analysis, increased hospital volume was associated with decreased hazard of mortality (HR 0.69, 95% CI 0.45-0.82, p &lt; 0.001). Travel distance was not significantly associated with hazard of mortality. Furthermore, only hospital volume was associated with mortality (HR 0.67, 95% CI 0.56-0.80, p &lt; 0.001) after controlling for both travel distance and hospital volume. CONCLUSIONS: Only hospital volume was associated with increased hazard of mortality. The benefits of undergoing resection for HCC at a high-volume hospital appear to outweigh the inconvenience of longer travel distances.","container-title":"J Gastrointest Surg","DOI":"10.1007/s11605-019-04233-w","ISSN":"1091-255x","issue":"7","language":"eng","note":"publisher-place: Department of Surgery, Division of Surgical Oncology, The Ohio State University Wexner Medical Center, 395 W. 12th Ave., Suite 670, Columbus, OH, USA. Department of Surgery, Division of Surgical Oncology, The Ohio State University Wexner Medical Center, 395 W. 12th Ave., Suite 670, Columbus, OH, USA. tim.pawlik@osumc.edu.","page":"1425-1434","title":"Outcomes After Resection of Hepatocellular Carcinoma: Intersection of Travel Distance and Hospital Volume","volume":"23","author":[{"family":"Beal","given":"E. W."},{"family":"Mehta","given":"R."},{"family":"Merath","given":"K."},{"family":"Tsilimigras","given":"D. I."},{"family":"Hyer","given":"J. M."},{"family":"Paredes","given":"A."},{"family":"Dillhoff","given":"M. E."},{"family":"Cloyd","given":"J."},{"family":"Ejaz","given":"A."},{"family":"Pawlik","given":"T. M."}],"issued":{"date-parts":[["2019",7]]}}}],"schema":"https://github.com/citation-style-language/schema/raw/master/csl-citation.json"} </w:instrText>
            </w:r>
            <w:r w:rsidRPr="00C47DDC">
              <w:rPr>
                <w:color w:val="000000" w:themeColor="text1"/>
                <w:sz w:val="14"/>
                <w:szCs w:val="14"/>
              </w:rPr>
              <w:fldChar w:fldCharType="separate"/>
            </w:r>
            <w:r w:rsidRPr="004125CE">
              <w:rPr>
                <w:sz w:val="14"/>
              </w:rPr>
              <w:t>[</w:t>
            </w:r>
            <w:r w:rsidR="00D03F0D">
              <w:rPr>
                <w:sz w:val="14"/>
              </w:rPr>
              <w:t>78</w:t>
            </w:r>
            <w:r w:rsidRPr="004125CE">
              <w:rPr>
                <w:sz w:val="14"/>
              </w:rPr>
              <w:t>]</w:t>
            </w:r>
            <w:r w:rsidRPr="00C47DDC">
              <w:rPr>
                <w:color w:val="000000" w:themeColor="text1"/>
                <w:sz w:val="14"/>
                <w:szCs w:val="14"/>
              </w:rPr>
              <w:fldChar w:fldCharType="end"/>
            </w:r>
          </w:p>
        </w:tc>
        <w:tc>
          <w:tcPr>
            <w:tcW w:w="5954" w:type="dxa"/>
            <w:vAlign w:val="center"/>
            <w:hideMark/>
          </w:tcPr>
          <w:p w14:paraId="78E8814B" w14:textId="77777777" w:rsidR="000F0341" w:rsidRPr="00C47DDC" w:rsidRDefault="000F0341" w:rsidP="00E40B0D">
            <w:pPr>
              <w:spacing w:line="240" w:lineRule="auto"/>
              <w:jc w:val="left"/>
              <w:rPr>
                <w:color w:val="000000" w:themeColor="text1"/>
                <w:sz w:val="14"/>
                <w:szCs w:val="14"/>
              </w:rPr>
            </w:pPr>
            <w:r w:rsidRPr="00C47DDC">
              <w:rPr>
                <w:b/>
                <w:bCs/>
                <w:color w:val="000000" w:themeColor="text1"/>
                <w:sz w:val="14"/>
                <w:szCs w:val="14"/>
              </w:rPr>
              <w:t>OS:</w:t>
            </w:r>
            <w:r w:rsidRPr="00C47DDC">
              <w:rPr>
                <w:color w:val="000000" w:themeColor="text1"/>
                <w:sz w:val="14"/>
                <w:szCs w:val="14"/>
              </w:rPr>
              <w:t xml:space="preserve"> (median): Q1 (lowest): 30.4; Q2: median 31.84; Q3: median 37.65; Q4: median 51.7*|</w:t>
            </w:r>
          </w:p>
        </w:tc>
        <w:tc>
          <w:tcPr>
            <w:tcW w:w="1276" w:type="dxa"/>
            <w:vAlign w:val="center"/>
          </w:tcPr>
          <w:p w14:paraId="0AB50C97" w14:textId="77777777" w:rsidR="000F0341" w:rsidRPr="00C47DDC" w:rsidRDefault="000F0341" w:rsidP="00E40B0D">
            <w:pPr>
              <w:spacing w:line="276" w:lineRule="auto"/>
              <w:jc w:val="left"/>
              <w:rPr>
                <w:color w:val="000000" w:themeColor="text1"/>
                <w:sz w:val="14"/>
                <w:szCs w:val="14"/>
              </w:rPr>
            </w:pPr>
            <w:r w:rsidRPr="00C47DDC">
              <w:rPr>
                <w:color w:val="000000" w:themeColor="text1"/>
                <w:sz w:val="14"/>
                <w:szCs w:val="14"/>
              </w:rPr>
              <w:t>11/0/10/6</w:t>
            </w:r>
          </w:p>
        </w:tc>
        <w:tc>
          <w:tcPr>
            <w:tcW w:w="997" w:type="dxa"/>
            <w:vAlign w:val="center"/>
          </w:tcPr>
          <w:p w14:paraId="5EB0B786" w14:textId="77777777" w:rsidR="000F0341" w:rsidRPr="00C47DDC" w:rsidRDefault="000F0341" w:rsidP="00E40B0D">
            <w:pPr>
              <w:spacing w:line="276" w:lineRule="auto"/>
              <w:jc w:val="left"/>
              <w:rPr>
                <w:color w:val="000000" w:themeColor="text1"/>
                <w:sz w:val="14"/>
                <w:szCs w:val="14"/>
              </w:rPr>
            </w:pPr>
            <w:r w:rsidRPr="00C47DDC">
              <w:rPr>
                <w:color w:val="000000"/>
                <w:sz w:val="14"/>
                <w:szCs w:val="14"/>
              </w:rPr>
              <w:t>High Risk</w:t>
            </w:r>
          </w:p>
        </w:tc>
      </w:tr>
      <w:tr w:rsidR="000F0341" w:rsidRPr="00BF62A1" w14:paraId="7A4A5F5F" w14:textId="77777777" w:rsidTr="00E40B0D">
        <w:trPr>
          <w:trHeight w:val="20"/>
        </w:trPr>
        <w:tc>
          <w:tcPr>
            <w:tcW w:w="1129" w:type="dxa"/>
            <w:vAlign w:val="center"/>
          </w:tcPr>
          <w:p w14:paraId="3390761E" w14:textId="77777777" w:rsidR="000F0341" w:rsidRPr="00C47DDC" w:rsidRDefault="000F0341" w:rsidP="00E40B0D">
            <w:pPr>
              <w:spacing w:line="240" w:lineRule="auto"/>
              <w:jc w:val="left"/>
              <w:rPr>
                <w:color w:val="000000"/>
                <w:sz w:val="14"/>
                <w:szCs w:val="14"/>
              </w:rPr>
            </w:pPr>
            <w:r w:rsidRPr="00C47DDC">
              <w:rPr>
                <w:color w:val="000000"/>
                <w:sz w:val="14"/>
                <w:szCs w:val="14"/>
              </w:rPr>
              <w:t xml:space="preserve">Siegel 2021 </w:t>
            </w:r>
            <w:r w:rsidRPr="00C47DDC">
              <w:rPr>
                <w:color w:val="000000"/>
                <w:sz w:val="14"/>
                <w:szCs w:val="14"/>
              </w:rPr>
              <w:fldChar w:fldCharType="begin"/>
            </w:r>
            <w:r>
              <w:rPr>
                <w:color w:val="000000"/>
                <w:sz w:val="14"/>
                <w:szCs w:val="14"/>
              </w:rPr>
              <w:instrText xml:space="preserve"> ADDIN ZOTERO_ITEM CSL_CITATION {"citationID":"71f1Ymjr","properties":{"formattedCitation":"[68]","plainCitation":"[68]","noteIndex":0},"citationItems":[{"id":14337,"uris":["http://zotero.org/groups/4983919/items/ALX4CSRJ"],"itemData":{"id":14337,"type":"article-journal","abstract":"BACKGROUND: Our objective was to assess the relationship between overall survival (OS) and distance travelled to the treating facility for patients undergoing liver resection for hepatocellular carcinoma and to determine whether this relationship was dependent upon the structural factors of the treating facility. METHODS: Using National Cancer Database, we focused on extremes of travel: Local (&lt;12.5 miles to treating facility) and Travel (≥50 miles). We analyzed OS with Cox models; we estimated stratified models to assess interaction between distance and facility characteristics (volume, academic status). RESULTS: We included 6860 patients. After correction for confounding, distance travelled was not associated with OS (p = 0.444). However, Travel patients treated at high-volume, academic centers had worse OS compared to Local patients (HR 1.54, 95%CI 1.07-2.21); this association was not seen for patients treated at low volume, academic centers (p = 0.708) high volume non-academic centers (p = 0.174) or low volume non-academic centers (p = 515). CONCLUSION: For those patients treated at high-volume, academic centers, living far from the facility was associated with worse OS. The reasons for this association should be investigated further.","container-title":"Am J Surg","DOI":"10.1016/j.amjsurg.2020.12.052","ISSN":"0002-9610","issue":"3","language":"eng","page":"584-593","title":"Travel distance and overall survival in hepatocellular cancer care","volume":"222","author":[{"family":"Siegel","given":"J. B."},{"family":"Allen","given":"S."},{"family":"Engelhardt","given":"K. E."},{"family":"Morgan","given":"K. A."},{"family":"Lancaster","given":"W. P."}],"issued":{"date-parts":[["2021",9]]}}}],"schema":"https://github.com/citation-style-language/schema/raw/master/csl-citation.json"} </w:instrText>
            </w:r>
            <w:r w:rsidRPr="00C47DDC">
              <w:rPr>
                <w:color w:val="000000"/>
                <w:sz w:val="14"/>
                <w:szCs w:val="14"/>
              </w:rPr>
              <w:fldChar w:fldCharType="separate"/>
            </w:r>
            <w:r w:rsidRPr="004125CE">
              <w:rPr>
                <w:sz w:val="14"/>
              </w:rPr>
              <w:t>[68]</w:t>
            </w:r>
            <w:r w:rsidRPr="00C47DDC">
              <w:rPr>
                <w:color w:val="000000"/>
                <w:sz w:val="14"/>
                <w:szCs w:val="14"/>
              </w:rPr>
              <w:fldChar w:fldCharType="end"/>
            </w:r>
          </w:p>
        </w:tc>
        <w:tc>
          <w:tcPr>
            <w:tcW w:w="5954" w:type="dxa"/>
            <w:vAlign w:val="center"/>
          </w:tcPr>
          <w:p w14:paraId="481028BA" w14:textId="77777777" w:rsidR="000F0341" w:rsidRPr="00C47DDC" w:rsidRDefault="000F0341" w:rsidP="00E40B0D">
            <w:pPr>
              <w:spacing w:line="240" w:lineRule="auto"/>
              <w:jc w:val="left"/>
              <w:rPr>
                <w:color w:val="000000"/>
                <w:sz w:val="14"/>
                <w:szCs w:val="14"/>
              </w:rPr>
            </w:pPr>
            <w:r w:rsidRPr="00C47DDC">
              <w:rPr>
                <w:b/>
                <w:bCs/>
                <w:color w:val="000000"/>
                <w:sz w:val="14"/>
                <w:szCs w:val="14"/>
              </w:rPr>
              <w:t>OS: (HR):</w:t>
            </w:r>
            <w:r w:rsidRPr="00C47DDC">
              <w:rPr>
                <w:color w:val="000000"/>
                <w:sz w:val="14"/>
                <w:szCs w:val="14"/>
              </w:rPr>
              <w:t xml:space="preserve"> </w:t>
            </w:r>
            <w:r w:rsidRPr="00C47DDC">
              <w:rPr>
                <w:color w:val="000000"/>
                <w:sz w:val="14"/>
                <w:szCs w:val="14"/>
                <w:u w:val="single"/>
              </w:rPr>
              <w:t>High</w:t>
            </w:r>
            <w:r w:rsidRPr="00C47DDC">
              <w:rPr>
                <w:color w:val="000000"/>
                <w:sz w:val="14"/>
                <w:szCs w:val="14"/>
              </w:rPr>
              <w:t xml:space="preserve"> vs. Low: 0.74</w:t>
            </w:r>
            <w:r w:rsidRPr="00C47DDC">
              <w:rPr>
                <w:sz w:val="14"/>
                <w:szCs w:val="14"/>
                <w:vertAlign w:val="superscript"/>
              </w:rPr>
              <w:t>b</w:t>
            </w:r>
            <w:r w:rsidRPr="00C47DDC">
              <w:rPr>
                <w:color w:val="000000"/>
                <w:sz w:val="14"/>
                <w:szCs w:val="14"/>
              </w:rPr>
              <w:t xml:space="preserve"> [0.64-0.87]***|</w:t>
            </w:r>
            <w:r w:rsidRPr="00C47DDC">
              <w:rPr>
                <w:color w:val="000000"/>
                <w:sz w:val="14"/>
                <w:szCs w:val="14"/>
              </w:rPr>
              <w:br/>
            </w:r>
            <w:r w:rsidRPr="00C47DDC">
              <w:rPr>
                <w:b/>
                <w:bCs/>
                <w:color w:val="000000"/>
                <w:sz w:val="14"/>
                <w:szCs w:val="14"/>
              </w:rPr>
              <w:t>(excluding 30-day):</w:t>
            </w:r>
            <w:r w:rsidRPr="00C47DDC">
              <w:rPr>
                <w:color w:val="000000"/>
                <w:sz w:val="14"/>
                <w:szCs w:val="14"/>
              </w:rPr>
              <w:t xml:space="preserve"> </w:t>
            </w:r>
            <w:r w:rsidRPr="00C47DDC">
              <w:rPr>
                <w:color w:val="000000"/>
                <w:sz w:val="14"/>
                <w:szCs w:val="14"/>
                <w:u w:val="single"/>
              </w:rPr>
              <w:t>High</w:t>
            </w:r>
            <w:r w:rsidRPr="00C47DDC">
              <w:rPr>
                <w:color w:val="000000"/>
                <w:sz w:val="14"/>
                <w:szCs w:val="14"/>
              </w:rPr>
              <w:t xml:space="preserve"> vs. Low: 0.76</w:t>
            </w:r>
            <w:r w:rsidRPr="00C47DDC">
              <w:rPr>
                <w:sz w:val="14"/>
                <w:szCs w:val="14"/>
                <w:vertAlign w:val="superscript"/>
              </w:rPr>
              <w:t>b</w:t>
            </w:r>
            <w:r w:rsidRPr="00C47DDC">
              <w:rPr>
                <w:color w:val="000000"/>
                <w:sz w:val="14"/>
                <w:szCs w:val="14"/>
              </w:rPr>
              <w:t xml:space="preserve"> [0.65-0.89]***|</w:t>
            </w:r>
            <w:r w:rsidRPr="00C47DDC">
              <w:rPr>
                <w:color w:val="000000"/>
                <w:sz w:val="14"/>
                <w:szCs w:val="14"/>
              </w:rPr>
              <w:br/>
            </w:r>
            <w:r w:rsidRPr="00C47DDC">
              <w:rPr>
                <w:b/>
                <w:bCs/>
                <w:color w:val="000000"/>
                <w:sz w:val="14"/>
                <w:szCs w:val="14"/>
              </w:rPr>
              <w:t>(excluding 90-day):</w:t>
            </w:r>
            <w:r w:rsidRPr="00C47DDC">
              <w:rPr>
                <w:color w:val="000000"/>
                <w:sz w:val="14"/>
                <w:szCs w:val="14"/>
              </w:rPr>
              <w:t xml:space="preserve"> </w:t>
            </w:r>
            <w:r w:rsidRPr="00C47DDC">
              <w:rPr>
                <w:color w:val="000000"/>
                <w:sz w:val="14"/>
                <w:szCs w:val="14"/>
                <w:u w:val="single"/>
              </w:rPr>
              <w:t>High</w:t>
            </w:r>
            <w:r w:rsidRPr="00C47DDC">
              <w:rPr>
                <w:color w:val="000000"/>
                <w:sz w:val="14"/>
                <w:szCs w:val="14"/>
              </w:rPr>
              <w:t xml:space="preserve"> vs. Low: 0.75</w:t>
            </w:r>
            <w:r w:rsidRPr="00C47DDC">
              <w:rPr>
                <w:sz w:val="14"/>
                <w:szCs w:val="14"/>
                <w:vertAlign w:val="superscript"/>
              </w:rPr>
              <w:t>b</w:t>
            </w:r>
            <w:r w:rsidRPr="00C47DDC">
              <w:rPr>
                <w:color w:val="000000"/>
                <w:sz w:val="14"/>
                <w:szCs w:val="14"/>
              </w:rPr>
              <w:t xml:space="preserve"> [0.64-0.88]***</w:t>
            </w:r>
          </w:p>
        </w:tc>
        <w:tc>
          <w:tcPr>
            <w:tcW w:w="1276" w:type="dxa"/>
            <w:vAlign w:val="center"/>
          </w:tcPr>
          <w:p w14:paraId="2EF73A84" w14:textId="77777777" w:rsidR="000F0341" w:rsidRPr="00C47DDC" w:rsidRDefault="000F0341" w:rsidP="00E40B0D">
            <w:pPr>
              <w:spacing w:line="276" w:lineRule="auto"/>
              <w:jc w:val="left"/>
              <w:rPr>
                <w:color w:val="000000"/>
                <w:sz w:val="14"/>
                <w:szCs w:val="14"/>
              </w:rPr>
            </w:pPr>
            <w:r w:rsidRPr="00C47DDC">
              <w:rPr>
                <w:color w:val="000000"/>
                <w:sz w:val="14"/>
                <w:szCs w:val="14"/>
              </w:rPr>
              <w:t>9/3/9/6</w:t>
            </w:r>
          </w:p>
        </w:tc>
        <w:tc>
          <w:tcPr>
            <w:tcW w:w="997" w:type="dxa"/>
            <w:vAlign w:val="center"/>
          </w:tcPr>
          <w:p w14:paraId="5D8CB6B6" w14:textId="77777777" w:rsidR="000F0341" w:rsidRPr="00C47DDC" w:rsidRDefault="000F0341" w:rsidP="00E40B0D">
            <w:pPr>
              <w:spacing w:line="276" w:lineRule="auto"/>
              <w:jc w:val="left"/>
              <w:rPr>
                <w:color w:val="000000"/>
                <w:sz w:val="14"/>
                <w:szCs w:val="14"/>
              </w:rPr>
            </w:pPr>
            <w:r w:rsidRPr="00C47DDC">
              <w:rPr>
                <w:color w:val="000000"/>
                <w:sz w:val="14"/>
                <w:szCs w:val="14"/>
              </w:rPr>
              <w:t>High Risk</w:t>
            </w:r>
          </w:p>
        </w:tc>
      </w:tr>
      <w:tr w:rsidR="000F0341" w:rsidRPr="00BF62A1" w14:paraId="0D45CD19" w14:textId="77777777" w:rsidTr="00E40B0D">
        <w:trPr>
          <w:trHeight w:val="751"/>
        </w:trPr>
        <w:tc>
          <w:tcPr>
            <w:tcW w:w="1129" w:type="dxa"/>
            <w:vAlign w:val="center"/>
            <w:hideMark/>
          </w:tcPr>
          <w:p w14:paraId="1239B800" w14:textId="17FBA3C9" w:rsidR="000F0341" w:rsidRPr="00C47DDC" w:rsidRDefault="000F0341" w:rsidP="00E40B0D">
            <w:pPr>
              <w:spacing w:line="240" w:lineRule="auto"/>
              <w:jc w:val="left"/>
              <w:rPr>
                <w:color w:val="000000"/>
                <w:sz w:val="14"/>
                <w:szCs w:val="14"/>
              </w:rPr>
            </w:pPr>
            <w:r w:rsidRPr="00C47DDC">
              <w:rPr>
                <w:color w:val="000000"/>
                <w:sz w:val="14"/>
                <w:szCs w:val="14"/>
              </w:rPr>
              <w:t xml:space="preserve">Chiu 2015 </w:t>
            </w:r>
            <w:r w:rsidRPr="00C47DDC">
              <w:rPr>
                <w:color w:val="000000"/>
                <w:sz w:val="14"/>
                <w:szCs w:val="14"/>
              </w:rPr>
              <w:fldChar w:fldCharType="begin"/>
            </w:r>
            <w:r>
              <w:rPr>
                <w:color w:val="000000"/>
                <w:sz w:val="14"/>
                <w:szCs w:val="14"/>
              </w:rPr>
              <w:instrText xml:space="preserve"> ADDIN ZOTERO_ITEM CSL_CITATION {"citationID":"Dt4XYpPo","properties":{"formattedCitation":"[88]","plainCitation":"[88]","noteIndex":0},"citationItems":[{"id":14354,"uris":["http://zotero.org/groups/4983919/items/85AI84VG"],"itemData":{"id":14354,"type":"article-journal","abstract":"BACKGROUND: Despite the huge and growing global burden of hepatocellular carcinoma (HCC), high-quality population-based studies of HCC prevalence and outcomes are scarce. PURPOSE: To analyze trends and predictors of hospital resource utilization and mortality rates in a population of patients who had received HCC surgery. PATIENTS AND MATERIALS: This population-based patient cohort study retrospectively analyzed 23,107 patients who had received surgical treatment for HCC from 1998 to 2009. RESULTS: The prevalence rate of surgical treatment in HCC patients significantly increased by 167.4% from 4.857 per 100,000 persons in 1998 to 12.989 per 100,000 persons in 2009 (P &lt; 0.001). Age, gender, Deyo-Charlson co-morbidity index score, hospital volume, surgeon volume, digestive system disease, hepatitis type and liver cirrhosis were significantly associated with HCC surgical outcomes (P &lt; 0.05). Over the 12-year period analyzed, the estimated mean hospital treatment cost increased 9.4% whereas mean length of stay (LOS) decreased 25.3%. The estimated mean overall survival time after HCC surgery was 40.9 months (SD 1.2 months), and the overall in-hospital 1-, 3-, and 5-year survival rates were 97.2%, 79.9%, 61.1%, and 54.6%, respectively. CONCLUSIONS: These population-based data reveal that the prevalence of HCC has increased, especially in older patients. Additionally, hospital treatment costs for HCC have increased despite decreases in LOS. These analytical results should be applicable to most countries with relatively small populations. Additionally, healthcare providers and patients should recognize that attributes of both the patient and the hospital may affect outcomes.","container-title":"Eur J Surg Oncol","DOI":"10.1016/j.ejso.2015.04.023","ISSN":"0748-7983","issue":"9","language":"eng","page":"1170-8","title":"Trends and predictors of outcomes after surgery for hepatocellular carcinoma: A nationwide population-based study in Taiwan","volume":"41","author":[{"family":"Chiu","given":"C. C."},{"family":"Wang","given":"J. J."},{"family":"Chen","given":"Y. S."},{"family":"Chen","given":"J. J."},{"family":"Tsai","given":"T. C."},{"family":"Lai","given":"C. C."},{"family":"Sun","given":"D. P."},{"family":"Shi","given":"H. Y."}],"issued":{"date-parts":[["2015",9]]}}}],"schema":"https://github.com/citation-style-language/schema/raw/master/csl-citation.json"} </w:instrText>
            </w:r>
            <w:r w:rsidRPr="00C47DDC">
              <w:rPr>
                <w:color w:val="000000"/>
                <w:sz w:val="14"/>
                <w:szCs w:val="14"/>
              </w:rPr>
              <w:fldChar w:fldCharType="separate"/>
            </w:r>
            <w:r w:rsidRPr="004125CE">
              <w:rPr>
                <w:sz w:val="14"/>
              </w:rPr>
              <w:t>[</w:t>
            </w:r>
            <w:r w:rsidR="00D03F0D">
              <w:rPr>
                <w:sz w:val="14"/>
              </w:rPr>
              <w:t>52</w:t>
            </w:r>
            <w:r w:rsidRPr="004125CE">
              <w:rPr>
                <w:sz w:val="14"/>
              </w:rPr>
              <w:t>]</w:t>
            </w:r>
            <w:r w:rsidRPr="00C47DDC">
              <w:rPr>
                <w:color w:val="000000"/>
                <w:sz w:val="14"/>
                <w:szCs w:val="14"/>
              </w:rPr>
              <w:fldChar w:fldCharType="end"/>
            </w:r>
            <w:r w:rsidRPr="00C47DDC">
              <w:rPr>
                <w:color w:val="000000"/>
                <w:sz w:val="14"/>
                <w:szCs w:val="14"/>
              </w:rPr>
              <w:t xml:space="preserve"> </w:t>
            </w:r>
          </w:p>
        </w:tc>
        <w:tc>
          <w:tcPr>
            <w:tcW w:w="5954" w:type="dxa"/>
            <w:vAlign w:val="center"/>
            <w:hideMark/>
          </w:tcPr>
          <w:p w14:paraId="4B548E79" w14:textId="77777777" w:rsidR="000F0341" w:rsidRPr="00C47DDC" w:rsidRDefault="000F0341" w:rsidP="00E40B0D">
            <w:pPr>
              <w:spacing w:line="240" w:lineRule="auto"/>
              <w:jc w:val="left"/>
              <w:rPr>
                <w:color w:val="000000"/>
                <w:sz w:val="14"/>
                <w:szCs w:val="14"/>
              </w:rPr>
            </w:pPr>
            <w:r>
              <w:rPr>
                <w:b/>
                <w:bCs/>
                <w:color w:val="000000"/>
                <w:sz w:val="14"/>
                <w:szCs w:val="14"/>
              </w:rPr>
              <w:t xml:space="preserve">Mortality: </w:t>
            </w:r>
            <w:r w:rsidRPr="00C47DDC">
              <w:rPr>
                <w:b/>
                <w:bCs/>
                <w:color w:val="000000"/>
                <w:sz w:val="14"/>
                <w:szCs w:val="14"/>
              </w:rPr>
              <w:t>(5-years):</w:t>
            </w:r>
            <w:r w:rsidRPr="00C47DDC">
              <w:rPr>
                <w:color w:val="000000"/>
                <w:sz w:val="14"/>
                <w:szCs w:val="14"/>
              </w:rPr>
              <w:t xml:space="preserve"> </w:t>
            </w:r>
            <w:r w:rsidRPr="00C47DDC">
              <w:rPr>
                <w:color w:val="000000"/>
                <w:sz w:val="14"/>
                <w:szCs w:val="14"/>
                <w:u w:val="single"/>
              </w:rPr>
              <w:t>Low</w:t>
            </w:r>
            <w:r w:rsidRPr="00C47DDC">
              <w:rPr>
                <w:color w:val="000000"/>
                <w:sz w:val="14"/>
                <w:szCs w:val="14"/>
              </w:rPr>
              <w:t xml:space="preserve"> vs. High: 0.91</w:t>
            </w:r>
            <w:r w:rsidRPr="00C47DDC">
              <w:rPr>
                <w:color w:val="000000"/>
                <w:sz w:val="14"/>
                <w:szCs w:val="14"/>
                <w:vertAlign w:val="superscript"/>
              </w:rPr>
              <w:t>b</w:t>
            </w:r>
            <w:r w:rsidRPr="00C47DDC">
              <w:rPr>
                <w:color w:val="000000"/>
                <w:sz w:val="14"/>
                <w:szCs w:val="14"/>
              </w:rPr>
              <w:t xml:space="preserve"> [0.873-0.970]**|</w:t>
            </w:r>
            <w:r w:rsidRPr="00C47DDC">
              <w:rPr>
                <w:color w:val="000000"/>
                <w:sz w:val="14"/>
                <w:szCs w:val="14"/>
              </w:rPr>
              <w:br/>
            </w:r>
            <w:r w:rsidRPr="00C47DDC">
              <w:rPr>
                <w:b/>
                <w:bCs/>
                <w:color w:val="000000"/>
                <w:sz w:val="14"/>
                <w:szCs w:val="14"/>
              </w:rPr>
              <w:t>5-year mortality</w:t>
            </w:r>
            <w:r w:rsidRPr="00C47DDC">
              <w:rPr>
                <w:b/>
                <w:bCs/>
                <w:color w:val="000000"/>
                <w:sz w:val="14"/>
                <w:szCs w:val="14"/>
                <w:vertAlign w:val="superscript"/>
              </w:rPr>
              <w:t>1</w:t>
            </w:r>
            <w:r w:rsidRPr="00C47DDC">
              <w:rPr>
                <w:b/>
                <w:bCs/>
                <w:color w:val="000000"/>
                <w:sz w:val="14"/>
                <w:szCs w:val="14"/>
              </w:rPr>
              <w:t>:</w:t>
            </w:r>
            <w:r w:rsidRPr="00C47DDC">
              <w:rPr>
                <w:color w:val="000000"/>
                <w:sz w:val="14"/>
                <w:szCs w:val="14"/>
              </w:rPr>
              <w:t xml:space="preserve"> Low: 41.7</w:t>
            </w:r>
            <w:r w:rsidRPr="00C47DDC">
              <w:rPr>
                <w:sz w:val="14"/>
                <w:szCs w:val="14"/>
                <w:vertAlign w:val="superscript"/>
              </w:rPr>
              <w:t>d</w:t>
            </w:r>
            <w:r w:rsidRPr="00C47DDC">
              <w:rPr>
                <w:color w:val="000000"/>
                <w:sz w:val="14"/>
                <w:szCs w:val="14"/>
              </w:rPr>
              <w:t xml:space="preserve"> ;High: 32.8</w:t>
            </w:r>
            <w:r w:rsidRPr="00C47DDC">
              <w:rPr>
                <w:sz w:val="14"/>
                <w:szCs w:val="14"/>
                <w:vertAlign w:val="superscript"/>
              </w:rPr>
              <w:t>d</w:t>
            </w:r>
            <w:r w:rsidRPr="00C47DDC">
              <w:rPr>
                <w:color w:val="000000"/>
                <w:sz w:val="14"/>
                <w:szCs w:val="14"/>
              </w:rPr>
              <w:t xml:space="preserve"> ***| </w:t>
            </w:r>
            <w:r w:rsidRPr="00C47DDC">
              <w:rPr>
                <w:color w:val="000000"/>
                <w:sz w:val="14"/>
                <w:szCs w:val="14"/>
              </w:rPr>
              <w:br/>
            </w:r>
            <w:r w:rsidRPr="00C47DDC">
              <w:rPr>
                <w:b/>
                <w:bCs/>
                <w:color w:val="000000"/>
                <w:sz w:val="14"/>
                <w:szCs w:val="14"/>
              </w:rPr>
              <w:t>OS</w:t>
            </w:r>
            <w:r w:rsidRPr="00C47DDC">
              <w:rPr>
                <w:b/>
                <w:bCs/>
                <w:color w:val="000000"/>
                <w:sz w:val="14"/>
                <w:szCs w:val="14"/>
                <w:vertAlign w:val="superscript"/>
              </w:rPr>
              <w:t>1</w:t>
            </w:r>
            <w:r w:rsidRPr="00C47DDC">
              <w:rPr>
                <w:b/>
                <w:bCs/>
                <w:color w:val="000000"/>
                <w:sz w:val="14"/>
                <w:szCs w:val="14"/>
              </w:rPr>
              <w:t>:</w:t>
            </w:r>
            <w:r w:rsidRPr="00C47DDC">
              <w:rPr>
                <w:color w:val="000000"/>
                <w:sz w:val="14"/>
                <w:szCs w:val="14"/>
              </w:rPr>
              <w:t xml:space="preserve"> (months): Low: 68.6</w:t>
            </w:r>
            <w:r w:rsidRPr="00C47DDC">
              <w:rPr>
                <w:color w:val="000000"/>
                <w:sz w:val="14"/>
                <w:szCs w:val="14"/>
                <w:vertAlign w:val="superscript"/>
              </w:rPr>
              <w:t>e</w:t>
            </w:r>
            <w:r w:rsidRPr="00C47DDC">
              <w:rPr>
                <w:color w:val="000000"/>
                <w:sz w:val="14"/>
                <w:szCs w:val="14"/>
              </w:rPr>
              <w:t xml:space="preserve"> (0.6); High: 77.1</w:t>
            </w:r>
            <w:r w:rsidRPr="00C47DDC">
              <w:rPr>
                <w:color w:val="000000"/>
                <w:sz w:val="14"/>
                <w:szCs w:val="14"/>
                <w:vertAlign w:val="superscript"/>
              </w:rPr>
              <w:t>e</w:t>
            </w:r>
            <w:r w:rsidRPr="00C47DDC">
              <w:rPr>
                <w:color w:val="000000"/>
                <w:sz w:val="14"/>
                <w:szCs w:val="14"/>
              </w:rPr>
              <w:t xml:space="preserve"> (0.7)***</w:t>
            </w:r>
          </w:p>
        </w:tc>
        <w:tc>
          <w:tcPr>
            <w:tcW w:w="1276" w:type="dxa"/>
            <w:vAlign w:val="center"/>
          </w:tcPr>
          <w:p w14:paraId="05EA93D3" w14:textId="77777777" w:rsidR="000F0341" w:rsidRPr="00C47DDC" w:rsidRDefault="000F0341" w:rsidP="00E40B0D">
            <w:pPr>
              <w:spacing w:line="276" w:lineRule="auto"/>
              <w:jc w:val="left"/>
              <w:rPr>
                <w:color w:val="000000"/>
                <w:sz w:val="14"/>
                <w:szCs w:val="14"/>
              </w:rPr>
            </w:pPr>
            <w:r w:rsidRPr="00C47DDC">
              <w:rPr>
                <w:color w:val="000000"/>
                <w:sz w:val="14"/>
                <w:szCs w:val="14"/>
              </w:rPr>
              <w:t>9/2/10/6</w:t>
            </w:r>
          </w:p>
        </w:tc>
        <w:tc>
          <w:tcPr>
            <w:tcW w:w="997" w:type="dxa"/>
            <w:vAlign w:val="center"/>
          </w:tcPr>
          <w:p w14:paraId="1335AD4B" w14:textId="77777777" w:rsidR="000F0341" w:rsidRPr="00C47DDC" w:rsidRDefault="000F0341" w:rsidP="00E40B0D">
            <w:pPr>
              <w:spacing w:line="276" w:lineRule="auto"/>
              <w:jc w:val="left"/>
              <w:rPr>
                <w:color w:val="000000"/>
                <w:sz w:val="14"/>
                <w:szCs w:val="14"/>
              </w:rPr>
            </w:pPr>
            <w:r w:rsidRPr="00C47DDC">
              <w:rPr>
                <w:color w:val="000000"/>
                <w:sz w:val="14"/>
                <w:szCs w:val="14"/>
              </w:rPr>
              <w:t>High Risk</w:t>
            </w:r>
          </w:p>
        </w:tc>
      </w:tr>
      <w:tr w:rsidR="000F0341" w:rsidRPr="00BF62A1" w14:paraId="35D35411" w14:textId="77777777" w:rsidTr="00E40B0D">
        <w:trPr>
          <w:trHeight w:val="20"/>
        </w:trPr>
        <w:tc>
          <w:tcPr>
            <w:tcW w:w="1129" w:type="dxa"/>
            <w:vAlign w:val="center"/>
          </w:tcPr>
          <w:p w14:paraId="49D9EA0F" w14:textId="0E2B9A28" w:rsidR="000F0341" w:rsidRPr="00C47DDC" w:rsidRDefault="000F0341" w:rsidP="00E40B0D">
            <w:pPr>
              <w:spacing w:line="240" w:lineRule="auto"/>
              <w:jc w:val="left"/>
              <w:rPr>
                <w:color w:val="000000"/>
                <w:sz w:val="14"/>
                <w:szCs w:val="14"/>
              </w:rPr>
            </w:pPr>
            <w:r w:rsidRPr="00C47DDC">
              <w:rPr>
                <w:color w:val="000000"/>
                <w:sz w:val="14"/>
                <w:szCs w:val="14"/>
              </w:rPr>
              <w:t xml:space="preserve">Lee 2019 </w:t>
            </w:r>
            <w:r w:rsidRPr="00C47DDC">
              <w:rPr>
                <w:color w:val="000000"/>
                <w:sz w:val="14"/>
                <w:szCs w:val="14"/>
              </w:rPr>
              <w:fldChar w:fldCharType="begin"/>
            </w:r>
            <w:r>
              <w:rPr>
                <w:color w:val="000000"/>
                <w:sz w:val="14"/>
                <w:szCs w:val="14"/>
              </w:rPr>
              <w:instrText xml:space="preserve"> ADDIN ZOTERO_ITEM CSL_CITATION {"citationID":"T9o2Lzt5","properties":{"formattedCitation":"[84]","plainCitation":"[84]","noteIndex":0},"citationItems":[{"id":14137,"uris":["http://zotero.org/groups/4983919/items/GBPXPSTT"],"itemData":{"id":14137,"type":"article-journal","abstract":"Background. Many studies have demonstrated associations between surgical resections at academic centers and improved outcomes, particularly for complex operations. However, few studies have examined this relationship in intrahepatic cholangiocarcinoma (ICC). The hypothesis of this study was that facility type is associated with improved postoperative outcomes and survival for patients with ICC who undergo resection.","container-title":"Annals of Surgical Oncology","DOI":"10.1245/s10434-019-07657-5","ISSN":"1068-9265, 1534-4681","issue":"12","journalAbbreviation":"Ann Surg Oncol","language":"en","page":"4091-4099","source":"DOI.org (Crossref)","title":"Facility Type is Associated with Margin Status and Overall Survival of Patients with Resected Intrahepatic Cholangiocarcinoma","URL":"http://link.springer.com/10.1245/s10434-019-07657-5","volume":"26","author":[{"family":"Lee","given":"Grace C."},{"family":"Gamblin","given":"T. Clark"},{"family":"Fong","given":"Zhi Ven"},{"family":"Ferrone","given":"Cristina R."},{"family":"Goyal","given":"Lipika"},{"family":"Lillemoe","given":"Keith D."},{"family":"Blaszkowsky","given":"Lawrence S."},{"family":"Tanabe","given":"Kenneth K."},{"family":"Qadan","given":"Motaz"}],"accessed":{"date-parts":[["2023",3,9]]},"issued":{"date-parts":[["2019",11]]}}}],"schema":"https://github.com/citation-style-language/schema/raw/master/csl-citation.json"} </w:instrText>
            </w:r>
            <w:r w:rsidRPr="00C47DDC">
              <w:rPr>
                <w:color w:val="000000"/>
                <w:sz w:val="14"/>
                <w:szCs w:val="14"/>
              </w:rPr>
              <w:fldChar w:fldCharType="separate"/>
            </w:r>
            <w:r w:rsidRPr="004125CE">
              <w:rPr>
                <w:sz w:val="14"/>
              </w:rPr>
              <w:t>[8</w:t>
            </w:r>
            <w:r w:rsidR="00D03F0D">
              <w:rPr>
                <w:sz w:val="14"/>
              </w:rPr>
              <w:t>7</w:t>
            </w:r>
            <w:r w:rsidRPr="004125CE">
              <w:rPr>
                <w:sz w:val="14"/>
              </w:rPr>
              <w:t>]</w:t>
            </w:r>
            <w:r w:rsidRPr="00C47DDC">
              <w:rPr>
                <w:color w:val="000000"/>
                <w:sz w:val="14"/>
                <w:szCs w:val="14"/>
              </w:rPr>
              <w:fldChar w:fldCharType="end"/>
            </w:r>
          </w:p>
        </w:tc>
        <w:tc>
          <w:tcPr>
            <w:tcW w:w="5954" w:type="dxa"/>
            <w:vAlign w:val="center"/>
          </w:tcPr>
          <w:p w14:paraId="47F52135" w14:textId="77777777" w:rsidR="000F0341" w:rsidRPr="00C47DDC" w:rsidRDefault="000F0341" w:rsidP="00E40B0D">
            <w:pPr>
              <w:spacing w:line="240" w:lineRule="auto"/>
              <w:jc w:val="left"/>
              <w:rPr>
                <w:color w:val="000000"/>
                <w:sz w:val="14"/>
                <w:szCs w:val="14"/>
              </w:rPr>
            </w:pPr>
            <w:r w:rsidRPr="00C47DDC">
              <w:rPr>
                <w:b/>
                <w:bCs/>
                <w:color w:val="000000"/>
                <w:sz w:val="14"/>
                <w:szCs w:val="14"/>
              </w:rPr>
              <w:t>Mortality:</w:t>
            </w:r>
            <w:r w:rsidRPr="00C47DDC">
              <w:rPr>
                <w:color w:val="000000"/>
                <w:sz w:val="14"/>
                <w:szCs w:val="14"/>
              </w:rPr>
              <w:t xml:space="preserve"> (OR): </w:t>
            </w:r>
            <w:r w:rsidRPr="00D63E7B">
              <w:rPr>
                <w:color w:val="000000"/>
                <w:sz w:val="14"/>
                <w:szCs w:val="14"/>
              </w:rPr>
              <w:t>(1-year):</w:t>
            </w:r>
            <w:r w:rsidRPr="00C47DDC">
              <w:rPr>
                <w:color w:val="000000"/>
                <w:sz w:val="14"/>
                <w:szCs w:val="14"/>
              </w:rPr>
              <w:t xml:space="preserve"> Low vs. High: 0.95</w:t>
            </w:r>
            <w:r w:rsidRPr="00C47DDC">
              <w:rPr>
                <w:color w:val="000000"/>
                <w:sz w:val="14"/>
                <w:szCs w:val="14"/>
                <w:vertAlign w:val="superscript"/>
              </w:rPr>
              <w:t>a</w:t>
            </w:r>
            <w:r w:rsidRPr="00C47DDC">
              <w:rPr>
                <w:color w:val="000000"/>
                <w:sz w:val="14"/>
                <w:szCs w:val="14"/>
              </w:rPr>
              <w:t xml:space="preserve"> [0.79-1.14]</w:t>
            </w:r>
          </w:p>
        </w:tc>
        <w:tc>
          <w:tcPr>
            <w:tcW w:w="1276" w:type="dxa"/>
            <w:vAlign w:val="center"/>
          </w:tcPr>
          <w:p w14:paraId="2207CD57" w14:textId="77777777" w:rsidR="000F0341" w:rsidRPr="00C47DDC" w:rsidRDefault="000F0341" w:rsidP="00E40B0D">
            <w:pPr>
              <w:spacing w:line="276" w:lineRule="auto"/>
              <w:jc w:val="left"/>
              <w:rPr>
                <w:color w:val="000000"/>
                <w:sz w:val="14"/>
                <w:szCs w:val="14"/>
              </w:rPr>
            </w:pPr>
            <w:r w:rsidRPr="00C47DDC">
              <w:rPr>
                <w:color w:val="000000"/>
                <w:sz w:val="14"/>
                <w:szCs w:val="14"/>
              </w:rPr>
              <w:t>7/4/10/6</w:t>
            </w:r>
          </w:p>
        </w:tc>
        <w:tc>
          <w:tcPr>
            <w:tcW w:w="997" w:type="dxa"/>
            <w:vAlign w:val="center"/>
          </w:tcPr>
          <w:p w14:paraId="205D4957" w14:textId="77777777" w:rsidR="000F0341" w:rsidRPr="00C47DDC" w:rsidRDefault="000F0341" w:rsidP="00E40B0D">
            <w:pPr>
              <w:spacing w:line="276" w:lineRule="auto"/>
              <w:jc w:val="left"/>
              <w:rPr>
                <w:color w:val="000000"/>
                <w:sz w:val="14"/>
                <w:szCs w:val="14"/>
              </w:rPr>
            </w:pPr>
            <w:r w:rsidRPr="00C47DDC">
              <w:rPr>
                <w:color w:val="000000"/>
                <w:sz w:val="14"/>
                <w:szCs w:val="14"/>
              </w:rPr>
              <w:t>High Risk</w:t>
            </w:r>
          </w:p>
        </w:tc>
      </w:tr>
      <w:tr w:rsidR="000F0341" w:rsidRPr="00BF62A1" w14:paraId="759C4810" w14:textId="77777777" w:rsidTr="00E40B0D">
        <w:trPr>
          <w:trHeight w:val="20"/>
        </w:trPr>
        <w:tc>
          <w:tcPr>
            <w:tcW w:w="1129" w:type="dxa"/>
            <w:vAlign w:val="center"/>
          </w:tcPr>
          <w:p w14:paraId="074CD244" w14:textId="77777777" w:rsidR="000F0341" w:rsidRPr="00C47DDC" w:rsidRDefault="000F0341" w:rsidP="00E40B0D">
            <w:pPr>
              <w:spacing w:line="240" w:lineRule="auto"/>
              <w:jc w:val="left"/>
              <w:rPr>
                <w:color w:val="000000"/>
                <w:sz w:val="14"/>
                <w:szCs w:val="14"/>
              </w:rPr>
            </w:pPr>
            <w:r w:rsidRPr="00C47DDC">
              <w:rPr>
                <w:color w:val="000000"/>
                <w:sz w:val="14"/>
                <w:szCs w:val="14"/>
              </w:rPr>
              <w:t xml:space="preserve">Chang 2014 </w:t>
            </w:r>
            <w:r w:rsidRPr="00C47DDC">
              <w:rPr>
                <w:color w:val="000000"/>
                <w:sz w:val="14"/>
                <w:szCs w:val="14"/>
              </w:rPr>
              <w:fldChar w:fldCharType="begin"/>
            </w:r>
            <w:r>
              <w:rPr>
                <w:color w:val="000000"/>
                <w:sz w:val="14"/>
                <w:szCs w:val="14"/>
              </w:rPr>
              <w:instrText xml:space="preserve"> ADDIN ZOTERO_ITEM CSL_CITATION {"citationID":"JhDgiPcC","properties":{"formattedCitation":"[63]","plainCitation":"[63]","noteIndex":0},"citationItems":[{"id":14205,"uris":["http://zotero.org/groups/4983919/items/TRPKDPX6"],"itemData":{"id":14205,"type":"article-journal","abstract":"BACKGROUND: The influence of different hospital and surgeon volumes on short-term survival after hepatic resection is not clearly clarified. By taking the known prognostic factors into account, the purpose of this study is to assess the combined effects of hospital and surgeon volume on short-term survival after hepatic resection. METHODS: 13,159 patients who underwent hepatic resection between 2002 and 2006 were identified in the Taiwan National Health Insurance Research Database. Data were extracted from it and short-term survivals were confirmed through 2006. The Cox proportional hazards model was used to assess the relationship between survival and different hospital, surgeon volume and caseload combinations. RESULTS: High-volume surgeons in high-volume hospitals had the highest short-term survivals, following by high-volume surgeons in low-volume hospitals, low-volume surgeons in high-volume hospitals and low-volume surgeons in low-volume hospitals. Based on Cox proportional hazard models, although high-volume hospitals and surgeons both showed significant lower risks of short-term mortality at hospital and surgeon level analysis, after combining hospital and surgeon volume into account, high-volume surgeons in high-volume hospitals had significantly better outcomes; the hazard ratio of other three caseload combinations ranging from 1.66 to 2.08 (p&lt;0.001) in 3-month mortality, and 1.28 to 1.58 (p&lt;0.01) in 1-year mortality. CONCLUSIONS: The combined effects of hospital and surgeon volume influenced the short-term survival after hepatic resection largely. After adjusting for the prognostic factors in the case mix, high-volume surgeons in high-volume hospitals had better short-term survivals. Centralization of hepatic resection to few surgeons and hospitals might improve patients' prognosis.","container-title":"PLoS One","DOI":"10.1371/journal.pone.0086444","ISSN":"1932-6203","issue":"1","language":"eng","note":"publisher-place: Department of Surgery, Buddhist Dalin Tzu Chi General Hospital, Chiayi, Taiwan ; School of Medicine, Tzu Chi University, Hualian, Taiwan. Department of Otolaryngology, Buddhist Dalin Tzu Chi General Hospital, Chiayi, Taiwan ; Center for Clinical Epidemiology and Biostatistics, Buddhist Dalin Tzu Chi General Hospital, Chiayi, Taiwan ; School of Medicine, Tzu Chi University, Hualian, Taiwan.","page":"e86444","title":"The combined effects of hospital and surgeon volume on short-term survival after hepatic resection in a population-based study","volume":"9","author":[{"family":"Chang","given":"C. M."},{"family":"Yin","given":"W. Y."},{"family":"Wei","given":"C. K."},{"family":"Lee","given":"C. H."},{"family":"Lee","given":"C. C."}],"issued":{"date-parts":[["2014"]]}}}],"schema":"https://github.com/citation-style-language/schema/raw/master/csl-citation.json"} </w:instrText>
            </w:r>
            <w:r w:rsidRPr="00C47DDC">
              <w:rPr>
                <w:color w:val="000000"/>
                <w:sz w:val="14"/>
                <w:szCs w:val="14"/>
              </w:rPr>
              <w:fldChar w:fldCharType="separate"/>
            </w:r>
            <w:r w:rsidRPr="004125CE">
              <w:rPr>
                <w:sz w:val="14"/>
              </w:rPr>
              <w:t>[63]</w:t>
            </w:r>
            <w:r w:rsidRPr="00C47DDC">
              <w:rPr>
                <w:color w:val="000000"/>
                <w:sz w:val="14"/>
                <w:szCs w:val="14"/>
              </w:rPr>
              <w:fldChar w:fldCharType="end"/>
            </w:r>
          </w:p>
        </w:tc>
        <w:tc>
          <w:tcPr>
            <w:tcW w:w="5954" w:type="dxa"/>
            <w:vAlign w:val="center"/>
          </w:tcPr>
          <w:p w14:paraId="292B361F" w14:textId="77777777" w:rsidR="000F0341" w:rsidRPr="00C47DDC" w:rsidRDefault="000F0341" w:rsidP="00E40B0D">
            <w:pPr>
              <w:spacing w:line="240" w:lineRule="auto"/>
              <w:jc w:val="left"/>
              <w:rPr>
                <w:color w:val="000000"/>
                <w:sz w:val="14"/>
                <w:szCs w:val="14"/>
              </w:rPr>
            </w:pPr>
            <w:r w:rsidRPr="00C47DDC">
              <w:rPr>
                <w:b/>
                <w:bCs/>
                <w:color w:val="000000"/>
                <w:sz w:val="14"/>
                <w:szCs w:val="14"/>
              </w:rPr>
              <w:t>Mortality:</w:t>
            </w:r>
            <w:r w:rsidRPr="00C47DDC">
              <w:rPr>
                <w:color w:val="000000"/>
                <w:sz w:val="14"/>
                <w:szCs w:val="14"/>
              </w:rPr>
              <w:t xml:space="preserve"> (OR</w:t>
            </w:r>
            <w:r w:rsidRPr="00D63E7B">
              <w:rPr>
                <w:color w:val="000000"/>
                <w:sz w:val="14"/>
                <w:szCs w:val="14"/>
              </w:rPr>
              <w:t>): (1-year):</w:t>
            </w:r>
            <w:r w:rsidRPr="00C47DDC">
              <w:rPr>
                <w:color w:val="000000"/>
                <w:sz w:val="14"/>
                <w:szCs w:val="14"/>
              </w:rPr>
              <w:t xml:space="preserve"> </w:t>
            </w:r>
            <w:r w:rsidRPr="00C47DDC">
              <w:rPr>
                <w:color w:val="000000"/>
                <w:sz w:val="14"/>
                <w:szCs w:val="14"/>
                <w:u w:val="single"/>
              </w:rPr>
              <w:t>High</w:t>
            </w:r>
            <w:r w:rsidRPr="00C47DDC">
              <w:rPr>
                <w:color w:val="000000"/>
                <w:sz w:val="14"/>
                <w:szCs w:val="14"/>
              </w:rPr>
              <w:t xml:space="preserve"> vs. Low: 1.33</w:t>
            </w:r>
            <w:r w:rsidRPr="00C47DDC">
              <w:rPr>
                <w:color w:val="000000"/>
                <w:sz w:val="14"/>
                <w:szCs w:val="14"/>
                <w:vertAlign w:val="superscript"/>
              </w:rPr>
              <w:t>b</w:t>
            </w:r>
            <w:r w:rsidRPr="00C47DDC">
              <w:rPr>
                <w:color w:val="000000"/>
                <w:sz w:val="14"/>
                <w:szCs w:val="14"/>
              </w:rPr>
              <w:t xml:space="preserve"> [1.21–1.46]**</w:t>
            </w:r>
          </w:p>
        </w:tc>
        <w:tc>
          <w:tcPr>
            <w:tcW w:w="1276" w:type="dxa"/>
            <w:vAlign w:val="center"/>
          </w:tcPr>
          <w:p w14:paraId="79C81EAC" w14:textId="77777777" w:rsidR="000F0341" w:rsidRPr="00C47DDC" w:rsidRDefault="000F0341" w:rsidP="00E40B0D">
            <w:pPr>
              <w:spacing w:line="276" w:lineRule="auto"/>
              <w:jc w:val="left"/>
              <w:rPr>
                <w:color w:val="000000"/>
                <w:sz w:val="14"/>
                <w:szCs w:val="14"/>
              </w:rPr>
            </w:pPr>
            <w:r w:rsidRPr="00C47DDC">
              <w:rPr>
                <w:color w:val="000000"/>
                <w:sz w:val="14"/>
                <w:szCs w:val="14"/>
              </w:rPr>
              <w:t>8/3/10/6</w:t>
            </w:r>
          </w:p>
        </w:tc>
        <w:tc>
          <w:tcPr>
            <w:tcW w:w="997" w:type="dxa"/>
            <w:vAlign w:val="center"/>
          </w:tcPr>
          <w:p w14:paraId="0D4D9D68" w14:textId="77777777" w:rsidR="000F0341" w:rsidRPr="00C47DDC" w:rsidRDefault="000F0341" w:rsidP="00E40B0D">
            <w:pPr>
              <w:spacing w:line="276" w:lineRule="auto"/>
              <w:jc w:val="left"/>
              <w:rPr>
                <w:color w:val="000000"/>
                <w:sz w:val="14"/>
                <w:szCs w:val="14"/>
              </w:rPr>
            </w:pPr>
            <w:r w:rsidRPr="00C47DDC">
              <w:rPr>
                <w:color w:val="000000"/>
                <w:sz w:val="14"/>
                <w:szCs w:val="14"/>
              </w:rPr>
              <w:t>High Risk</w:t>
            </w:r>
          </w:p>
        </w:tc>
      </w:tr>
      <w:tr w:rsidR="000F0341" w:rsidRPr="00BF62A1" w14:paraId="469DA93C" w14:textId="77777777" w:rsidTr="00E40B0D">
        <w:trPr>
          <w:trHeight w:val="20"/>
        </w:trPr>
        <w:tc>
          <w:tcPr>
            <w:tcW w:w="1129" w:type="dxa"/>
            <w:vAlign w:val="center"/>
            <w:hideMark/>
          </w:tcPr>
          <w:p w14:paraId="0785913E" w14:textId="6EE3EA61" w:rsidR="000F0341" w:rsidRPr="00C47DDC" w:rsidRDefault="000F0341" w:rsidP="00E40B0D">
            <w:pPr>
              <w:spacing w:line="240" w:lineRule="auto"/>
              <w:jc w:val="left"/>
              <w:rPr>
                <w:color w:val="000000"/>
                <w:sz w:val="14"/>
                <w:szCs w:val="14"/>
                <w:vertAlign w:val="superscript"/>
              </w:rPr>
            </w:pPr>
            <w:r w:rsidRPr="00C47DDC">
              <w:rPr>
                <w:color w:val="000000"/>
                <w:sz w:val="14"/>
                <w:szCs w:val="14"/>
              </w:rPr>
              <w:t>Endo 2023</w:t>
            </w:r>
            <w:r w:rsidRPr="00C47DDC">
              <w:rPr>
                <w:color w:val="000000"/>
                <w:sz w:val="14"/>
                <w:szCs w:val="14"/>
                <w:vertAlign w:val="superscript"/>
              </w:rPr>
              <w:t>2</w:t>
            </w:r>
            <w:r w:rsidRPr="00C47DDC">
              <w:rPr>
                <w:color w:val="000000"/>
                <w:sz w:val="14"/>
                <w:szCs w:val="14"/>
              </w:rPr>
              <w:t xml:space="preserve"> </w:t>
            </w:r>
            <w:r w:rsidRPr="00C47DDC">
              <w:rPr>
                <w:color w:val="000000"/>
                <w:sz w:val="14"/>
                <w:szCs w:val="14"/>
              </w:rPr>
              <w:fldChar w:fldCharType="begin"/>
            </w:r>
            <w:r>
              <w:rPr>
                <w:color w:val="000000"/>
                <w:sz w:val="14"/>
                <w:szCs w:val="14"/>
              </w:rPr>
              <w:instrText xml:space="preserve"> ADDIN ZOTERO_ITEM CSL_CITATION {"citationID":"cEtDwr5r","properties":{"formattedCitation":"[82]","plainCitation":"[82]","noteIndex":0},"citationItems":[{"id":14272,"uris":["http://zotero.org/groups/4983919/items/DRTNI4XK"],"itemData":{"id":14272,"type":"article-journal","abstract":"BACKGROUND: Hospital volume affects outcomes of patients who underwent resection for hepatocellular carcinoma (HCC). We sought to assess the impact of minimally invasive hepatectomy (MIH) volume on short- and long-term outcomes among patients with HCC. METHODS: Patients who underwent MIH for HCC from 2010 to 2018 were identified from the National Cancer Database. Multivariable modeling with restricted cubic splines (RCS) was utilized to identify the MIH hospital volume threshold. Textbook outcome (TO) was defined as no conversion to open resection, negative margins after resection (R0), no extended length-of-stay, no readmission, and no 90-day mortality. RESULTS: Among 3268 patients who underwent MIH for HCC, median age was 65.0 (IQR 59.0-72.0) and the majority was male (n = 2308, 70.6%). MIH hospital volume ranged from 1 to 87 cases, with a median of 13 (IQR 7-23). Overall, 2151 (60.9%) patients achieved TO after resection. While particularly high rates of achievement were found for no 90-day mortality (n = 3106, 95.0%), no readmission (n = 3153, 96.5%), and R0 resection (n = 3,017, 92.3%), other TO components including no conversion to open (n = 2778, 85.0%) and no prolonged LOS (n = 2584, 79.1%) were achieved less frequently. Patients treated at high-volume centers (≥50 MIH cases) were more likely to experience TO (high volume centers, n = 334, 68.7% vs. low volume centers, n = 1656, 59.5%, p &lt; 0.001) and better long-term survival (5-year OS; high volume centers, 64.7% vs. low volume centers, 54.6%, p &lt; 0.001). CONCLUSIONS: MIH hospital volume was associated with a higher likelihood of achieving TO and improved long-term survival among patients undergoing resection of HCC.","container-title":"Journal of gastrointestinal surgery : official journal of the Society for Surgery of the Alimentary Tract","DOI":"10.1007/s11605-023-05609-9","ISSN":"1873-4626 (Electronic)","language":"eng","title":"Hospital Volume and Textbook Outcomes in Minimally Invasive Hepatectomy for Hepatocellular Carcinoma.","URL":"https://pubmed.ncbi.nlm.nih.gov/36732402/","author":[{"family":"Endo","given":"Yutaka"},{"family":"Moazzam","given":"Zorays"},{"family":"Woldesenbet","given":"Selamawit"},{"family":"Lima","given":"Henrique A"},{"family":"Alaimo","given":"Laura"},{"family":"Munir","given":"Muhammad Musaab"},{"family":"Shaikh","given":"Chanza F."},{"family":"Yang","given":"Jason"},{"family":"Azap","given":"Lovette"},{"family":"Katayama","given":"Erryk"},{"family":"Kitago","given":"Minoru"},{"family":"Pawlik","given":"Timothy M"}],"issued":{"date-parts":[["2023",2]]}}}],"schema":"https://github.com/citation-style-language/schema/raw/master/csl-citation.json"} </w:instrText>
            </w:r>
            <w:r w:rsidRPr="00C47DDC">
              <w:rPr>
                <w:color w:val="000000"/>
                <w:sz w:val="14"/>
                <w:szCs w:val="14"/>
              </w:rPr>
              <w:fldChar w:fldCharType="separate"/>
            </w:r>
            <w:r w:rsidRPr="004125CE">
              <w:rPr>
                <w:sz w:val="14"/>
              </w:rPr>
              <w:t>[8</w:t>
            </w:r>
            <w:r w:rsidR="00D03F0D">
              <w:rPr>
                <w:sz w:val="14"/>
              </w:rPr>
              <w:t>6</w:t>
            </w:r>
            <w:r w:rsidRPr="004125CE">
              <w:rPr>
                <w:sz w:val="14"/>
              </w:rPr>
              <w:t>]</w:t>
            </w:r>
            <w:r w:rsidRPr="00C47DDC">
              <w:rPr>
                <w:color w:val="000000"/>
                <w:sz w:val="14"/>
                <w:szCs w:val="14"/>
              </w:rPr>
              <w:fldChar w:fldCharType="end"/>
            </w:r>
          </w:p>
        </w:tc>
        <w:tc>
          <w:tcPr>
            <w:tcW w:w="5954" w:type="dxa"/>
            <w:vAlign w:val="center"/>
            <w:hideMark/>
          </w:tcPr>
          <w:p w14:paraId="2A219BB7" w14:textId="77777777" w:rsidR="000F0341" w:rsidRPr="00C47DDC" w:rsidRDefault="000F0341" w:rsidP="00E40B0D">
            <w:pPr>
              <w:spacing w:line="240" w:lineRule="auto"/>
              <w:jc w:val="left"/>
              <w:rPr>
                <w:color w:val="000000"/>
                <w:sz w:val="14"/>
                <w:szCs w:val="14"/>
              </w:rPr>
            </w:pPr>
            <w:r w:rsidRPr="00C47DDC">
              <w:rPr>
                <w:b/>
                <w:bCs/>
                <w:color w:val="000000"/>
                <w:sz w:val="14"/>
                <w:szCs w:val="14"/>
              </w:rPr>
              <w:t>OS:</w:t>
            </w:r>
            <w:r w:rsidRPr="00C47DDC">
              <w:rPr>
                <w:color w:val="000000"/>
                <w:sz w:val="14"/>
                <w:szCs w:val="14"/>
              </w:rPr>
              <w:t xml:space="preserve"> (HR): </w:t>
            </w:r>
            <w:r w:rsidRPr="00C47DDC">
              <w:rPr>
                <w:color w:val="000000"/>
                <w:sz w:val="14"/>
                <w:szCs w:val="14"/>
                <w:u w:val="single"/>
              </w:rPr>
              <w:t>Low</w:t>
            </w:r>
            <w:r w:rsidRPr="00C47DDC">
              <w:rPr>
                <w:color w:val="000000"/>
                <w:sz w:val="14"/>
                <w:szCs w:val="14"/>
              </w:rPr>
              <w:t xml:space="preserve"> vs. High: 0.83</w:t>
            </w:r>
            <w:r w:rsidRPr="00C47DDC">
              <w:rPr>
                <w:color w:val="000000"/>
                <w:sz w:val="14"/>
                <w:szCs w:val="14"/>
                <w:vertAlign w:val="superscript"/>
              </w:rPr>
              <w:t>b</w:t>
            </w:r>
            <w:r w:rsidRPr="00C47DDC">
              <w:rPr>
                <w:color w:val="000000"/>
                <w:sz w:val="14"/>
                <w:szCs w:val="14"/>
              </w:rPr>
              <w:t xml:space="preserve"> [0.69-0.99]*</w:t>
            </w:r>
          </w:p>
        </w:tc>
        <w:tc>
          <w:tcPr>
            <w:tcW w:w="1276" w:type="dxa"/>
            <w:vAlign w:val="center"/>
          </w:tcPr>
          <w:p w14:paraId="665F8B0D" w14:textId="77777777" w:rsidR="000F0341" w:rsidRPr="00C47DDC" w:rsidRDefault="000F0341" w:rsidP="00E40B0D">
            <w:pPr>
              <w:spacing w:line="276" w:lineRule="auto"/>
              <w:jc w:val="left"/>
              <w:rPr>
                <w:color w:val="000000"/>
                <w:sz w:val="14"/>
                <w:szCs w:val="14"/>
              </w:rPr>
            </w:pPr>
            <w:r w:rsidRPr="00C47DDC">
              <w:rPr>
                <w:color w:val="000000"/>
                <w:sz w:val="14"/>
                <w:szCs w:val="14"/>
              </w:rPr>
              <w:t>8/1/12/6</w:t>
            </w:r>
          </w:p>
        </w:tc>
        <w:tc>
          <w:tcPr>
            <w:tcW w:w="997" w:type="dxa"/>
            <w:vAlign w:val="center"/>
          </w:tcPr>
          <w:p w14:paraId="7A666E2D" w14:textId="77777777" w:rsidR="000F0341" w:rsidRPr="00C47DDC" w:rsidRDefault="000F0341" w:rsidP="00E40B0D">
            <w:pPr>
              <w:spacing w:line="276" w:lineRule="auto"/>
              <w:jc w:val="left"/>
              <w:rPr>
                <w:color w:val="000000"/>
                <w:sz w:val="14"/>
                <w:szCs w:val="14"/>
              </w:rPr>
            </w:pPr>
            <w:r w:rsidRPr="00C47DDC">
              <w:rPr>
                <w:color w:val="000000"/>
                <w:sz w:val="14"/>
                <w:szCs w:val="14"/>
              </w:rPr>
              <w:t>High Risk</w:t>
            </w:r>
          </w:p>
        </w:tc>
      </w:tr>
      <w:tr w:rsidR="000F0341" w:rsidRPr="00BF62A1" w14:paraId="5E7830AA" w14:textId="77777777" w:rsidTr="00E40B0D">
        <w:trPr>
          <w:trHeight w:val="20"/>
        </w:trPr>
        <w:tc>
          <w:tcPr>
            <w:tcW w:w="1129" w:type="dxa"/>
            <w:vAlign w:val="center"/>
          </w:tcPr>
          <w:p w14:paraId="29724A6D" w14:textId="4AD62038" w:rsidR="000F0341" w:rsidRPr="00C47DDC" w:rsidRDefault="000F0341" w:rsidP="00E40B0D">
            <w:pPr>
              <w:spacing w:line="240" w:lineRule="auto"/>
              <w:jc w:val="left"/>
              <w:rPr>
                <w:color w:val="000000"/>
                <w:sz w:val="14"/>
                <w:szCs w:val="14"/>
                <w:vertAlign w:val="superscript"/>
              </w:rPr>
            </w:pPr>
            <w:r w:rsidRPr="00C47DDC">
              <w:rPr>
                <w:color w:val="000000"/>
                <w:sz w:val="14"/>
                <w:szCs w:val="14"/>
              </w:rPr>
              <w:t>Chapman 2017</w:t>
            </w:r>
            <w:r w:rsidRPr="00C47DDC">
              <w:rPr>
                <w:color w:val="000000"/>
                <w:sz w:val="14"/>
                <w:szCs w:val="14"/>
                <w:vertAlign w:val="superscript"/>
              </w:rPr>
              <w:t xml:space="preserve">3 </w:t>
            </w:r>
            <w:r w:rsidRPr="00C47DDC">
              <w:rPr>
                <w:color w:val="000000"/>
                <w:sz w:val="14"/>
                <w:szCs w:val="14"/>
              </w:rPr>
              <w:fldChar w:fldCharType="begin"/>
            </w:r>
            <w:r>
              <w:rPr>
                <w:color w:val="000000"/>
                <w:sz w:val="14"/>
                <w:szCs w:val="14"/>
              </w:rPr>
              <w:instrText xml:space="preserve"> ADDIN ZOTERO_ITEM CSL_CITATION {"citationID":"72HFSwCn","properties":{"formattedCitation":"[86]","plainCitation":"[86]","noteIndex":0},"citationItems":[{"id":14341,"uris":["http://zotero.org/groups/4983919/items/NTZZKCIS"],"itemData":{"id":14341,"type":"article-journal","abstract":"BACKGROUND: Previous studies have demonstrated improved in-hospital mortality after hepatic resection for hepatocellular carcinoma (HCC) at teaching hospitals. The objective of this study was to evaluate if resection of HCC at academic cancer programs (ACP) is associated with improved 10-year survival. STUDY DESIGN: Using the National Cancer Data Base (NCDB) (1998 to 2011), we evaluated patients undergoing hepatic resection for HCC at ACPs, comprehensive community cancer programs (CCCPs), and community cancer programs (CCPs). High volume cancer programs (HVCPs) were defined as performing 10 or more hepatectomies per year. Multivariate Cox proportional hazard models by stepwise selection were applied to estimate hazard ratios (HR) of predictors of survival. The Kaplan-Meier method was used to generate survival curves at each facility type, and survival rates were compared using the log-rank test. RESULTS: We identified 12,757 patients undergoing hepatic resection for HCC at ACPs (n = 8,404), CCPs (n = 483), and CCCPs (n = 3,870). Sixty-two percent (n = 5,191) of patients treated at ACPs were at high volume institutions compared with 11.6% (n = 446) and 0% of CCCPs and CCPs, respectively (p &lt; 0.0001). On multivariable analysis, patients undergoing hepatic resection at transplant centers (p &lt; 0.0001) and HVCPs had significantly improved survival (p &lt; 0.0001). Adjusted 10-year survival rates were 28.7% at high volume ACPs, 28.2% at high volume CCCPs, 24.9% at low volume CCCPs, 25.1% at low volume ACPs, and 21.3% at CCPs (p ≤ 0.0001). CONCLUSIONS: Patients undergoing hepatic resection for HCC at HVCPs had a significantly improved 10-year survival. Regionalization of HCC treatment to HVCPs may improve long-term survival.","container-title":"J Am Coll Surg","DOI":"10.1016/j.jamcollsurg.2016.11.011","ISSN":"1072-7515","issue":"3","language":"eng","page":"362-372","title":"Impact of Facility Type and Surgical Volume on 10-Year Survival in Patients Undergoing Hepatic Resection for Hepatocellular Carcinoma","volume":"224","author":[{"family":"Chapman","given":"B. C."},{"family":"Paniccia","given":"A."},{"family":"Hosokawa","given":"P. W."},{"family":"Henderson","given":"W. G."},{"family":"Overbey","given":"D. M."},{"family":"Messersmith","given":"W."},{"family":"McCarter","given":"M. D."},{"family":"Gleisner","given":"A."},{"family":"Edil","given":"B. H."},{"family":"Schulick","given":"R. D."},{"family":"Gajdos","given":"C."}],"issued":{"date-parts":[["2017",3]]}}}],"schema":"https://github.com/citation-style-language/schema/raw/master/csl-citation.json"} </w:instrText>
            </w:r>
            <w:r w:rsidRPr="00C47DDC">
              <w:rPr>
                <w:color w:val="000000"/>
                <w:sz w:val="14"/>
                <w:szCs w:val="14"/>
              </w:rPr>
              <w:fldChar w:fldCharType="separate"/>
            </w:r>
            <w:r w:rsidRPr="004125CE">
              <w:rPr>
                <w:sz w:val="14"/>
              </w:rPr>
              <w:t>[8</w:t>
            </w:r>
            <w:r w:rsidR="007A755B">
              <w:rPr>
                <w:sz w:val="14"/>
              </w:rPr>
              <w:t>2</w:t>
            </w:r>
            <w:r w:rsidRPr="004125CE">
              <w:rPr>
                <w:sz w:val="14"/>
              </w:rPr>
              <w:t>]</w:t>
            </w:r>
            <w:r w:rsidRPr="00C47DDC">
              <w:rPr>
                <w:color w:val="000000"/>
                <w:sz w:val="14"/>
                <w:szCs w:val="14"/>
              </w:rPr>
              <w:fldChar w:fldCharType="end"/>
            </w:r>
          </w:p>
        </w:tc>
        <w:tc>
          <w:tcPr>
            <w:tcW w:w="5954" w:type="dxa"/>
            <w:vAlign w:val="center"/>
          </w:tcPr>
          <w:p w14:paraId="209DF318" w14:textId="77777777" w:rsidR="000F0341" w:rsidRPr="00C47DDC" w:rsidRDefault="000F0341" w:rsidP="00E40B0D">
            <w:pPr>
              <w:spacing w:before="60" w:line="240" w:lineRule="auto"/>
              <w:jc w:val="left"/>
              <w:rPr>
                <w:color w:val="000000"/>
                <w:sz w:val="14"/>
                <w:szCs w:val="14"/>
              </w:rPr>
            </w:pPr>
            <w:r w:rsidRPr="00C47DDC">
              <w:rPr>
                <w:b/>
                <w:bCs/>
                <w:color w:val="000000"/>
                <w:sz w:val="14"/>
                <w:szCs w:val="14"/>
              </w:rPr>
              <w:t>Survival:</w:t>
            </w:r>
            <w:r w:rsidRPr="00C47DDC">
              <w:rPr>
                <w:color w:val="000000"/>
                <w:sz w:val="14"/>
                <w:szCs w:val="14"/>
              </w:rPr>
              <w:t xml:space="preserve"> </w:t>
            </w:r>
            <w:r w:rsidRPr="00C47DDC">
              <w:rPr>
                <w:color w:val="000000"/>
                <w:sz w:val="14"/>
                <w:szCs w:val="14"/>
                <w:u w:val="single"/>
              </w:rPr>
              <w:t>High</w:t>
            </w:r>
            <w:r w:rsidRPr="00C47DDC">
              <w:rPr>
                <w:color w:val="000000"/>
                <w:sz w:val="14"/>
                <w:szCs w:val="14"/>
              </w:rPr>
              <w:t xml:space="preserve"> vs. Low CCCP: 1.14</w:t>
            </w:r>
            <w:r w:rsidRPr="00C47DDC">
              <w:rPr>
                <w:color w:val="000000"/>
                <w:sz w:val="14"/>
                <w:szCs w:val="14"/>
                <w:vertAlign w:val="superscript"/>
              </w:rPr>
              <w:t>b</w:t>
            </w:r>
            <w:r w:rsidRPr="00C47DDC">
              <w:rPr>
                <w:color w:val="000000"/>
                <w:sz w:val="14"/>
                <w:szCs w:val="14"/>
              </w:rPr>
              <w:t xml:space="preserve"> [1.05-1.22]***| </w:t>
            </w:r>
            <w:r w:rsidRPr="00C47DDC">
              <w:rPr>
                <w:color w:val="000000"/>
                <w:sz w:val="14"/>
                <w:szCs w:val="14"/>
                <w:u w:val="single"/>
              </w:rPr>
              <w:t>High</w:t>
            </w:r>
            <w:r w:rsidRPr="00C47DDC">
              <w:rPr>
                <w:color w:val="000000"/>
                <w:sz w:val="14"/>
                <w:szCs w:val="14"/>
              </w:rPr>
              <w:t xml:space="preserve"> vs. Low ACP: 1.13</w:t>
            </w:r>
            <w:r w:rsidRPr="00C47DDC">
              <w:rPr>
                <w:color w:val="000000"/>
                <w:sz w:val="14"/>
                <w:szCs w:val="14"/>
                <w:vertAlign w:val="superscript"/>
              </w:rPr>
              <w:t>b</w:t>
            </w:r>
            <w:r w:rsidRPr="00C47DDC">
              <w:rPr>
                <w:color w:val="000000"/>
                <w:sz w:val="14"/>
                <w:szCs w:val="14"/>
              </w:rPr>
              <w:t xml:space="preserve"> [1.06-1.20]*** </w:t>
            </w:r>
          </w:p>
        </w:tc>
        <w:tc>
          <w:tcPr>
            <w:tcW w:w="1276" w:type="dxa"/>
            <w:vAlign w:val="center"/>
          </w:tcPr>
          <w:p w14:paraId="66839BBC" w14:textId="77777777" w:rsidR="000F0341" w:rsidRPr="00C47DDC" w:rsidRDefault="000F0341" w:rsidP="00E40B0D">
            <w:pPr>
              <w:spacing w:line="276" w:lineRule="auto"/>
              <w:jc w:val="left"/>
              <w:rPr>
                <w:color w:val="000000"/>
                <w:sz w:val="14"/>
                <w:szCs w:val="14"/>
              </w:rPr>
            </w:pPr>
            <w:r w:rsidRPr="00C47DDC">
              <w:rPr>
                <w:color w:val="000000"/>
                <w:sz w:val="14"/>
                <w:szCs w:val="14"/>
              </w:rPr>
              <w:t>6/3/12/6</w:t>
            </w:r>
          </w:p>
        </w:tc>
        <w:tc>
          <w:tcPr>
            <w:tcW w:w="997" w:type="dxa"/>
            <w:vAlign w:val="center"/>
          </w:tcPr>
          <w:p w14:paraId="61FA6817" w14:textId="77777777" w:rsidR="000F0341" w:rsidRPr="00C47DDC" w:rsidRDefault="000F0341" w:rsidP="00E40B0D">
            <w:pPr>
              <w:spacing w:line="276" w:lineRule="auto"/>
              <w:jc w:val="left"/>
              <w:rPr>
                <w:color w:val="000000"/>
                <w:sz w:val="14"/>
                <w:szCs w:val="14"/>
              </w:rPr>
            </w:pPr>
            <w:r w:rsidRPr="00C47DDC">
              <w:rPr>
                <w:color w:val="000000"/>
                <w:sz w:val="14"/>
                <w:szCs w:val="14"/>
              </w:rPr>
              <w:t>High Risk</w:t>
            </w:r>
          </w:p>
        </w:tc>
      </w:tr>
    </w:tbl>
    <w:p w14:paraId="43EFE2B1" w14:textId="77777777" w:rsidR="000F0341" w:rsidRPr="00C47DDC" w:rsidRDefault="000F0341" w:rsidP="000F0341">
      <w:pPr>
        <w:spacing w:line="240" w:lineRule="auto"/>
        <w:ind w:left="-283"/>
        <w:jc w:val="left"/>
        <w:rPr>
          <w:b/>
          <w:bCs/>
          <w:sz w:val="20"/>
          <w:szCs w:val="20"/>
        </w:rPr>
      </w:pPr>
      <w:r w:rsidRPr="00C47DDC">
        <w:rPr>
          <w:color w:val="000000"/>
          <w:sz w:val="14"/>
          <w:szCs w:val="14"/>
          <w:vertAlign w:val="superscript"/>
        </w:rPr>
        <w:t>a</w:t>
      </w:r>
      <w:r w:rsidRPr="00C47DDC">
        <w:rPr>
          <w:sz w:val="14"/>
          <w:szCs w:val="14"/>
        </w:rPr>
        <w:t xml:space="preserve"> OR [95% CI]; </w:t>
      </w:r>
      <w:r w:rsidRPr="00C47DDC">
        <w:rPr>
          <w:sz w:val="14"/>
          <w:szCs w:val="14"/>
          <w:vertAlign w:val="superscript"/>
        </w:rPr>
        <w:t>b</w:t>
      </w:r>
      <w:r w:rsidRPr="00C47DDC">
        <w:rPr>
          <w:sz w:val="14"/>
          <w:szCs w:val="14"/>
        </w:rPr>
        <w:t xml:space="preserve"> HR [95% CI]; </w:t>
      </w:r>
      <w:r w:rsidRPr="00C47DDC">
        <w:rPr>
          <w:sz w:val="14"/>
          <w:szCs w:val="14"/>
          <w:vertAlign w:val="superscript"/>
        </w:rPr>
        <w:t>c</w:t>
      </w:r>
      <w:r w:rsidRPr="00C47DDC">
        <w:rPr>
          <w:sz w:val="14"/>
          <w:szCs w:val="14"/>
        </w:rPr>
        <w:t xml:space="preserve"> RR [95% CI]; </w:t>
      </w:r>
      <w:r w:rsidRPr="00C47DDC">
        <w:rPr>
          <w:sz w:val="14"/>
          <w:szCs w:val="14"/>
          <w:vertAlign w:val="superscript"/>
        </w:rPr>
        <w:t>d</w:t>
      </w:r>
      <w:r w:rsidRPr="00C47DDC">
        <w:rPr>
          <w:sz w:val="14"/>
          <w:szCs w:val="14"/>
        </w:rPr>
        <w:t xml:space="preserve"> Rate in % [95% CI]; </w:t>
      </w:r>
      <w:r w:rsidRPr="00C47DDC">
        <w:rPr>
          <w:sz w:val="14"/>
          <w:szCs w:val="14"/>
          <w:vertAlign w:val="superscript"/>
        </w:rPr>
        <w:t>e</w:t>
      </w:r>
      <w:r w:rsidRPr="00C47DDC">
        <w:rPr>
          <w:sz w:val="14"/>
          <w:szCs w:val="14"/>
        </w:rPr>
        <w:t xml:space="preserve"> </w:t>
      </w:r>
      <w:r w:rsidRPr="00C47DDC">
        <w:rPr>
          <w:color w:val="000000"/>
          <w:sz w:val="14"/>
          <w:szCs w:val="14"/>
        </w:rPr>
        <w:t>mean (SD);</w:t>
      </w:r>
      <w:r w:rsidRPr="00C47DDC">
        <w:rPr>
          <w:sz w:val="14"/>
          <w:szCs w:val="14"/>
        </w:rPr>
        <w:t xml:space="preserve"> </w:t>
      </w:r>
      <w:r w:rsidRPr="00C47DDC">
        <w:rPr>
          <w:color w:val="000000"/>
          <w:sz w:val="14"/>
          <w:szCs w:val="14"/>
        </w:rPr>
        <w:t xml:space="preserve">*P value &lt; 0.05; **P value &lt; 0.01; ***P value &lt; 0.001; </w:t>
      </w:r>
      <w:r w:rsidRPr="00C47DDC">
        <w:rPr>
          <w:i/>
          <w:iCs/>
          <w:color w:val="000000"/>
          <w:sz w:val="14"/>
          <w:szCs w:val="14"/>
        </w:rPr>
        <w:t>FTR</w:t>
      </w:r>
      <w:r w:rsidRPr="00C47DDC">
        <w:rPr>
          <w:color w:val="000000"/>
          <w:sz w:val="14"/>
          <w:szCs w:val="14"/>
        </w:rPr>
        <w:t xml:space="preserve"> Failure to rescue; </w:t>
      </w:r>
      <w:r w:rsidRPr="00C47DDC">
        <w:rPr>
          <w:i/>
          <w:iCs/>
          <w:color w:val="000000"/>
          <w:sz w:val="14"/>
          <w:szCs w:val="14"/>
        </w:rPr>
        <w:t>OS</w:t>
      </w:r>
      <w:r w:rsidRPr="00C47DDC">
        <w:rPr>
          <w:color w:val="000000"/>
          <w:sz w:val="14"/>
          <w:szCs w:val="14"/>
        </w:rPr>
        <w:t xml:space="preserve"> Overall survival; </w:t>
      </w:r>
      <w:r w:rsidRPr="00534E55">
        <w:rPr>
          <w:i/>
          <w:iCs/>
          <w:color w:val="000000"/>
          <w:sz w:val="14"/>
          <w:szCs w:val="14"/>
        </w:rPr>
        <w:t>ACP</w:t>
      </w:r>
      <w:r>
        <w:rPr>
          <w:color w:val="000000"/>
          <w:sz w:val="14"/>
          <w:szCs w:val="14"/>
        </w:rPr>
        <w:t xml:space="preserve"> Academic cancer programs; </w:t>
      </w:r>
      <w:r w:rsidRPr="00534E55">
        <w:rPr>
          <w:i/>
          <w:iCs/>
          <w:color w:val="000000"/>
          <w:sz w:val="14"/>
          <w:szCs w:val="14"/>
        </w:rPr>
        <w:t>CCCP</w:t>
      </w:r>
      <w:r>
        <w:rPr>
          <w:color w:val="000000"/>
          <w:sz w:val="14"/>
          <w:szCs w:val="14"/>
        </w:rPr>
        <w:t xml:space="preserve"> Comprehensive community cancer program;  </w:t>
      </w:r>
      <w:r w:rsidRPr="00C47DDC">
        <w:rPr>
          <w:color w:val="000000"/>
          <w:sz w:val="14"/>
          <w:szCs w:val="14"/>
          <w:vertAlign w:val="superscript"/>
        </w:rPr>
        <w:t>1</w:t>
      </w:r>
      <w:r w:rsidRPr="00C47DDC">
        <w:rPr>
          <w:color w:val="000000"/>
          <w:sz w:val="14"/>
          <w:szCs w:val="14"/>
        </w:rPr>
        <w:t xml:space="preserve"> Outcomes from Lu et al. 2014; </w:t>
      </w:r>
      <w:r w:rsidRPr="00C47DDC">
        <w:rPr>
          <w:color w:val="000000"/>
          <w:sz w:val="14"/>
          <w:szCs w:val="14"/>
          <w:vertAlign w:val="superscript"/>
        </w:rPr>
        <w:t>2</w:t>
      </w:r>
      <w:r w:rsidRPr="00C47DDC">
        <w:rPr>
          <w:color w:val="000000"/>
          <w:sz w:val="14"/>
          <w:szCs w:val="14"/>
        </w:rPr>
        <w:t xml:space="preserve"> Minimal invasive cases / 6 years; </w:t>
      </w:r>
      <w:r w:rsidRPr="00C47DDC">
        <w:rPr>
          <w:color w:val="000000"/>
          <w:sz w:val="14"/>
          <w:szCs w:val="14"/>
          <w:vertAlign w:val="superscript"/>
        </w:rPr>
        <w:t>3</w:t>
      </w:r>
      <w:r w:rsidRPr="00C47DDC">
        <w:rPr>
          <w:color w:val="000000"/>
          <w:sz w:val="14"/>
          <w:szCs w:val="14"/>
        </w:rPr>
        <w:t xml:space="preserve"> 1-year, 5-year, 10-year survival in digital appendix</w:t>
      </w:r>
      <w:r w:rsidRPr="00C47DDC">
        <w:rPr>
          <w:color w:val="000000"/>
          <w:sz w:val="14"/>
          <w:szCs w:val="14"/>
        </w:rPr>
        <w:br/>
      </w:r>
      <w:r w:rsidRPr="00C47DDC">
        <w:rPr>
          <w:bCs/>
          <w:sz w:val="14"/>
          <w:szCs w:val="14"/>
        </w:rPr>
        <w:t xml:space="preserve">Note: † Domain 7 = Risk of bias in selection of reported result; Reference categories were </w:t>
      </w:r>
      <w:r w:rsidRPr="00C47DDC">
        <w:rPr>
          <w:bCs/>
          <w:sz w:val="14"/>
          <w:szCs w:val="14"/>
          <w:u w:val="single"/>
        </w:rPr>
        <w:t>underscored</w:t>
      </w:r>
      <w:r w:rsidRPr="00C47DDC">
        <w:rPr>
          <w:bCs/>
          <w:sz w:val="14"/>
          <w:szCs w:val="14"/>
        </w:rPr>
        <w:t xml:space="preserve"> if available</w:t>
      </w:r>
    </w:p>
    <w:p w14:paraId="64D88095" w14:textId="77777777" w:rsidR="000F0341" w:rsidRDefault="000F0341" w:rsidP="000F0341"/>
    <w:p w14:paraId="60C9BDA0" w14:textId="77777777" w:rsidR="000F0341" w:rsidRDefault="000F0341" w:rsidP="000F0341"/>
    <w:p w14:paraId="367C99BD" w14:textId="77777777" w:rsidR="000F0341" w:rsidRDefault="000F0341" w:rsidP="000F0341"/>
    <w:p w14:paraId="6522AFBD" w14:textId="77777777" w:rsidR="000F0341" w:rsidRDefault="000F0341" w:rsidP="000F0341"/>
    <w:p w14:paraId="7EBCDBD2" w14:textId="77777777" w:rsidR="000F0341" w:rsidRDefault="000F0341" w:rsidP="000F0341"/>
    <w:p w14:paraId="2E49F24A" w14:textId="77777777" w:rsidR="000F0341" w:rsidRDefault="000F0341" w:rsidP="000F0341"/>
    <w:p w14:paraId="65E0C30B" w14:textId="77777777" w:rsidR="000F0341" w:rsidRDefault="000F0341" w:rsidP="000F0341"/>
    <w:p w14:paraId="7AA765BE" w14:textId="77777777" w:rsidR="000F0341" w:rsidRPr="008533D9" w:rsidRDefault="000F0341" w:rsidP="000F0341">
      <w:pPr>
        <w:pStyle w:val="Heading1"/>
        <w:numPr>
          <w:ilvl w:val="0"/>
          <w:numId w:val="0"/>
        </w:numPr>
        <w:ind w:left="-135" w:hanging="432"/>
        <w:rPr>
          <w:rFonts w:cs="Times New Roman"/>
          <w:sz w:val="24"/>
          <w:szCs w:val="24"/>
        </w:rPr>
      </w:pPr>
      <w:r w:rsidRPr="008533D9">
        <w:rPr>
          <w:rFonts w:cs="Times New Roman"/>
          <w:sz w:val="24"/>
          <w:szCs w:val="24"/>
        </w:rPr>
        <w:lastRenderedPageBreak/>
        <w:t xml:space="preserve">Appendix </w:t>
      </w:r>
      <w:r>
        <w:rPr>
          <w:rFonts w:cs="Times New Roman"/>
          <w:sz w:val="24"/>
          <w:szCs w:val="24"/>
        </w:rPr>
        <w:t>6</w:t>
      </w:r>
      <w:r w:rsidRPr="008533D9">
        <w:rPr>
          <w:rFonts w:cs="Times New Roman"/>
          <w:sz w:val="24"/>
          <w:szCs w:val="24"/>
        </w:rPr>
        <w:t xml:space="preserve">: </w:t>
      </w:r>
      <w:r>
        <w:rPr>
          <w:rFonts w:cs="Times New Roman"/>
          <w:sz w:val="24"/>
          <w:szCs w:val="24"/>
        </w:rPr>
        <w:t>Surgeon</w:t>
      </w:r>
      <w:r w:rsidRPr="008533D9">
        <w:rPr>
          <w:rFonts w:cs="Times New Roman"/>
          <w:sz w:val="24"/>
          <w:szCs w:val="24"/>
        </w:rPr>
        <w:t xml:space="preserve"> volume level mortality results, stratified by mortality type </w:t>
      </w: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35"/>
        <w:gridCol w:w="5670"/>
        <w:gridCol w:w="1276"/>
        <w:gridCol w:w="1275"/>
      </w:tblGrid>
      <w:tr w:rsidR="000F0341" w:rsidRPr="00BF62A1" w14:paraId="01F038BD" w14:textId="77777777" w:rsidTr="00E40B0D">
        <w:trPr>
          <w:trHeight w:val="361"/>
          <w:tblHeader/>
        </w:trPr>
        <w:tc>
          <w:tcPr>
            <w:tcW w:w="1135" w:type="dxa"/>
            <w:vMerge w:val="restart"/>
            <w:vAlign w:val="center"/>
          </w:tcPr>
          <w:p w14:paraId="02F727AF" w14:textId="77777777" w:rsidR="000F0341" w:rsidRPr="00C47DDC" w:rsidRDefault="000F0341" w:rsidP="00E40B0D">
            <w:pPr>
              <w:spacing w:line="240" w:lineRule="auto"/>
              <w:jc w:val="center"/>
              <w:rPr>
                <w:b/>
                <w:bCs/>
                <w:color w:val="000000"/>
                <w:sz w:val="14"/>
                <w:szCs w:val="14"/>
              </w:rPr>
            </w:pPr>
            <w:r w:rsidRPr="00C47DDC">
              <w:rPr>
                <w:b/>
                <w:bCs/>
                <w:color w:val="000000"/>
                <w:sz w:val="14"/>
                <w:szCs w:val="14"/>
              </w:rPr>
              <w:t>First author and year of publication</w:t>
            </w:r>
          </w:p>
        </w:tc>
        <w:tc>
          <w:tcPr>
            <w:tcW w:w="5670" w:type="dxa"/>
            <w:vMerge w:val="restart"/>
            <w:vAlign w:val="center"/>
          </w:tcPr>
          <w:p w14:paraId="5EBA0936" w14:textId="77777777" w:rsidR="000F0341" w:rsidRPr="00C47DDC" w:rsidRDefault="000F0341" w:rsidP="00E40B0D">
            <w:pPr>
              <w:spacing w:line="240" w:lineRule="auto"/>
              <w:jc w:val="center"/>
              <w:rPr>
                <w:b/>
                <w:bCs/>
                <w:color w:val="000000"/>
                <w:sz w:val="14"/>
                <w:szCs w:val="14"/>
              </w:rPr>
            </w:pPr>
            <w:r>
              <w:rPr>
                <w:b/>
                <w:bCs/>
                <w:color w:val="000000"/>
                <w:sz w:val="14"/>
                <w:szCs w:val="14"/>
              </w:rPr>
              <w:t xml:space="preserve">Hospital Mortality / FTR </w:t>
            </w:r>
          </w:p>
        </w:tc>
        <w:tc>
          <w:tcPr>
            <w:tcW w:w="2551" w:type="dxa"/>
            <w:gridSpan w:val="2"/>
            <w:vAlign w:val="center"/>
          </w:tcPr>
          <w:p w14:paraId="22005601" w14:textId="77777777" w:rsidR="000F0341" w:rsidRPr="00C47DDC" w:rsidRDefault="000F0341" w:rsidP="00E40B0D">
            <w:pPr>
              <w:spacing w:line="240" w:lineRule="auto"/>
              <w:jc w:val="center"/>
              <w:rPr>
                <w:b/>
                <w:bCs/>
                <w:color w:val="000000"/>
                <w:sz w:val="14"/>
                <w:szCs w:val="14"/>
              </w:rPr>
            </w:pPr>
            <w:r w:rsidRPr="00C47DDC">
              <w:rPr>
                <w:b/>
                <w:bCs/>
                <w:color w:val="000000"/>
                <w:sz w:val="14"/>
                <w:szCs w:val="14"/>
              </w:rPr>
              <w:t>Quality appraisal</w:t>
            </w:r>
          </w:p>
        </w:tc>
      </w:tr>
      <w:tr w:rsidR="000F0341" w:rsidRPr="00BF62A1" w14:paraId="195A0D4D" w14:textId="77777777" w:rsidTr="00E40B0D">
        <w:trPr>
          <w:trHeight w:val="409"/>
          <w:tblHeader/>
        </w:trPr>
        <w:tc>
          <w:tcPr>
            <w:tcW w:w="1135" w:type="dxa"/>
            <w:vMerge/>
            <w:vAlign w:val="center"/>
            <w:hideMark/>
          </w:tcPr>
          <w:p w14:paraId="77BD4C00" w14:textId="77777777" w:rsidR="000F0341" w:rsidRPr="00BF62A1" w:rsidRDefault="000F0341" w:rsidP="00E40B0D">
            <w:pPr>
              <w:spacing w:line="240" w:lineRule="auto"/>
              <w:jc w:val="center"/>
              <w:rPr>
                <w:b/>
                <w:bCs/>
                <w:color w:val="000000"/>
                <w:sz w:val="14"/>
                <w:szCs w:val="14"/>
              </w:rPr>
            </w:pPr>
          </w:p>
        </w:tc>
        <w:tc>
          <w:tcPr>
            <w:tcW w:w="5670" w:type="dxa"/>
            <w:vMerge/>
            <w:vAlign w:val="center"/>
            <w:hideMark/>
          </w:tcPr>
          <w:p w14:paraId="341995B0" w14:textId="77777777" w:rsidR="000F0341" w:rsidRPr="00BF62A1" w:rsidRDefault="000F0341" w:rsidP="00E40B0D">
            <w:pPr>
              <w:spacing w:line="240" w:lineRule="auto"/>
              <w:jc w:val="center"/>
              <w:rPr>
                <w:b/>
                <w:bCs/>
                <w:color w:val="000000"/>
                <w:sz w:val="14"/>
                <w:szCs w:val="14"/>
              </w:rPr>
            </w:pPr>
          </w:p>
        </w:tc>
        <w:tc>
          <w:tcPr>
            <w:tcW w:w="1276" w:type="dxa"/>
            <w:vAlign w:val="center"/>
          </w:tcPr>
          <w:p w14:paraId="54904AE4" w14:textId="77777777" w:rsidR="000F0341" w:rsidRPr="00C47DDC" w:rsidRDefault="000F0341" w:rsidP="00E40B0D">
            <w:pPr>
              <w:spacing w:line="240" w:lineRule="auto"/>
              <w:jc w:val="center"/>
              <w:rPr>
                <w:b/>
                <w:bCs/>
                <w:color w:val="000000"/>
                <w:sz w:val="14"/>
                <w:szCs w:val="14"/>
              </w:rPr>
            </w:pPr>
            <w:r w:rsidRPr="00C47DDC">
              <w:rPr>
                <w:b/>
                <w:bCs/>
                <w:color w:val="000000"/>
                <w:sz w:val="14"/>
                <w:szCs w:val="14"/>
              </w:rPr>
              <w:t xml:space="preserve">ISPOR </w:t>
            </w:r>
            <w:r w:rsidRPr="00C47DDC">
              <w:rPr>
                <w:color w:val="000000"/>
                <w:sz w:val="14"/>
                <w:szCs w:val="14"/>
              </w:rPr>
              <w:t>(Yes/Partially/No/NA)</w:t>
            </w:r>
          </w:p>
        </w:tc>
        <w:tc>
          <w:tcPr>
            <w:tcW w:w="1275" w:type="dxa"/>
            <w:vAlign w:val="center"/>
          </w:tcPr>
          <w:p w14:paraId="3E95F162" w14:textId="77777777" w:rsidR="000F0341" w:rsidRPr="00C47DDC" w:rsidRDefault="000F0341" w:rsidP="00E40B0D">
            <w:pPr>
              <w:spacing w:line="240" w:lineRule="auto"/>
              <w:jc w:val="center"/>
              <w:rPr>
                <w:b/>
                <w:bCs/>
                <w:color w:val="000000"/>
                <w:sz w:val="14"/>
                <w:szCs w:val="14"/>
              </w:rPr>
            </w:pPr>
            <w:r w:rsidRPr="00C47DDC">
              <w:rPr>
                <w:b/>
                <w:bCs/>
                <w:color w:val="000000"/>
                <w:sz w:val="14"/>
                <w:szCs w:val="14"/>
              </w:rPr>
              <w:t xml:space="preserve">ROBINS-E </w:t>
            </w:r>
            <w:r w:rsidRPr="00C47DDC">
              <w:rPr>
                <w:color w:val="000000"/>
                <w:sz w:val="14"/>
                <w:szCs w:val="14"/>
              </w:rPr>
              <w:t>(Domain 7</w:t>
            </w:r>
            <w:r w:rsidRPr="00C47DDC">
              <w:rPr>
                <w:sz w:val="14"/>
                <w:szCs w:val="14"/>
              </w:rPr>
              <w:t>†</w:t>
            </w:r>
            <w:r w:rsidRPr="00C47DDC">
              <w:rPr>
                <w:color w:val="000000"/>
                <w:sz w:val="14"/>
                <w:szCs w:val="14"/>
              </w:rPr>
              <w:t>)</w:t>
            </w:r>
          </w:p>
        </w:tc>
      </w:tr>
      <w:tr w:rsidR="000F0341" w:rsidRPr="00BF62A1" w14:paraId="25E221F0" w14:textId="77777777" w:rsidTr="00E40B0D">
        <w:trPr>
          <w:trHeight w:val="340"/>
        </w:trPr>
        <w:tc>
          <w:tcPr>
            <w:tcW w:w="9356" w:type="dxa"/>
            <w:gridSpan w:val="4"/>
            <w:vAlign w:val="center"/>
          </w:tcPr>
          <w:p w14:paraId="2EBD0E80" w14:textId="77777777" w:rsidR="000F0341" w:rsidRPr="00C47DDC" w:rsidRDefault="000F0341" w:rsidP="00E40B0D">
            <w:pPr>
              <w:spacing w:line="240" w:lineRule="auto"/>
              <w:jc w:val="center"/>
              <w:rPr>
                <w:b/>
                <w:bCs/>
                <w:color w:val="000000"/>
                <w:sz w:val="14"/>
                <w:szCs w:val="14"/>
              </w:rPr>
            </w:pPr>
            <w:r w:rsidRPr="00C47DDC">
              <w:rPr>
                <w:b/>
                <w:bCs/>
                <w:color w:val="000000"/>
                <w:sz w:val="14"/>
                <w:szCs w:val="14"/>
              </w:rPr>
              <w:t>Anatomical and non-anatomical resections combined</w:t>
            </w:r>
          </w:p>
        </w:tc>
      </w:tr>
      <w:tr w:rsidR="000F0341" w:rsidRPr="00BF62A1" w14:paraId="358EE4F3" w14:textId="77777777" w:rsidTr="00E40B0D">
        <w:trPr>
          <w:trHeight w:val="20"/>
        </w:trPr>
        <w:tc>
          <w:tcPr>
            <w:tcW w:w="1135" w:type="dxa"/>
            <w:hideMark/>
          </w:tcPr>
          <w:p w14:paraId="6F3CBB11" w14:textId="52B86BFC" w:rsidR="000F0341" w:rsidRPr="00C47DDC" w:rsidRDefault="000F0341" w:rsidP="00E40B0D">
            <w:pPr>
              <w:spacing w:line="240" w:lineRule="auto"/>
              <w:jc w:val="left"/>
              <w:rPr>
                <w:color w:val="000000"/>
                <w:sz w:val="14"/>
                <w:szCs w:val="14"/>
              </w:rPr>
            </w:pPr>
            <w:r w:rsidRPr="00C47DDC">
              <w:rPr>
                <w:color w:val="000000"/>
                <w:sz w:val="14"/>
                <w:szCs w:val="14"/>
              </w:rPr>
              <w:t xml:space="preserve">Buettner 2016 </w:t>
            </w:r>
            <w:r w:rsidRPr="00C47DDC">
              <w:rPr>
                <w:color w:val="000000"/>
                <w:sz w:val="14"/>
                <w:szCs w:val="14"/>
              </w:rPr>
              <w:fldChar w:fldCharType="begin"/>
            </w:r>
            <w:r>
              <w:rPr>
                <w:color w:val="000000"/>
                <w:sz w:val="14"/>
                <w:szCs w:val="14"/>
              </w:rPr>
              <w:instrText xml:space="preserve"> ADDIN ZOTERO_ITEM CSL_CITATION {"citationID":"Zoq2nTHj","properties":{"formattedCitation":"[89]","plainCitation":"[89]","noteIndex":0},"citationItems":[{"id":14336,"uris":["http://zotero.org/groups/4983919/items/X7K5DKAZ"],"itemData":{"id":14336,"type":"article-journal","abstract":"BACKGROUND: Although previous reports have focused on factors at the hospital level to explain variations in postoperative outcomes, less is known regarding the effect of provider-specific factors on postoperative outcomes such as failure-to-rescue (FTR) and postoperative mortality. The current study aimed to quantify the relative contributions of surgeon and hospital volume on the volume-outcomes relationship among a cohort of patients undergoing liver resection. METHODS: Patients undergoing liver surgery for cancer were identified using the Nationwide Inpatient Sample from 2001 and 2009. Multivariable logistic regression analysis was performed to identify factors associated with mortality and FTR. Point estimates were used to calculate the relative effects of hospital and surgeon volume on mortality and FTR. RESULTS: A total of 5,075 patients underwent liver surgery and met inclusion criteria. Median patient age was 62 years (interquartile range, 52-70) and 55.2% of patients were male. Mortality was lowest among patients treated at high-volume hospitals and among patients treated by high-volume surgeons (both P &lt; .001). Similar patterns in FTR were noted relative to hospital and surgeon volume (hospital volume: low vs intermediate vs high; 10.3 vs 9.0 vs 5.2%; surgeon volume: low vs intermediate vs high, 11.1 vs 9.1 vs 4.1%; both P &lt; .05). On multivariable analysis, compared with high-volume surgeons, lower volume surgeons demonstrated greater odds for mortality (intermediate: odds ratio [OR], 2.27 [95% CI, 1.27-4.06; P = .006]; low, OR, 2.83 [95% CI, 1.52-5.27; P = .001]), and FTR (intermediate: OR, 2.86 [95% CI, 1.53-5.34, P = .001]; low, OR, 3.40 [95% CI, 1.75-6.63; P &lt; .001]). While hospital volume accounted for 0.5% of the surgeon volume effect on increased FTR for low-volume surgeons, surgeon volume accounted for nearly all of the hospital volume effect on increased FTR in low-volume hospitals. CONCLUSION: The risk of complications, mortality, and FTR were less among both high-volume hospitals and high-volume surgeons, but the beneficial effect of volume on outcomes was attributable largely to surgeon volume.","container-title":"Surgery","DOI":"10.1016/j.surg.2015.10.025","ISSN":"0039-6060","issue":"4","language":"eng","page":"1004-12","title":"The relative effect of hospital and surgeon volume on failure to rescue among patients undergoing liver resection for cancer","volume":"159","author":[{"family":"Buettner","given":"S."},{"family":"Gani","given":"F."},{"family":"Amini","given":"N."},{"family":"Spolverato","given":"G."},{"family":"Kim","given":"Y."},{"family":"Kilic","given":"A."},{"family":"Wagner","given":"D."},{"family":"Pawlik","given":"T. M."}],"issued":{"date-parts":[["2016",4]]}}}],"schema":"https://github.com/citation-style-language/schema/raw/master/csl-citation.json"} </w:instrText>
            </w:r>
            <w:r w:rsidRPr="00C47DDC">
              <w:rPr>
                <w:color w:val="000000"/>
                <w:sz w:val="14"/>
                <w:szCs w:val="14"/>
              </w:rPr>
              <w:fldChar w:fldCharType="separate"/>
            </w:r>
            <w:r w:rsidRPr="004125CE">
              <w:rPr>
                <w:sz w:val="14"/>
              </w:rPr>
              <w:t>[8</w:t>
            </w:r>
            <w:r w:rsidR="007A755B">
              <w:rPr>
                <w:sz w:val="14"/>
              </w:rPr>
              <w:t>0</w:t>
            </w:r>
            <w:r w:rsidRPr="004125CE">
              <w:rPr>
                <w:sz w:val="14"/>
              </w:rPr>
              <w:t>]</w:t>
            </w:r>
            <w:r w:rsidRPr="00C47DDC">
              <w:rPr>
                <w:color w:val="000000"/>
                <w:sz w:val="14"/>
                <w:szCs w:val="14"/>
              </w:rPr>
              <w:fldChar w:fldCharType="end"/>
            </w:r>
          </w:p>
        </w:tc>
        <w:tc>
          <w:tcPr>
            <w:tcW w:w="5670" w:type="dxa"/>
            <w:hideMark/>
          </w:tcPr>
          <w:p w14:paraId="07E174F0" w14:textId="77777777" w:rsidR="000F0341" w:rsidRPr="00C47DDC" w:rsidRDefault="000F0341" w:rsidP="00E40B0D">
            <w:pPr>
              <w:spacing w:line="240" w:lineRule="auto"/>
              <w:jc w:val="left"/>
              <w:rPr>
                <w:b/>
                <w:bCs/>
                <w:color w:val="000000"/>
                <w:sz w:val="14"/>
                <w:szCs w:val="14"/>
              </w:rPr>
            </w:pPr>
            <w:r w:rsidRPr="00C47DDC">
              <w:rPr>
                <w:b/>
                <w:bCs/>
                <w:color w:val="000000"/>
                <w:sz w:val="14"/>
                <w:szCs w:val="14"/>
              </w:rPr>
              <w:t>Postoperative mortality:</w:t>
            </w:r>
            <w:r w:rsidRPr="00C47DDC">
              <w:rPr>
                <w:color w:val="000000"/>
                <w:sz w:val="14"/>
                <w:szCs w:val="14"/>
              </w:rPr>
              <w:t xml:space="preserve"> (OS): </w:t>
            </w:r>
            <w:r w:rsidRPr="00C47DDC">
              <w:rPr>
                <w:color w:val="000000"/>
                <w:sz w:val="14"/>
                <w:szCs w:val="14"/>
                <w:u w:val="single"/>
              </w:rPr>
              <w:t>High</w:t>
            </w:r>
            <w:r w:rsidRPr="00C47DDC">
              <w:rPr>
                <w:color w:val="000000"/>
                <w:sz w:val="14"/>
                <w:szCs w:val="14"/>
              </w:rPr>
              <w:t xml:space="preserve"> vs. Low: 3.01</w:t>
            </w:r>
            <w:r w:rsidRPr="00C47DDC">
              <w:rPr>
                <w:color w:val="000000"/>
                <w:sz w:val="14"/>
                <w:szCs w:val="14"/>
                <w:vertAlign w:val="superscript"/>
              </w:rPr>
              <w:t>a</w:t>
            </w:r>
            <w:r w:rsidRPr="00C47DDC">
              <w:rPr>
                <w:color w:val="000000"/>
                <w:sz w:val="14"/>
                <w:szCs w:val="14"/>
              </w:rPr>
              <w:t xml:space="preserve"> [1.80–5.04]***; Intermediate: 2.56</w:t>
            </w:r>
            <w:r w:rsidRPr="00C47DDC">
              <w:rPr>
                <w:color w:val="000000"/>
                <w:sz w:val="14"/>
                <w:szCs w:val="14"/>
                <w:vertAlign w:val="superscript"/>
              </w:rPr>
              <w:t>a</w:t>
            </w:r>
            <w:r w:rsidRPr="00C47DDC">
              <w:rPr>
                <w:color w:val="000000"/>
                <w:sz w:val="14"/>
                <w:szCs w:val="14"/>
              </w:rPr>
              <w:t xml:space="preserve"> [1.54–4.26]***|</w:t>
            </w:r>
            <w:r w:rsidRPr="00C47DDC">
              <w:rPr>
                <w:color w:val="000000"/>
                <w:sz w:val="14"/>
                <w:szCs w:val="14"/>
              </w:rPr>
              <w:br/>
            </w:r>
            <w:r w:rsidRPr="00C47DDC">
              <w:rPr>
                <w:b/>
                <w:bCs/>
                <w:color w:val="000000"/>
                <w:sz w:val="14"/>
                <w:szCs w:val="14"/>
              </w:rPr>
              <w:t>FTR:</w:t>
            </w:r>
            <w:r w:rsidRPr="00C47DDC">
              <w:rPr>
                <w:color w:val="000000"/>
                <w:sz w:val="14"/>
                <w:szCs w:val="14"/>
              </w:rPr>
              <w:t xml:space="preserve"> </w:t>
            </w:r>
            <w:r w:rsidRPr="00C47DDC">
              <w:rPr>
                <w:color w:val="000000"/>
                <w:sz w:val="14"/>
                <w:szCs w:val="14"/>
                <w:u w:val="single"/>
              </w:rPr>
              <w:t>High</w:t>
            </w:r>
            <w:r w:rsidRPr="00C47DDC">
              <w:rPr>
                <w:color w:val="000000"/>
                <w:sz w:val="14"/>
                <w:szCs w:val="14"/>
              </w:rPr>
              <w:t xml:space="preserve"> vs. Low: 3.42</w:t>
            </w:r>
            <w:r w:rsidRPr="00C47DDC">
              <w:rPr>
                <w:color w:val="000000"/>
                <w:sz w:val="14"/>
                <w:szCs w:val="14"/>
                <w:vertAlign w:val="superscript"/>
              </w:rPr>
              <w:t>a</w:t>
            </w:r>
            <w:r w:rsidRPr="00C47DDC">
              <w:rPr>
                <w:color w:val="000000"/>
                <w:sz w:val="14"/>
                <w:szCs w:val="14"/>
              </w:rPr>
              <w:t xml:space="preserve"> [1.98–5.93]***; Intermediate: 3.08</w:t>
            </w:r>
            <w:r w:rsidRPr="00C47DDC">
              <w:rPr>
                <w:color w:val="000000"/>
                <w:sz w:val="14"/>
                <w:szCs w:val="14"/>
                <w:vertAlign w:val="superscript"/>
              </w:rPr>
              <w:t>a</w:t>
            </w:r>
            <w:r w:rsidRPr="00C47DDC">
              <w:rPr>
                <w:color w:val="000000"/>
                <w:sz w:val="14"/>
                <w:szCs w:val="14"/>
              </w:rPr>
              <w:t xml:space="preserve"> [1.77–5.34]***</w:t>
            </w:r>
          </w:p>
        </w:tc>
        <w:tc>
          <w:tcPr>
            <w:tcW w:w="1276" w:type="dxa"/>
          </w:tcPr>
          <w:p w14:paraId="6F4FD51B" w14:textId="77777777" w:rsidR="000F0341" w:rsidRPr="00C47DDC" w:rsidRDefault="000F0341" w:rsidP="00E40B0D">
            <w:pPr>
              <w:spacing w:line="240" w:lineRule="auto"/>
              <w:jc w:val="left"/>
              <w:rPr>
                <w:color w:val="000000"/>
                <w:sz w:val="14"/>
                <w:szCs w:val="14"/>
              </w:rPr>
            </w:pPr>
            <w:r w:rsidRPr="00C47DDC">
              <w:rPr>
                <w:color w:val="000000"/>
                <w:sz w:val="14"/>
                <w:szCs w:val="14"/>
              </w:rPr>
              <w:t>12/2/7/6</w:t>
            </w:r>
          </w:p>
        </w:tc>
        <w:tc>
          <w:tcPr>
            <w:tcW w:w="1275" w:type="dxa"/>
          </w:tcPr>
          <w:p w14:paraId="64AF564E" w14:textId="77777777" w:rsidR="000F0341" w:rsidRPr="00C47DDC" w:rsidRDefault="000F0341" w:rsidP="00E40B0D">
            <w:pPr>
              <w:spacing w:line="240" w:lineRule="auto"/>
              <w:jc w:val="left"/>
              <w:rPr>
                <w:color w:val="000000"/>
                <w:sz w:val="14"/>
                <w:szCs w:val="14"/>
              </w:rPr>
            </w:pPr>
            <w:r w:rsidRPr="00C47DDC">
              <w:rPr>
                <w:color w:val="000000"/>
                <w:sz w:val="14"/>
                <w:szCs w:val="14"/>
              </w:rPr>
              <w:t>High Risk</w:t>
            </w:r>
          </w:p>
        </w:tc>
      </w:tr>
      <w:tr w:rsidR="000F0341" w:rsidRPr="00BF62A1" w14:paraId="6286AED0" w14:textId="77777777" w:rsidTr="00E40B0D">
        <w:trPr>
          <w:trHeight w:val="20"/>
        </w:trPr>
        <w:tc>
          <w:tcPr>
            <w:tcW w:w="1135" w:type="dxa"/>
          </w:tcPr>
          <w:p w14:paraId="45F2065C" w14:textId="77777777" w:rsidR="000F0341" w:rsidRPr="00C47DDC" w:rsidRDefault="000F0341" w:rsidP="00E40B0D">
            <w:pPr>
              <w:spacing w:line="240" w:lineRule="auto"/>
              <w:jc w:val="left"/>
              <w:rPr>
                <w:color w:val="000000"/>
                <w:sz w:val="14"/>
                <w:szCs w:val="14"/>
              </w:rPr>
            </w:pPr>
            <w:r w:rsidRPr="00C47DDC">
              <w:rPr>
                <w:color w:val="000000"/>
                <w:sz w:val="14"/>
                <w:szCs w:val="14"/>
              </w:rPr>
              <w:t xml:space="preserve">Shaw 2013 </w:t>
            </w:r>
            <w:r w:rsidRPr="00C47DDC">
              <w:rPr>
                <w:color w:val="000000"/>
                <w:sz w:val="14"/>
                <w:szCs w:val="14"/>
              </w:rPr>
              <w:fldChar w:fldCharType="begin"/>
            </w:r>
            <w:r>
              <w:rPr>
                <w:color w:val="000000"/>
                <w:sz w:val="14"/>
                <w:szCs w:val="14"/>
              </w:rPr>
              <w:instrText xml:space="preserve"> ADDIN ZOTERO_ITEM CSL_CITATION {"citationID":"7i7QaBpB","properties":{"formattedCitation":"[71]","plainCitation":"[71]","noteIndex":0},"citationItems":[{"id":14154,"uris":["http://zotero.org/groups/4983919/items/HSBRVXJ5"],"itemData":{"id":14154,"type":"article-journal","abstract":"BACKGROUND: Specialized procedures such as hepatectomy are performed by a variety of specialties in surgery. We aimed to determine whether variation exists among utilization of resources, cost, and patient outcomes by specialty, surgeon case volume, and center case volume for hepatectomy. METHODS: We queried centers (n = 50) in the University Health Consortium database from 2007-2010 for patients who underwent elective hepatectomy in which specialty was designated general surgeon (n = 2685; 30%) or specialist surgeon (n = 6277; 70%), surgeon volume was designated high volume (&gt;38 cases annually) and center volume was designated high volume (&gt;100 cases annually). We then stratified our cohort by primary diagnosis, defined as primary tumor (n = 2241; 25%), secondary tumor (n = 5466; 61%), and benign (n = 1255; 14%). RESULTS: Specialist surgeons performed more cases for primary malignancy (primary 26% versus 15%) while general surgeons operated more for secondary malignancies (67% versus 61%) and benign disease (18% versus 13%). Specialists were associated with a shorter total length of stay (LOS) (5 d versus 6 d; P &lt; 0.01) and lower in-hospital morbidity (7% versus 11%; P &lt; 0.01). Patients treated by high volume surgeons or at high volume centers were less likely to die than those treated by low volume surgeons or at low volume centers, (OR 0.55; 95% CI 0.33-0.89) and (OR 0.44; 95% CI 0.13-0.56). CONCLUSIONS: Surgical specialization, surgeon volume and center volume may be important metrics for quality and utilization in complex procedures like hepatectomy. Further studies are necessary to link direct factors related to hospital performance in the changing healthcare environment.","container-title":"J Surg Res","DOI":"10.1016/j.jss.2013.04.072","ISSN":"0022-4804 (Print) 0022-4804","issue":"1","language":"eng","note":"publisher-place: Department of Surgery, Surgical Outcomes Analysis &amp; Research (SOAR), University of Massachusetts Medical School, Worcester, Massachusetts. Electronic address: joshua.shaw3@umassmemorial.org.","page":"433-40","title":"Specialization and utilization after hepatectomy in academic medical centers","volume":"185","author":[{"family":"Shaw","given":"J. J."},{"family":"Santry","given":"H. P."},{"family":"Shah","given":"S. A."}],"issued":{"date-parts":[["2013",11]]}}}],"schema":"https://github.com/citation-style-language/schema/raw/master/csl-citation.json"} </w:instrText>
            </w:r>
            <w:r w:rsidRPr="00C47DDC">
              <w:rPr>
                <w:color w:val="000000"/>
                <w:sz w:val="14"/>
                <w:szCs w:val="14"/>
              </w:rPr>
              <w:fldChar w:fldCharType="separate"/>
            </w:r>
            <w:r w:rsidRPr="004125CE">
              <w:rPr>
                <w:sz w:val="14"/>
              </w:rPr>
              <w:t>[71]</w:t>
            </w:r>
            <w:r w:rsidRPr="00C47DDC">
              <w:rPr>
                <w:color w:val="000000"/>
                <w:sz w:val="14"/>
                <w:szCs w:val="14"/>
              </w:rPr>
              <w:fldChar w:fldCharType="end"/>
            </w:r>
          </w:p>
        </w:tc>
        <w:tc>
          <w:tcPr>
            <w:tcW w:w="5670" w:type="dxa"/>
          </w:tcPr>
          <w:p w14:paraId="70EAC738" w14:textId="77777777" w:rsidR="000F0341" w:rsidRPr="00C47DDC" w:rsidRDefault="000F0341" w:rsidP="00E40B0D">
            <w:pPr>
              <w:spacing w:line="240" w:lineRule="auto"/>
              <w:jc w:val="left"/>
              <w:rPr>
                <w:b/>
                <w:bCs/>
                <w:color w:val="000000"/>
                <w:sz w:val="14"/>
                <w:szCs w:val="14"/>
              </w:rPr>
            </w:pPr>
            <w:r w:rsidRPr="00C47DDC">
              <w:rPr>
                <w:b/>
                <w:bCs/>
                <w:color w:val="000000"/>
                <w:sz w:val="14"/>
                <w:szCs w:val="14"/>
              </w:rPr>
              <w:t>Hospital mortality:</w:t>
            </w:r>
            <w:r w:rsidRPr="00C47DDC">
              <w:rPr>
                <w:color w:val="000000"/>
                <w:sz w:val="14"/>
                <w:szCs w:val="14"/>
              </w:rPr>
              <w:t xml:space="preserve"> (OR): </w:t>
            </w:r>
            <w:r w:rsidRPr="00C47DDC">
              <w:rPr>
                <w:color w:val="000000"/>
                <w:sz w:val="14"/>
                <w:szCs w:val="14"/>
                <w:u w:val="single"/>
              </w:rPr>
              <w:t>Low</w:t>
            </w:r>
            <w:r w:rsidRPr="00C47DDC">
              <w:rPr>
                <w:color w:val="000000"/>
                <w:sz w:val="14"/>
                <w:szCs w:val="14"/>
              </w:rPr>
              <w:t xml:space="preserve"> vs. Intermediate: -; High: 0.55</w:t>
            </w:r>
            <w:r w:rsidRPr="00C47DDC">
              <w:rPr>
                <w:color w:val="000000"/>
                <w:sz w:val="14"/>
                <w:szCs w:val="14"/>
                <w:vertAlign w:val="superscript"/>
              </w:rPr>
              <w:t>a</w:t>
            </w:r>
            <w:r w:rsidRPr="00C47DDC">
              <w:rPr>
                <w:color w:val="000000"/>
                <w:sz w:val="14"/>
                <w:szCs w:val="14"/>
              </w:rPr>
              <w:t xml:space="preserve"> [0.33-0.89]</w:t>
            </w:r>
          </w:p>
        </w:tc>
        <w:tc>
          <w:tcPr>
            <w:tcW w:w="1276" w:type="dxa"/>
          </w:tcPr>
          <w:p w14:paraId="79E99A57" w14:textId="77777777" w:rsidR="000F0341" w:rsidRPr="00C47DDC" w:rsidRDefault="000F0341" w:rsidP="00E40B0D">
            <w:pPr>
              <w:spacing w:line="240" w:lineRule="auto"/>
              <w:jc w:val="left"/>
              <w:rPr>
                <w:color w:val="000000"/>
                <w:sz w:val="14"/>
                <w:szCs w:val="14"/>
              </w:rPr>
            </w:pPr>
            <w:r w:rsidRPr="00C47DDC">
              <w:rPr>
                <w:color w:val="000000"/>
                <w:sz w:val="14"/>
                <w:szCs w:val="14"/>
              </w:rPr>
              <w:t>11/4/6/6</w:t>
            </w:r>
          </w:p>
        </w:tc>
        <w:tc>
          <w:tcPr>
            <w:tcW w:w="1275" w:type="dxa"/>
          </w:tcPr>
          <w:p w14:paraId="11D2E422" w14:textId="77777777" w:rsidR="000F0341" w:rsidRPr="00C47DDC" w:rsidRDefault="000F0341" w:rsidP="00E40B0D">
            <w:pPr>
              <w:spacing w:line="240" w:lineRule="auto"/>
              <w:jc w:val="left"/>
              <w:rPr>
                <w:color w:val="000000"/>
                <w:sz w:val="14"/>
                <w:szCs w:val="14"/>
              </w:rPr>
            </w:pPr>
            <w:r w:rsidRPr="00C47DDC">
              <w:rPr>
                <w:color w:val="000000"/>
                <w:sz w:val="14"/>
                <w:szCs w:val="14"/>
              </w:rPr>
              <w:t>High Risk</w:t>
            </w:r>
          </w:p>
        </w:tc>
      </w:tr>
      <w:tr w:rsidR="000F0341" w:rsidRPr="00BF62A1" w14:paraId="7759E18E" w14:textId="77777777" w:rsidTr="00E40B0D">
        <w:trPr>
          <w:trHeight w:val="133"/>
        </w:trPr>
        <w:tc>
          <w:tcPr>
            <w:tcW w:w="1135" w:type="dxa"/>
            <w:hideMark/>
          </w:tcPr>
          <w:p w14:paraId="63ED3FD2" w14:textId="6BDA2A1F" w:rsidR="000F0341" w:rsidRPr="00C47DDC" w:rsidRDefault="000F0341" w:rsidP="00E40B0D">
            <w:pPr>
              <w:spacing w:line="240" w:lineRule="auto"/>
              <w:jc w:val="left"/>
              <w:rPr>
                <w:color w:val="000000"/>
                <w:sz w:val="14"/>
                <w:szCs w:val="14"/>
              </w:rPr>
            </w:pPr>
            <w:r w:rsidRPr="00C47DDC">
              <w:rPr>
                <w:color w:val="000000"/>
                <w:sz w:val="14"/>
                <w:szCs w:val="14"/>
              </w:rPr>
              <w:t xml:space="preserve">Chiu 2015 </w:t>
            </w:r>
            <w:r w:rsidRPr="00C47DDC">
              <w:rPr>
                <w:color w:val="000000"/>
                <w:sz w:val="14"/>
                <w:szCs w:val="14"/>
              </w:rPr>
              <w:fldChar w:fldCharType="begin"/>
            </w:r>
            <w:r>
              <w:rPr>
                <w:color w:val="000000"/>
                <w:sz w:val="14"/>
                <w:szCs w:val="14"/>
              </w:rPr>
              <w:instrText xml:space="preserve"> ADDIN ZOTERO_ITEM CSL_CITATION {"citationID":"XF8kJHq5","properties":{"formattedCitation":"[88]","plainCitation":"[88]","noteIndex":0},"citationItems":[{"id":14354,"uris":["http://zotero.org/groups/4983919/items/85AI84VG"],"itemData":{"id":14354,"type":"article-journal","abstract":"BACKGROUND: Despite the huge and growing global burden of hepatocellular carcinoma (HCC), high-quality population-based studies of HCC prevalence and outcomes are scarce. PURPOSE: To analyze trends and predictors of hospital resource utilization and mortality rates in a population of patients who had received HCC surgery. PATIENTS AND MATERIALS: This population-based patient cohort study retrospectively analyzed 23,107 patients who had received surgical treatment for HCC from 1998 to 2009. RESULTS: The prevalence rate of surgical treatment in HCC patients significantly increased by 167.4% from 4.857 per 100,000 persons in 1998 to 12.989 per 100,000 persons in 2009 (P &lt; 0.001). Age, gender, Deyo-Charlson co-morbidity index score, hospital volume, surgeon volume, digestive system disease, hepatitis type and liver cirrhosis were significantly associated with HCC surgical outcomes (P &lt; 0.05). Over the 12-year period analyzed, the estimated mean hospital treatment cost increased 9.4% whereas mean length of stay (LOS) decreased 25.3%. The estimated mean overall survival time after HCC surgery was 40.9 months (SD 1.2 months), and the overall in-hospital 1-, 3-, and 5-year survival rates were 97.2%, 79.9%, 61.1%, and 54.6%, respectively. CONCLUSIONS: These population-based data reveal that the prevalence of HCC has increased, especially in older patients. Additionally, hospital treatment costs for HCC have increased despite decreases in LOS. These analytical results should be applicable to most countries with relatively small populations. Additionally, healthcare providers and patients should recognize that attributes of both the patient and the hospital may affect outcomes.","container-title":"Eur J Surg Oncol","DOI":"10.1016/j.ejso.2015.04.023","ISSN":"0748-7983","issue":"9","language":"eng","page":"1170-8","title":"Trends and predictors of outcomes after surgery for hepatocellular carcinoma: A nationwide population-based study in Taiwan","volume":"41","author":[{"family":"Chiu","given":"C. C."},{"family":"Wang","given":"J. J."},{"family":"Chen","given":"Y. S."},{"family":"Chen","given":"J. J."},{"family":"Tsai","given":"T. C."},{"family":"Lai","given":"C. C."},{"family":"Sun","given":"D. P."},{"family":"Shi","given":"H. Y."}],"issued":{"date-parts":[["2015",9]]}}}],"schema":"https://github.com/citation-style-language/schema/raw/master/csl-citation.json"} </w:instrText>
            </w:r>
            <w:r w:rsidRPr="00C47DDC">
              <w:rPr>
                <w:color w:val="000000"/>
                <w:sz w:val="14"/>
                <w:szCs w:val="14"/>
              </w:rPr>
              <w:fldChar w:fldCharType="separate"/>
            </w:r>
            <w:r w:rsidRPr="004125CE">
              <w:rPr>
                <w:sz w:val="14"/>
              </w:rPr>
              <w:t>[</w:t>
            </w:r>
            <w:r w:rsidR="007A755B">
              <w:rPr>
                <w:sz w:val="14"/>
              </w:rPr>
              <w:t>52</w:t>
            </w:r>
            <w:r w:rsidRPr="004125CE">
              <w:rPr>
                <w:sz w:val="14"/>
              </w:rPr>
              <w:t>]</w:t>
            </w:r>
            <w:r w:rsidRPr="00C47DDC">
              <w:rPr>
                <w:color w:val="000000"/>
                <w:sz w:val="14"/>
                <w:szCs w:val="14"/>
              </w:rPr>
              <w:fldChar w:fldCharType="end"/>
            </w:r>
          </w:p>
        </w:tc>
        <w:tc>
          <w:tcPr>
            <w:tcW w:w="5670" w:type="dxa"/>
            <w:hideMark/>
          </w:tcPr>
          <w:p w14:paraId="1FB64876" w14:textId="77777777" w:rsidR="000F0341" w:rsidRPr="00C47DDC" w:rsidRDefault="000F0341" w:rsidP="00E40B0D">
            <w:pPr>
              <w:spacing w:line="240" w:lineRule="auto"/>
              <w:jc w:val="left"/>
              <w:rPr>
                <w:color w:val="000000"/>
                <w:sz w:val="14"/>
                <w:szCs w:val="14"/>
              </w:rPr>
            </w:pPr>
            <w:r w:rsidRPr="00C47DDC">
              <w:rPr>
                <w:b/>
                <w:bCs/>
                <w:color w:val="000000"/>
                <w:sz w:val="14"/>
                <w:szCs w:val="14"/>
              </w:rPr>
              <w:t>Hospital mortality</w:t>
            </w:r>
            <w:r w:rsidRPr="00C47DDC">
              <w:rPr>
                <w:b/>
                <w:bCs/>
                <w:color w:val="000000"/>
                <w:sz w:val="14"/>
                <w:szCs w:val="14"/>
                <w:vertAlign w:val="superscript"/>
              </w:rPr>
              <w:t>1,2</w:t>
            </w:r>
            <w:r w:rsidRPr="00C47DDC">
              <w:rPr>
                <w:b/>
                <w:bCs/>
                <w:color w:val="000000"/>
                <w:sz w:val="14"/>
                <w:szCs w:val="14"/>
              </w:rPr>
              <w:t>:</w:t>
            </w:r>
            <w:r w:rsidRPr="00C47DDC">
              <w:rPr>
                <w:color w:val="000000"/>
                <w:sz w:val="14"/>
                <w:szCs w:val="14"/>
              </w:rPr>
              <w:t xml:space="preserve"> (%): Low: 4.2</w:t>
            </w:r>
            <w:r w:rsidRPr="00C47DDC">
              <w:rPr>
                <w:sz w:val="14"/>
                <w:szCs w:val="14"/>
                <w:vertAlign w:val="superscript"/>
              </w:rPr>
              <w:t>d</w:t>
            </w:r>
            <w:r w:rsidRPr="00C47DDC">
              <w:rPr>
                <w:color w:val="000000"/>
                <w:sz w:val="14"/>
                <w:szCs w:val="14"/>
              </w:rPr>
              <w:t>; High: 1.0</w:t>
            </w:r>
            <w:r w:rsidRPr="00C47DDC">
              <w:rPr>
                <w:sz w:val="14"/>
                <w:szCs w:val="14"/>
                <w:vertAlign w:val="superscript"/>
              </w:rPr>
              <w:t>d</w:t>
            </w:r>
            <w:r w:rsidRPr="00C47DDC">
              <w:rPr>
                <w:color w:val="000000"/>
                <w:sz w:val="14"/>
                <w:szCs w:val="14"/>
              </w:rPr>
              <w:t>***|</w:t>
            </w:r>
            <w:r w:rsidRPr="00C47DDC">
              <w:rPr>
                <w:color w:val="000000"/>
                <w:sz w:val="14"/>
                <w:szCs w:val="14"/>
              </w:rPr>
              <w:br/>
            </w:r>
          </w:p>
        </w:tc>
        <w:tc>
          <w:tcPr>
            <w:tcW w:w="1276" w:type="dxa"/>
          </w:tcPr>
          <w:p w14:paraId="2F06A34C" w14:textId="77777777" w:rsidR="000F0341" w:rsidRPr="00C47DDC" w:rsidRDefault="000F0341" w:rsidP="00E40B0D">
            <w:pPr>
              <w:spacing w:line="240" w:lineRule="auto"/>
              <w:jc w:val="left"/>
              <w:rPr>
                <w:color w:val="000000"/>
                <w:sz w:val="14"/>
                <w:szCs w:val="14"/>
              </w:rPr>
            </w:pPr>
            <w:r w:rsidRPr="00C47DDC">
              <w:rPr>
                <w:color w:val="000000"/>
                <w:sz w:val="14"/>
                <w:szCs w:val="14"/>
              </w:rPr>
              <w:t>9/2/10/6</w:t>
            </w:r>
          </w:p>
        </w:tc>
        <w:tc>
          <w:tcPr>
            <w:tcW w:w="1275" w:type="dxa"/>
          </w:tcPr>
          <w:p w14:paraId="2CB35894" w14:textId="77777777" w:rsidR="000F0341" w:rsidRPr="00C47DDC" w:rsidRDefault="000F0341" w:rsidP="00E40B0D">
            <w:pPr>
              <w:spacing w:line="240" w:lineRule="auto"/>
              <w:jc w:val="left"/>
              <w:rPr>
                <w:color w:val="000000"/>
                <w:sz w:val="14"/>
                <w:szCs w:val="14"/>
              </w:rPr>
            </w:pPr>
            <w:r w:rsidRPr="00C47DDC">
              <w:rPr>
                <w:color w:val="000000"/>
                <w:sz w:val="14"/>
                <w:szCs w:val="14"/>
              </w:rPr>
              <w:t>High Risk</w:t>
            </w:r>
          </w:p>
        </w:tc>
      </w:tr>
    </w:tbl>
    <w:p w14:paraId="4E2F02D7" w14:textId="77777777" w:rsidR="000F0341" w:rsidRPr="00C47DDC" w:rsidRDefault="000F0341" w:rsidP="000F0341">
      <w:pPr>
        <w:jc w:val="left"/>
        <w:rPr>
          <w:sz w:val="22"/>
          <w:szCs w:val="22"/>
        </w:rPr>
      </w:pP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35"/>
        <w:gridCol w:w="5670"/>
        <w:gridCol w:w="1276"/>
        <w:gridCol w:w="1275"/>
      </w:tblGrid>
      <w:tr w:rsidR="000F0341" w:rsidRPr="00BF62A1" w14:paraId="24DAEE39" w14:textId="77777777" w:rsidTr="00E40B0D">
        <w:trPr>
          <w:trHeight w:val="361"/>
          <w:tblHeader/>
        </w:trPr>
        <w:tc>
          <w:tcPr>
            <w:tcW w:w="1135" w:type="dxa"/>
            <w:vMerge w:val="restart"/>
            <w:vAlign w:val="center"/>
          </w:tcPr>
          <w:p w14:paraId="7C8CCE7D" w14:textId="77777777" w:rsidR="000F0341" w:rsidRPr="00C47DDC" w:rsidRDefault="000F0341" w:rsidP="00E40B0D">
            <w:pPr>
              <w:spacing w:line="240" w:lineRule="auto"/>
              <w:jc w:val="center"/>
              <w:rPr>
                <w:b/>
                <w:bCs/>
                <w:color w:val="000000"/>
                <w:sz w:val="14"/>
                <w:szCs w:val="14"/>
              </w:rPr>
            </w:pPr>
            <w:r w:rsidRPr="00C47DDC">
              <w:rPr>
                <w:b/>
                <w:bCs/>
                <w:color w:val="000000"/>
                <w:sz w:val="14"/>
                <w:szCs w:val="14"/>
              </w:rPr>
              <w:t>First author and year of publication</w:t>
            </w:r>
          </w:p>
        </w:tc>
        <w:tc>
          <w:tcPr>
            <w:tcW w:w="5670" w:type="dxa"/>
            <w:vMerge w:val="restart"/>
            <w:vAlign w:val="center"/>
          </w:tcPr>
          <w:p w14:paraId="40DA9030" w14:textId="77777777" w:rsidR="000F0341" w:rsidRPr="00C47DDC" w:rsidRDefault="000F0341" w:rsidP="00E40B0D">
            <w:pPr>
              <w:spacing w:line="240" w:lineRule="auto"/>
              <w:jc w:val="center"/>
              <w:rPr>
                <w:b/>
                <w:bCs/>
                <w:color w:val="000000"/>
                <w:sz w:val="14"/>
                <w:szCs w:val="14"/>
              </w:rPr>
            </w:pPr>
            <w:r>
              <w:rPr>
                <w:b/>
                <w:bCs/>
                <w:color w:val="000000"/>
                <w:sz w:val="14"/>
                <w:szCs w:val="14"/>
              </w:rPr>
              <w:t>Short-term Mortality</w:t>
            </w:r>
          </w:p>
        </w:tc>
        <w:tc>
          <w:tcPr>
            <w:tcW w:w="2551" w:type="dxa"/>
            <w:gridSpan w:val="2"/>
            <w:vAlign w:val="center"/>
          </w:tcPr>
          <w:p w14:paraId="1BDA682B" w14:textId="77777777" w:rsidR="000F0341" w:rsidRPr="00C47DDC" w:rsidRDefault="000F0341" w:rsidP="00E40B0D">
            <w:pPr>
              <w:spacing w:line="240" w:lineRule="auto"/>
              <w:jc w:val="center"/>
              <w:rPr>
                <w:b/>
                <w:bCs/>
                <w:color w:val="000000"/>
                <w:sz w:val="14"/>
                <w:szCs w:val="14"/>
              </w:rPr>
            </w:pPr>
            <w:r w:rsidRPr="00C47DDC">
              <w:rPr>
                <w:b/>
                <w:bCs/>
                <w:color w:val="000000"/>
                <w:sz w:val="14"/>
                <w:szCs w:val="14"/>
              </w:rPr>
              <w:t>Quality appraisal</w:t>
            </w:r>
          </w:p>
        </w:tc>
      </w:tr>
      <w:tr w:rsidR="000F0341" w:rsidRPr="00BF62A1" w14:paraId="0023BCC0" w14:textId="77777777" w:rsidTr="00E40B0D">
        <w:trPr>
          <w:trHeight w:val="409"/>
          <w:tblHeader/>
        </w:trPr>
        <w:tc>
          <w:tcPr>
            <w:tcW w:w="1135" w:type="dxa"/>
            <w:vMerge/>
            <w:vAlign w:val="center"/>
            <w:hideMark/>
          </w:tcPr>
          <w:p w14:paraId="7DF1C7CF" w14:textId="77777777" w:rsidR="000F0341" w:rsidRPr="00BF62A1" w:rsidRDefault="000F0341" w:rsidP="00E40B0D">
            <w:pPr>
              <w:spacing w:line="240" w:lineRule="auto"/>
              <w:jc w:val="center"/>
              <w:rPr>
                <w:b/>
                <w:bCs/>
                <w:color w:val="000000"/>
                <w:sz w:val="14"/>
                <w:szCs w:val="14"/>
              </w:rPr>
            </w:pPr>
          </w:p>
        </w:tc>
        <w:tc>
          <w:tcPr>
            <w:tcW w:w="5670" w:type="dxa"/>
            <w:vMerge/>
            <w:vAlign w:val="center"/>
            <w:hideMark/>
          </w:tcPr>
          <w:p w14:paraId="3F8B5EDD" w14:textId="77777777" w:rsidR="000F0341" w:rsidRPr="00BF62A1" w:rsidRDefault="000F0341" w:rsidP="00E40B0D">
            <w:pPr>
              <w:spacing w:line="240" w:lineRule="auto"/>
              <w:jc w:val="center"/>
              <w:rPr>
                <w:b/>
                <w:bCs/>
                <w:color w:val="000000"/>
                <w:sz w:val="14"/>
                <w:szCs w:val="14"/>
              </w:rPr>
            </w:pPr>
          </w:p>
        </w:tc>
        <w:tc>
          <w:tcPr>
            <w:tcW w:w="1276" w:type="dxa"/>
            <w:vAlign w:val="center"/>
          </w:tcPr>
          <w:p w14:paraId="60C31821" w14:textId="77777777" w:rsidR="000F0341" w:rsidRPr="00C47DDC" w:rsidRDefault="000F0341" w:rsidP="00E40B0D">
            <w:pPr>
              <w:spacing w:line="240" w:lineRule="auto"/>
              <w:jc w:val="center"/>
              <w:rPr>
                <w:b/>
                <w:bCs/>
                <w:color w:val="000000"/>
                <w:sz w:val="14"/>
                <w:szCs w:val="14"/>
              </w:rPr>
            </w:pPr>
            <w:r w:rsidRPr="00C47DDC">
              <w:rPr>
                <w:b/>
                <w:bCs/>
                <w:color w:val="000000"/>
                <w:sz w:val="14"/>
                <w:szCs w:val="14"/>
              </w:rPr>
              <w:t xml:space="preserve">ISPOR </w:t>
            </w:r>
            <w:r w:rsidRPr="00C47DDC">
              <w:rPr>
                <w:color w:val="000000"/>
                <w:sz w:val="14"/>
                <w:szCs w:val="14"/>
              </w:rPr>
              <w:t>(Yes/Partially/No/NA)</w:t>
            </w:r>
          </w:p>
        </w:tc>
        <w:tc>
          <w:tcPr>
            <w:tcW w:w="1275" w:type="dxa"/>
            <w:vAlign w:val="center"/>
          </w:tcPr>
          <w:p w14:paraId="37818DA5" w14:textId="77777777" w:rsidR="000F0341" w:rsidRPr="00C47DDC" w:rsidRDefault="000F0341" w:rsidP="00E40B0D">
            <w:pPr>
              <w:spacing w:line="240" w:lineRule="auto"/>
              <w:jc w:val="center"/>
              <w:rPr>
                <w:b/>
                <w:bCs/>
                <w:color w:val="000000"/>
                <w:sz w:val="14"/>
                <w:szCs w:val="14"/>
              </w:rPr>
            </w:pPr>
            <w:r w:rsidRPr="00C47DDC">
              <w:rPr>
                <w:b/>
                <w:bCs/>
                <w:color w:val="000000"/>
                <w:sz w:val="14"/>
                <w:szCs w:val="14"/>
              </w:rPr>
              <w:t xml:space="preserve">ROBINS-E </w:t>
            </w:r>
            <w:r w:rsidRPr="00C47DDC">
              <w:rPr>
                <w:color w:val="000000"/>
                <w:sz w:val="14"/>
                <w:szCs w:val="14"/>
              </w:rPr>
              <w:t>(Domain 7</w:t>
            </w:r>
            <w:r w:rsidRPr="00C47DDC">
              <w:rPr>
                <w:sz w:val="14"/>
                <w:szCs w:val="14"/>
              </w:rPr>
              <w:t>†</w:t>
            </w:r>
            <w:r w:rsidRPr="00C47DDC">
              <w:rPr>
                <w:color w:val="000000"/>
                <w:sz w:val="14"/>
                <w:szCs w:val="14"/>
              </w:rPr>
              <w:t>)</w:t>
            </w:r>
          </w:p>
        </w:tc>
      </w:tr>
      <w:tr w:rsidR="000F0341" w:rsidRPr="00BF62A1" w14:paraId="627B794E" w14:textId="77777777" w:rsidTr="00E40B0D">
        <w:trPr>
          <w:trHeight w:val="340"/>
        </w:trPr>
        <w:tc>
          <w:tcPr>
            <w:tcW w:w="9356" w:type="dxa"/>
            <w:gridSpan w:val="4"/>
            <w:vAlign w:val="center"/>
          </w:tcPr>
          <w:p w14:paraId="760CC200" w14:textId="77777777" w:rsidR="000F0341" w:rsidRPr="00C47DDC" w:rsidRDefault="000F0341" w:rsidP="00E40B0D">
            <w:pPr>
              <w:spacing w:line="240" w:lineRule="auto"/>
              <w:jc w:val="center"/>
              <w:rPr>
                <w:b/>
                <w:bCs/>
                <w:color w:val="000000"/>
                <w:sz w:val="14"/>
                <w:szCs w:val="14"/>
              </w:rPr>
            </w:pPr>
            <w:r w:rsidRPr="00C47DDC">
              <w:rPr>
                <w:b/>
                <w:bCs/>
                <w:color w:val="000000"/>
                <w:sz w:val="14"/>
                <w:szCs w:val="14"/>
              </w:rPr>
              <w:t>Anatomical and non-anatomical resections combined</w:t>
            </w:r>
          </w:p>
        </w:tc>
      </w:tr>
      <w:tr w:rsidR="000F0341" w:rsidRPr="00BF62A1" w14:paraId="1539827D" w14:textId="77777777" w:rsidTr="00E40B0D">
        <w:trPr>
          <w:trHeight w:val="220"/>
        </w:trPr>
        <w:tc>
          <w:tcPr>
            <w:tcW w:w="1135" w:type="dxa"/>
            <w:hideMark/>
          </w:tcPr>
          <w:p w14:paraId="35E97E94" w14:textId="7CE71D81" w:rsidR="000F0341" w:rsidRPr="00C47DDC" w:rsidRDefault="000F0341" w:rsidP="00E40B0D">
            <w:pPr>
              <w:spacing w:line="240" w:lineRule="auto"/>
              <w:jc w:val="left"/>
              <w:rPr>
                <w:color w:val="000000"/>
                <w:sz w:val="14"/>
                <w:szCs w:val="14"/>
              </w:rPr>
            </w:pPr>
            <w:r w:rsidRPr="00C47DDC">
              <w:rPr>
                <w:color w:val="000000"/>
                <w:sz w:val="14"/>
                <w:szCs w:val="14"/>
              </w:rPr>
              <w:t xml:space="preserve">Chiu 2015 </w:t>
            </w:r>
            <w:r w:rsidRPr="00C47DDC">
              <w:rPr>
                <w:color w:val="000000"/>
                <w:sz w:val="14"/>
                <w:szCs w:val="14"/>
              </w:rPr>
              <w:fldChar w:fldCharType="begin"/>
            </w:r>
            <w:r>
              <w:rPr>
                <w:color w:val="000000"/>
                <w:sz w:val="14"/>
                <w:szCs w:val="14"/>
              </w:rPr>
              <w:instrText xml:space="preserve"> ADDIN ZOTERO_ITEM CSL_CITATION {"citationID":"BgvYD8R3","properties":{"formattedCitation":"[88]","plainCitation":"[88]","noteIndex":0},"citationItems":[{"id":14354,"uris":["http://zotero.org/groups/4983919/items/85AI84VG"],"itemData":{"id":14354,"type":"article-journal","abstract":"BACKGROUND: Despite the huge and growing global burden of hepatocellular carcinoma (HCC), high-quality population-based studies of HCC prevalence and outcomes are scarce. PURPOSE: To analyze trends and predictors of hospital resource utilization and mortality rates in a population of patients who had received HCC surgery. PATIENTS AND MATERIALS: This population-based patient cohort study retrospectively analyzed 23,107 patients who had received surgical treatment for HCC from 1998 to 2009. RESULTS: The prevalence rate of surgical treatment in HCC patients significantly increased by 167.4% from 4.857 per 100,000 persons in 1998 to 12.989 per 100,000 persons in 2009 (P &lt; 0.001). Age, gender, Deyo-Charlson co-morbidity index score, hospital volume, surgeon volume, digestive system disease, hepatitis type and liver cirrhosis were significantly associated with HCC surgical outcomes (P &lt; 0.05). Over the 12-year period analyzed, the estimated mean hospital treatment cost increased 9.4% whereas mean length of stay (LOS) decreased 25.3%. The estimated mean overall survival time after HCC surgery was 40.9 months (SD 1.2 months), and the overall in-hospital 1-, 3-, and 5-year survival rates were 97.2%, 79.9%, 61.1%, and 54.6%, respectively. CONCLUSIONS: These population-based data reveal that the prevalence of HCC has increased, especially in older patients. Additionally, hospital treatment costs for HCC have increased despite decreases in LOS. These analytical results should be applicable to most countries with relatively small populations. Additionally, healthcare providers and patients should recognize that attributes of both the patient and the hospital may affect outcomes.","container-title":"Eur J Surg Oncol","DOI":"10.1016/j.ejso.2015.04.023","ISSN":"0748-7983","issue":"9","language":"eng","page":"1170-8","title":"Trends and predictors of outcomes after surgery for hepatocellular carcinoma: A nationwide population-based study in Taiwan","volume":"41","author":[{"family":"Chiu","given":"C. C."},{"family":"Wang","given":"J. J."},{"family":"Chen","given":"Y. S."},{"family":"Chen","given":"J. J."},{"family":"Tsai","given":"T. C."},{"family":"Lai","given":"C. C."},{"family":"Sun","given":"D. P."},{"family":"Shi","given":"H. Y."}],"issued":{"date-parts":[["2015",9]]}}}],"schema":"https://github.com/citation-style-language/schema/raw/master/csl-citation.json"} </w:instrText>
            </w:r>
            <w:r w:rsidRPr="00C47DDC">
              <w:rPr>
                <w:color w:val="000000"/>
                <w:sz w:val="14"/>
                <w:szCs w:val="14"/>
              </w:rPr>
              <w:fldChar w:fldCharType="separate"/>
            </w:r>
            <w:r w:rsidRPr="004125CE">
              <w:rPr>
                <w:sz w:val="14"/>
              </w:rPr>
              <w:t>[</w:t>
            </w:r>
            <w:r w:rsidR="007A755B">
              <w:rPr>
                <w:sz w:val="14"/>
              </w:rPr>
              <w:t>52</w:t>
            </w:r>
            <w:r w:rsidRPr="004125CE">
              <w:rPr>
                <w:sz w:val="14"/>
              </w:rPr>
              <w:t>]</w:t>
            </w:r>
            <w:r w:rsidRPr="00C47DDC">
              <w:rPr>
                <w:color w:val="000000"/>
                <w:sz w:val="14"/>
                <w:szCs w:val="14"/>
              </w:rPr>
              <w:fldChar w:fldCharType="end"/>
            </w:r>
          </w:p>
        </w:tc>
        <w:tc>
          <w:tcPr>
            <w:tcW w:w="5670" w:type="dxa"/>
            <w:hideMark/>
          </w:tcPr>
          <w:p w14:paraId="59A9B40E" w14:textId="77777777" w:rsidR="000F0341" w:rsidRPr="00C47DDC" w:rsidRDefault="000F0341" w:rsidP="00E40B0D">
            <w:pPr>
              <w:spacing w:line="240" w:lineRule="auto"/>
              <w:jc w:val="left"/>
              <w:rPr>
                <w:color w:val="000000"/>
                <w:sz w:val="14"/>
                <w:szCs w:val="14"/>
              </w:rPr>
            </w:pPr>
            <w:r w:rsidRPr="00C47DDC">
              <w:rPr>
                <w:b/>
                <w:bCs/>
                <w:color w:val="000000"/>
                <w:sz w:val="14"/>
                <w:szCs w:val="14"/>
              </w:rPr>
              <w:t>Mortality:</w:t>
            </w:r>
            <w:r w:rsidRPr="00C47DDC">
              <w:rPr>
                <w:color w:val="000000"/>
                <w:sz w:val="14"/>
                <w:szCs w:val="14"/>
              </w:rPr>
              <w:t xml:space="preserve"> (HR): (90-day): </w:t>
            </w:r>
            <w:r w:rsidRPr="00C47DDC">
              <w:rPr>
                <w:color w:val="000000"/>
                <w:sz w:val="14"/>
                <w:szCs w:val="14"/>
                <w:u w:val="single"/>
              </w:rPr>
              <w:t>Low</w:t>
            </w:r>
            <w:r w:rsidRPr="00C47DDC">
              <w:rPr>
                <w:color w:val="000000"/>
                <w:sz w:val="14"/>
                <w:szCs w:val="14"/>
              </w:rPr>
              <w:t xml:space="preserve"> vs. High: 0.86</w:t>
            </w:r>
            <w:r w:rsidRPr="00C47DDC">
              <w:rPr>
                <w:sz w:val="14"/>
                <w:szCs w:val="14"/>
                <w:vertAlign w:val="superscript"/>
              </w:rPr>
              <w:t>b</w:t>
            </w:r>
            <w:r w:rsidRPr="00C47DDC">
              <w:rPr>
                <w:color w:val="000000"/>
                <w:sz w:val="14"/>
                <w:szCs w:val="14"/>
              </w:rPr>
              <w:t xml:space="preserve"> [0.822-0.902]***</w:t>
            </w:r>
          </w:p>
        </w:tc>
        <w:tc>
          <w:tcPr>
            <w:tcW w:w="1276" w:type="dxa"/>
          </w:tcPr>
          <w:p w14:paraId="5E6D5114" w14:textId="77777777" w:rsidR="000F0341" w:rsidRPr="00C47DDC" w:rsidRDefault="000F0341" w:rsidP="00E40B0D">
            <w:pPr>
              <w:spacing w:line="240" w:lineRule="auto"/>
              <w:jc w:val="left"/>
              <w:rPr>
                <w:color w:val="000000"/>
                <w:sz w:val="14"/>
                <w:szCs w:val="14"/>
              </w:rPr>
            </w:pPr>
            <w:r w:rsidRPr="00C47DDC">
              <w:rPr>
                <w:color w:val="000000"/>
                <w:sz w:val="14"/>
                <w:szCs w:val="14"/>
              </w:rPr>
              <w:t>9/2/10/6</w:t>
            </w:r>
          </w:p>
        </w:tc>
        <w:tc>
          <w:tcPr>
            <w:tcW w:w="1275" w:type="dxa"/>
          </w:tcPr>
          <w:p w14:paraId="22CC5DDC" w14:textId="77777777" w:rsidR="000F0341" w:rsidRPr="00C47DDC" w:rsidRDefault="000F0341" w:rsidP="00E40B0D">
            <w:pPr>
              <w:spacing w:line="240" w:lineRule="auto"/>
              <w:jc w:val="left"/>
              <w:rPr>
                <w:color w:val="000000"/>
                <w:sz w:val="14"/>
                <w:szCs w:val="14"/>
              </w:rPr>
            </w:pPr>
            <w:r w:rsidRPr="00C47DDC">
              <w:rPr>
                <w:color w:val="000000"/>
                <w:sz w:val="14"/>
                <w:szCs w:val="14"/>
              </w:rPr>
              <w:t>High Risk</w:t>
            </w:r>
          </w:p>
        </w:tc>
      </w:tr>
      <w:tr w:rsidR="000F0341" w:rsidRPr="00BF62A1" w14:paraId="6374C1D8" w14:textId="77777777" w:rsidTr="00E40B0D">
        <w:trPr>
          <w:trHeight w:val="20"/>
        </w:trPr>
        <w:tc>
          <w:tcPr>
            <w:tcW w:w="1135" w:type="dxa"/>
          </w:tcPr>
          <w:p w14:paraId="5A4FA669" w14:textId="77777777" w:rsidR="000F0341" w:rsidRPr="00C47DDC" w:rsidRDefault="000F0341" w:rsidP="00E40B0D">
            <w:pPr>
              <w:spacing w:line="240" w:lineRule="auto"/>
              <w:jc w:val="left"/>
              <w:rPr>
                <w:color w:val="000000"/>
                <w:sz w:val="14"/>
                <w:szCs w:val="14"/>
              </w:rPr>
            </w:pPr>
            <w:r w:rsidRPr="00C47DDC">
              <w:rPr>
                <w:color w:val="000000"/>
                <w:sz w:val="14"/>
                <w:szCs w:val="14"/>
              </w:rPr>
              <w:t xml:space="preserve">Chang 2014 </w:t>
            </w:r>
            <w:r w:rsidRPr="00C47DDC">
              <w:rPr>
                <w:color w:val="000000"/>
                <w:sz w:val="14"/>
                <w:szCs w:val="14"/>
              </w:rPr>
              <w:fldChar w:fldCharType="begin"/>
            </w:r>
            <w:r>
              <w:rPr>
                <w:color w:val="000000"/>
                <w:sz w:val="14"/>
                <w:szCs w:val="14"/>
              </w:rPr>
              <w:instrText xml:space="preserve"> ADDIN ZOTERO_ITEM CSL_CITATION {"citationID":"ckpE4NAg","properties":{"formattedCitation":"[63]","plainCitation":"[63]","noteIndex":0},"citationItems":[{"id":14205,"uris":["http://zotero.org/groups/4983919/items/TRPKDPX6"],"itemData":{"id":14205,"type":"article-journal","abstract":"BACKGROUND: The influence of different hospital and surgeon volumes on short-term survival after hepatic resection is not clearly clarified. By taking the known prognostic factors into account, the purpose of this study is to assess the combined effects of hospital and surgeon volume on short-term survival after hepatic resection. METHODS: 13,159 patients who underwent hepatic resection between 2002 and 2006 were identified in the Taiwan National Health Insurance Research Database. Data were extracted from it and short-term survivals were confirmed through 2006. The Cox proportional hazards model was used to assess the relationship between survival and different hospital, surgeon volume and caseload combinations. RESULTS: High-volume surgeons in high-volume hospitals had the highest short-term survivals, following by high-volume surgeons in low-volume hospitals, low-volume surgeons in high-volume hospitals and low-volume surgeons in low-volume hospitals. Based on Cox proportional hazard models, although high-volume hospitals and surgeons both showed significant lower risks of short-term mortality at hospital and surgeon level analysis, after combining hospital and surgeon volume into account, high-volume surgeons in high-volume hospitals had significantly better outcomes; the hazard ratio of other three caseload combinations ranging from 1.66 to 2.08 (p&lt;0.001) in 3-month mortality, and 1.28 to 1.58 (p&lt;0.01) in 1-year mortality. CONCLUSIONS: The combined effects of hospital and surgeon volume influenced the short-term survival after hepatic resection largely. After adjusting for the prognostic factors in the case mix, high-volume surgeons in high-volume hospitals had better short-term survivals. Centralization of hepatic resection to few surgeons and hospitals might improve patients' prognosis.","container-title":"PLoS One","DOI":"10.1371/journal.pone.0086444","ISSN":"1932-6203","issue":"1","language":"eng","note":"publisher-place: Department of Surgery, Buddhist Dalin Tzu Chi General Hospital, Chiayi, Taiwan ; School of Medicine, Tzu Chi University, Hualian, Taiwan. Department of Otolaryngology, Buddhist Dalin Tzu Chi General Hospital, Chiayi, Taiwan ; Center for Clinical Epidemiology and Biostatistics, Buddhist Dalin Tzu Chi General Hospital, Chiayi, Taiwan ; School of Medicine, Tzu Chi University, Hualian, Taiwan.","page":"e86444","title":"The combined effects of hospital and surgeon volume on short-term survival after hepatic resection in a population-based study","volume":"9","author":[{"family":"Chang","given":"C. M."},{"family":"Yin","given":"W. Y."},{"family":"Wei","given":"C. K."},{"family":"Lee","given":"C. H."},{"family":"Lee","given":"C. C."}],"issued":{"date-parts":[["2014"]]}}}],"schema":"https://github.com/citation-style-language/schema/raw/master/csl-citation.json"} </w:instrText>
            </w:r>
            <w:r w:rsidRPr="00C47DDC">
              <w:rPr>
                <w:color w:val="000000"/>
                <w:sz w:val="14"/>
                <w:szCs w:val="14"/>
              </w:rPr>
              <w:fldChar w:fldCharType="separate"/>
            </w:r>
            <w:r w:rsidRPr="004125CE">
              <w:rPr>
                <w:sz w:val="14"/>
              </w:rPr>
              <w:t>[63]</w:t>
            </w:r>
            <w:r w:rsidRPr="00C47DDC">
              <w:rPr>
                <w:color w:val="000000"/>
                <w:sz w:val="14"/>
                <w:szCs w:val="14"/>
              </w:rPr>
              <w:fldChar w:fldCharType="end"/>
            </w:r>
          </w:p>
        </w:tc>
        <w:tc>
          <w:tcPr>
            <w:tcW w:w="5670" w:type="dxa"/>
          </w:tcPr>
          <w:p w14:paraId="3CB00268" w14:textId="77777777" w:rsidR="000F0341" w:rsidRPr="00C47DDC" w:rsidRDefault="000F0341" w:rsidP="00E40B0D">
            <w:pPr>
              <w:spacing w:line="240" w:lineRule="auto"/>
              <w:jc w:val="left"/>
              <w:rPr>
                <w:color w:val="000000"/>
                <w:sz w:val="14"/>
                <w:szCs w:val="14"/>
              </w:rPr>
            </w:pPr>
            <w:r w:rsidRPr="00C47DDC">
              <w:rPr>
                <w:b/>
                <w:bCs/>
                <w:color w:val="000000"/>
                <w:sz w:val="14"/>
                <w:szCs w:val="14"/>
              </w:rPr>
              <w:t>Mortality:</w:t>
            </w:r>
            <w:r w:rsidRPr="00C47DDC">
              <w:rPr>
                <w:color w:val="000000"/>
                <w:sz w:val="14"/>
                <w:szCs w:val="14"/>
              </w:rPr>
              <w:t xml:space="preserve"> (OS): (30-day): </w:t>
            </w:r>
            <w:r w:rsidRPr="00C47DDC">
              <w:rPr>
                <w:color w:val="000000"/>
                <w:sz w:val="14"/>
                <w:szCs w:val="14"/>
                <w:u w:val="single"/>
              </w:rPr>
              <w:t>High</w:t>
            </w:r>
            <w:r w:rsidRPr="00C47DDC">
              <w:rPr>
                <w:color w:val="000000"/>
                <w:sz w:val="14"/>
                <w:szCs w:val="14"/>
              </w:rPr>
              <w:t xml:space="preserve"> vs. Low: 1.64</w:t>
            </w:r>
            <w:r w:rsidRPr="00C47DDC">
              <w:rPr>
                <w:sz w:val="14"/>
                <w:szCs w:val="14"/>
                <w:vertAlign w:val="superscript"/>
              </w:rPr>
              <w:t>b</w:t>
            </w:r>
            <w:r w:rsidRPr="00C47DDC">
              <w:rPr>
                <w:color w:val="000000"/>
                <w:sz w:val="14"/>
                <w:szCs w:val="14"/>
              </w:rPr>
              <w:t xml:space="preserve"> [1.12–2.41]*| </w:t>
            </w:r>
            <w:r w:rsidRPr="00C47DDC">
              <w:rPr>
                <w:color w:val="000000"/>
                <w:sz w:val="14"/>
                <w:szCs w:val="14"/>
              </w:rPr>
              <w:br/>
            </w:r>
            <w:r w:rsidRPr="00C47DDC">
              <w:rPr>
                <w:b/>
                <w:bCs/>
                <w:color w:val="000000"/>
                <w:sz w:val="14"/>
                <w:szCs w:val="14"/>
              </w:rPr>
              <w:t>(3-month):</w:t>
            </w:r>
            <w:r w:rsidRPr="00C47DDC">
              <w:rPr>
                <w:color w:val="000000"/>
                <w:sz w:val="14"/>
                <w:szCs w:val="14"/>
              </w:rPr>
              <w:t xml:space="preserve"> </w:t>
            </w:r>
            <w:r w:rsidRPr="00C47DDC">
              <w:rPr>
                <w:color w:val="000000"/>
                <w:sz w:val="14"/>
                <w:szCs w:val="14"/>
                <w:u w:val="single"/>
              </w:rPr>
              <w:t>High</w:t>
            </w:r>
            <w:r w:rsidRPr="00C47DDC">
              <w:rPr>
                <w:color w:val="000000"/>
                <w:sz w:val="14"/>
                <w:szCs w:val="14"/>
              </w:rPr>
              <w:t xml:space="preserve"> vs. Low: 1.62</w:t>
            </w:r>
            <w:r w:rsidRPr="00C47DDC">
              <w:rPr>
                <w:sz w:val="14"/>
                <w:szCs w:val="14"/>
                <w:vertAlign w:val="superscript"/>
              </w:rPr>
              <w:t>b</w:t>
            </w:r>
            <w:r w:rsidRPr="00C47DDC">
              <w:rPr>
                <w:color w:val="000000"/>
                <w:sz w:val="14"/>
                <w:szCs w:val="14"/>
              </w:rPr>
              <w:t xml:space="preserve"> [1.31–2.00]**| </w:t>
            </w:r>
          </w:p>
        </w:tc>
        <w:tc>
          <w:tcPr>
            <w:tcW w:w="1276" w:type="dxa"/>
          </w:tcPr>
          <w:p w14:paraId="475917B6" w14:textId="77777777" w:rsidR="000F0341" w:rsidRPr="00C47DDC" w:rsidRDefault="000F0341" w:rsidP="00E40B0D">
            <w:pPr>
              <w:spacing w:line="240" w:lineRule="auto"/>
              <w:jc w:val="left"/>
              <w:rPr>
                <w:color w:val="000000"/>
                <w:sz w:val="14"/>
                <w:szCs w:val="14"/>
              </w:rPr>
            </w:pPr>
            <w:r w:rsidRPr="00C47DDC">
              <w:rPr>
                <w:color w:val="000000"/>
                <w:sz w:val="14"/>
                <w:szCs w:val="14"/>
              </w:rPr>
              <w:t>8/3/10/6</w:t>
            </w:r>
          </w:p>
        </w:tc>
        <w:tc>
          <w:tcPr>
            <w:tcW w:w="1275" w:type="dxa"/>
          </w:tcPr>
          <w:p w14:paraId="3FEF8958" w14:textId="77777777" w:rsidR="000F0341" w:rsidRPr="00C47DDC" w:rsidRDefault="000F0341" w:rsidP="00E40B0D">
            <w:pPr>
              <w:spacing w:line="240" w:lineRule="auto"/>
              <w:jc w:val="left"/>
              <w:rPr>
                <w:color w:val="000000"/>
                <w:sz w:val="14"/>
                <w:szCs w:val="14"/>
              </w:rPr>
            </w:pPr>
            <w:r w:rsidRPr="00C47DDC">
              <w:rPr>
                <w:color w:val="000000"/>
                <w:sz w:val="14"/>
                <w:szCs w:val="14"/>
              </w:rPr>
              <w:t>High Risk</w:t>
            </w:r>
          </w:p>
        </w:tc>
      </w:tr>
      <w:tr w:rsidR="000F0341" w:rsidRPr="00BF62A1" w14:paraId="6AF917C5" w14:textId="77777777" w:rsidTr="00E40B0D">
        <w:trPr>
          <w:trHeight w:val="20"/>
        </w:trPr>
        <w:tc>
          <w:tcPr>
            <w:tcW w:w="1135" w:type="dxa"/>
            <w:noWrap/>
            <w:hideMark/>
          </w:tcPr>
          <w:p w14:paraId="113D633F" w14:textId="19368DE3" w:rsidR="000F0341" w:rsidRPr="00C47DDC" w:rsidRDefault="000F0341" w:rsidP="00E40B0D">
            <w:pPr>
              <w:spacing w:line="240" w:lineRule="auto"/>
              <w:jc w:val="left"/>
              <w:rPr>
                <w:color w:val="000000"/>
                <w:sz w:val="14"/>
                <w:szCs w:val="14"/>
              </w:rPr>
            </w:pPr>
            <w:r w:rsidRPr="00C47DDC">
              <w:rPr>
                <w:color w:val="000000"/>
                <w:sz w:val="14"/>
                <w:szCs w:val="14"/>
              </w:rPr>
              <w:t xml:space="preserve">Tsilimigras 2021 </w:t>
            </w:r>
            <w:r w:rsidRPr="00C47DDC">
              <w:rPr>
                <w:color w:val="000000"/>
                <w:sz w:val="14"/>
                <w:szCs w:val="14"/>
              </w:rPr>
              <w:fldChar w:fldCharType="begin"/>
            </w:r>
            <w:r>
              <w:rPr>
                <w:color w:val="000000"/>
                <w:sz w:val="14"/>
                <w:szCs w:val="14"/>
              </w:rPr>
              <w:instrText xml:space="preserve"> ADDIN ZOTERO_ITEM CSL_CITATION {"citationID":"4VtuALa9","properties":{"formattedCitation":"[79]","plainCitation":"[79]","noteIndex":0},"citationItems":[{"id":14156,"uris":["http://zotero.org/groups/4983919/items/QM7IMTCE"],"itemData":{"id":14156,"type":"article-journal","abstract":"INTRODUCTION: Minimally invasive liver surgery (MILS) has been increasingly adopted in clinical practice; yet, inter-surgeon variability in operative approach (MILS vs. open), as well as the impact of providers on the likelihood of undergoing MILS have not been well characterized. METHODS: The Medicare 100% Standard Analytic Files were reviewed to identify Medicare beneficiaries who underwent hepatectomy between 2013 - 2017. The impact of patient- and procedure- related factors on the likelihood of MILS was investigated. RESULTS: Overall 12,110 (91.6%) patients underwent open liver resection, while 1,112 (8.4%) patients had MILS. Based on total MILS volume, surgeons were categorized into average (1-3 cases), above average (4-7 cases) and high (&gt;8 or more cases) MILS volume surgeons. While male patients (OR = 0.85, 95%CI 0.75-0.97) were less likely to undergo MILS, patients operated on more recently (year 2017; OR = 1.72, 95%CI 1.38-2.14) for a cancer indication (OR = 1.23, 95%CI 1.05-1.42) had a higher chance of MILS. After controlling for patient- and procedure-related characteristics, there was almost a two-fold variation in the odds that a patient underwent MILS versus open hepatectomy based on the individual surgeon provider (MOR = 1.75, 95%CI 1.48-1.99). Patients who had a MILS performed by a high-volume MILS surgeon had 36% lower odds of death within 90-days (OR = 0.64, 95%CI 0.51-0.79). CONCLUSION: The likelihood of undergoing MILS, as well as post-operative mortality, was heavily influenced by the individual surgeon provider rather than patient- or procedure-related factors.","container-title":"HPB (Oxford)","DOI":"10.1016/j.hpb.2020.11.003","ISSN":"1365-182x","issue":"6","language":"eng","note":"publisher-place: Department of Surgery, Division of Surgical Oncology, The Ohio State University Wexner Medical Center and James Comprehensive Cancer Center, Columbus, OH, USA. Department of Surgery, Duke University Medical Center, Durham, NC, USA. Department of Surgery, Division of Surgical Oncology, The Ohio State University Wexner Medical Center and James Comprehensive Cancer Center, Columbus, OH, USA. Electronic address: tim.pawlik@osumc.edu.","page":"840-846","title":"Inter-surgeon variability is associated with likelihood to undergo minimally invasive hepatectomy and postoperative mortality","volume":"23","author":[{"family":"Tsilimigras","given":"D. I."},{"family":"Hyer","given":"J. M."},{"family":"Chen","given":"Q."},{"family":"Diaz","given":"A."},{"family":"Paredes","given":"A. Z."},{"family":"Moris","given":"D."},{"family":"Dillhoff","given":"M."},{"family":"Cloyd","given":"J. M."},{"family":"Beane","given":"J. D."},{"family":"Tsung","given":"A."},{"family":"Ejaz","given":"A."},{"family":"Pawlik","given":"T. M."}],"issued":{"date-parts":[["2021",6]]}}}],"schema":"https://github.com/citation-style-language/schema/raw/master/csl-citation.json"} </w:instrText>
            </w:r>
            <w:r w:rsidRPr="00C47DDC">
              <w:rPr>
                <w:color w:val="000000"/>
                <w:sz w:val="14"/>
                <w:szCs w:val="14"/>
              </w:rPr>
              <w:fldChar w:fldCharType="separate"/>
            </w:r>
            <w:r w:rsidRPr="004125CE">
              <w:rPr>
                <w:sz w:val="14"/>
              </w:rPr>
              <w:t>[7</w:t>
            </w:r>
            <w:r w:rsidR="007A755B">
              <w:rPr>
                <w:sz w:val="14"/>
              </w:rPr>
              <w:t>7</w:t>
            </w:r>
            <w:r w:rsidRPr="004125CE">
              <w:rPr>
                <w:sz w:val="14"/>
              </w:rPr>
              <w:t>]</w:t>
            </w:r>
            <w:r w:rsidRPr="00C47DDC">
              <w:rPr>
                <w:color w:val="000000"/>
                <w:sz w:val="14"/>
                <w:szCs w:val="14"/>
              </w:rPr>
              <w:fldChar w:fldCharType="end"/>
            </w:r>
          </w:p>
        </w:tc>
        <w:tc>
          <w:tcPr>
            <w:tcW w:w="5670" w:type="dxa"/>
            <w:hideMark/>
          </w:tcPr>
          <w:p w14:paraId="7B153150" w14:textId="77777777" w:rsidR="000F0341" w:rsidRPr="00C47DDC" w:rsidRDefault="000F0341" w:rsidP="00E40B0D">
            <w:pPr>
              <w:spacing w:line="240" w:lineRule="auto"/>
              <w:jc w:val="left"/>
              <w:rPr>
                <w:color w:val="000000"/>
                <w:sz w:val="14"/>
                <w:szCs w:val="14"/>
              </w:rPr>
            </w:pPr>
            <w:r w:rsidRPr="00C47DDC">
              <w:rPr>
                <w:b/>
                <w:bCs/>
                <w:color w:val="000000"/>
                <w:sz w:val="14"/>
                <w:szCs w:val="14"/>
              </w:rPr>
              <w:t>Mortality:</w:t>
            </w:r>
            <w:r w:rsidRPr="00C47DDC">
              <w:rPr>
                <w:color w:val="000000"/>
                <w:sz w:val="14"/>
                <w:szCs w:val="14"/>
              </w:rPr>
              <w:t xml:space="preserve"> (OR): (30-day): </w:t>
            </w:r>
            <w:r w:rsidRPr="00C47DDC">
              <w:rPr>
                <w:color w:val="000000"/>
                <w:sz w:val="14"/>
                <w:szCs w:val="14"/>
                <w:u w:val="single"/>
              </w:rPr>
              <w:t>Average (minimally invasive only)</w:t>
            </w:r>
            <w:r w:rsidRPr="00C47DDC">
              <w:rPr>
                <w:color w:val="000000"/>
                <w:sz w:val="14"/>
                <w:szCs w:val="14"/>
              </w:rPr>
              <w:t xml:space="preserve"> vs. Above average: -; High: 0.59</w:t>
            </w:r>
            <w:r w:rsidRPr="00C47DDC">
              <w:rPr>
                <w:color w:val="000000"/>
                <w:sz w:val="14"/>
                <w:szCs w:val="14"/>
                <w:vertAlign w:val="superscript"/>
              </w:rPr>
              <w:t>a</w:t>
            </w:r>
            <w:r w:rsidRPr="00C47DDC">
              <w:rPr>
                <w:color w:val="000000"/>
                <w:sz w:val="14"/>
                <w:szCs w:val="14"/>
              </w:rPr>
              <w:t xml:space="preserve"> [0.45-0.78]|</w:t>
            </w:r>
            <w:r w:rsidRPr="00C47DDC">
              <w:rPr>
                <w:color w:val="000000"/>
                <w:sz w:val="14"/>
                <w:szCs w:val="14"/>
              </w:rPr>
              <w:br/>
            </w:r>
            <w:r w:rsidRPr="00C47DDC">
              <w:rPr>
                <w:b/>
                <w:bCs/>
                <w:color w:val="000000"/>
                <w:sz w:val="14"/>
                <w:szCs w:val="14"/>
              </w:rPr>
              <w:t>(90-day):</w:t>
            </w:r>
            <w:r w:rsidRPr="00C47DDC">
              <w:rPr>
                <w:color w:val="000000"/>
                <w:sz w:val="14"/>
                <w:szCs w:val="14"/>
              </w:rPr>
              <w:t xml:space="preserve"> </w:t>
            </w:r>
            <w:r w:rsidRPr="00C47DDC">
              <w:rPr>
                <w:color w:val="000000"/>
                <w:sz w:val="14"/>
                <w:szCs w:val="14"/>
                <w:u w:val="single"/>
              </w:rPr>
              <w:t>Average (minimally invasive only)</w:t>
            </w:r>
            <w:r w:rsidRPr="00C47DDC">
              <w:rPr>
                <w:color w:val="000000"/>
                <w:sz w:val="14"/>
                <w:szCs w:val="14"/>
              </w:rPr>
              <w:t xml:space="preserve"> vs. Above average: -; High: 0.64</w:t>
            </w:r>
            <w:r w:rsidRPr="00C47DDC">
              <w:rPr>
                <w:color w:val="000000"/>
                <w:sz w:val="14"/>
                <w:szCs w:val="14"/>
                <w:vertAlign w:val="superscript"/>
              </w:rPr>
              <w:t>a</w:t>
            </w:r>
            <w:r w:rsidRPr="00C47DDC">
              <w:rPr>
                <w:color w:val="000000"/>
                <w:sz w:val="14"/>
                <w:szCs w:val="14"/>
              </w:rPr>
              <w:t xml:space="preserve"> [0.51-0.79]</w:t>
            </w:r>
          </w:p>
        </w:tc>
        <w:tc>
          <w:tcPr>
            <w:tcW w:w="1276" w:type="dxa"/>
          </w:tcPr>
          <w:p w14:paraId="7711CA90" w14:textId="77777777" w:rsidR="000F0341" w:rsidRPr="00C47DDC" w:rsidRDefault="000F0341" w:rsidP="00E40B0D">
            <w:pPr>
              <w:spacing w:line="240" w:lineRule="auto"/>
              <w:jc w:val="left"/>
              <w:rPr>
                <w:color w:val="000000"/>
                <w:sz w:val="14"/>
                <w:szCs w:val="14"/>
              </w:rPr>
            </w:pPr>
            <w:r w:rsidRPr="00C47DDC">
              <w:rPr>
                <w:color w:val="000000"/>
                <w:sz w:val="14"/>
                <w:szCs w:val="14"/>
              </w:rPr>
              <w:t>8/3/10/6</w:t>
            </w:r>
          </w:p>
        </w:tc>
        <w:tc>
          <w:tcPr>
            <w:tcW w:w="1275" w:type="dxa"/>
          </w:tcPr>
          <w:p w14:paraId="0094E3F0" w14:textId="77777777" w:rsidR="000F0341" w:rsidRPr="00C47DDC" w:rsidRDefault="000F0341" w:rsidP="00E40B0D">
            <w:pPr>
              <w:spacing w:line="240" w:lineRule="auto"/>
              <w:jc w:val="left"/>
              <w:rPr>
                <w:color w:val="000000"/>
                <w:sz w:val="14"/>
                <w:szCs w:val="14"/>
              </w:rPr>
            </w:pPr>
            <w:r w:rsidRPr="00C47DDC">
              <w:rPr>
                <w:color w:val="000000"/>
                <w:sz w:val="14"/>
                <w:szCs w:val="14"/>
              </w:rPr>
              <w:t>High Risk</w:t>
            </w:r>
          </w:p>
        </w:tc>
      </w:tr>
    </w:tbl>
    <w:p w14:paraId="7111D980" w14:textId="77777777" w:rsidR="000F0341" w:rsidRDefault="000F0341" w:rsidP="000F0341">
      <w:pPr>
        <w:spacing w:line="240" w:lineRule="auto"/>
        <w:ind w:left="-283"/>
        <w:jc w:val="left"/>
        <w:rPr>
          <w:bCs/>
          <w:sz w:val="14"/>
          <w:szCs w:val="14"/>
        </w:rPr>
      </w:pPr>
    </w:p>
    <w:p w14:paraId="54D1EF52" w14:textId="77777777" w:rsidR="000F0341" w:rsidRDefault="000F0341" w:rsidP="000F0341">
      <w:pPr>
        <w:spacing w:line="240" w:lineRule="auto"/>
        <w:ind w:left="-283"/>
        <w:jc w:val="left"/>
        <w:rPr>
          <w:bCs/>
          <w:sz w:val="14"/>
          <w:szCs w:val="14"/>
        </w:rPr>
      </w:pP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35"/>
        <w:gridCol w:w="5670"/>
        <w:gridCol w:w="1276"/>
        <w:gridCol w:w="1275"/>
      </w:tblGrid>
      <w:tr w:rsidR="000F0341" w:rsidRPr="00BF62A1" w14:paraId="082E3C7E" w14:textId="77777777" w:rsidTr="00E40B0D">
        <w:trPr>
          <w:trHeight w:val="361"/>
          <w:tblHeader/>
        </w:trPr>
        <w:tc>
          <w:tcPr>
            <w:tcW w:w="1135" w:type="dxa"/>
            <w:vMerge w:val="restart"/>
            <w:vAlign w:val="center"/>
          </w:tcPr>
          <w:p w14:paraId="14D70551" w14:textId="77777777" w:rsidR="000F0341" w:rsidRPr="00C47DDC" w:rsidRDefault="000F0341" w:rsidP="00E40B0D">
            <w:pPr>
              <w:spacing w:line="240" w:lineRule="auto"/>
              <w:jc w:val="center"/>
              <w:rPr>
                <w:b/>
                <w:bCs/>
                <w:color w:val="000000"/>
                <w:sz w:val="14"/>
                <w:szCs w:val="14"/>
              </w:rPr>
            </w:pPr>
            <w:r w:rsidRPr="00C47DDC">
              <w:rPr>
                <w:b/>
                <w:bCs/>
                <w:color w:val="000000"/>
                <w:sz w:val="14"/>
                <w:szCs w:val="14"/>
              </w:rPr>
              <w:t>First author and year of publication</w:t>
            </w:r>
          </w:p>
        </w:tc>
        <w:tc>
          <w:tcPr>
            <w:tcW w:w="5670" w:type="dxa"/>
            <w:vMerge w:val="restart"/>
            <w:vAlign w:val="center"/>
          </w:tcPr>
          <w:p w14:paraId="17F3B6D1" w14:textId="77777777" w:rsidR="000F0341" w:rsidRPr="00C47DDC" w:rsidRDefault="000F0341" w:rsidP="00E40B0D">
            <w:pPr>
              <w:spacing w:line="240" w:lineRule="auto"/>
              <w:jc w:val="center"/>
              <w:rPr>
                <w:b/>
                <w:bCs/>
                <w:color w:val="000000"/>
                <w:sz w:val="14"/>
                <w:szCs w:val="14"/>
              </w:rPr>
            </w:pPr>
            <w:r w:rsidRPr="00C47DDC">
              <w:rPr>
                <w:b/>
                <w:bCs/>
                <w:color w:val="000000"/>
                <w:sz w:val="14"/>
                <w:szCs w:val="14"/>
              </w:rPr>
              <w:t>Mortality outcomes</w:t>
            </w:r>
          </w:p>
        </w:tc>
        <w:tc>
          <w:tcPr>
            <w:tcW w:w="2551" w:type="dxa"/>
            <w:gridSpan w:val="2"/>
            <w:vAlign w:val="center"/>
          </w:tcPr>
          <w:p w14:paraId="7BB920DA" w14:textId="77777777" w:rsidR="000F0341" w:rsidRPr="00C47DDC" w:rsidRDefault="000F0341" w:rsidP="00E40B0D">
            <w:pPr>
              <w:spacing w:line="240" w:lineRule="auto"/>
              <w:jc w:val="center"/>
              <w:rPr>
                <w:b/>
                <w:bCs/>
                <w:color w:val="000000"/>
                <w:sz w:val="14"/>
                <w:szCs w:val="14"/>
              </w:rPr>
            </w:pPr>
            <w:r w:rsidRPr="00C47DDC">
              <w:rPr>
                <w:b/>
                <w:bCs/>
                <w:color w:val="000000"/>
                <w:sz w:val="14"/>
                <w:szCs w:val="14"/>
              </w:rPr>
              <w:t>Quality appraisal</w:t>
            </w:r>
          </w:p>
        </w:tc>
      </w:tr>
      <w:tr w:rsidR="000F0341" w:rsidRPr="00BF62A1" w14:paraId="29FC5BB5" w14:textId="77777777" w:rsidTr="00E40B0D">
        <w:trPr>
          <w:trHeight w:val="409"/>
          <w:tblHeader/>
        </w:trPr>
        <w:tc>
          <w:tcPr>
            <w:tcW w:w="1135" w:type="dxa"/>
            <w:vMerge/>
            <w:vAlign w:val="center"/>
            <w:hideMark/>
          </w:tcPr>
          <w:p w14:paraId="70D35376" w14:textId="77777777" w:rsidR="000F0341" w:rsidRPr="00BF62A1" w:rsidRDefault="000F0341" w:rsidP="00E40B0D">
            <w:pPr>
              <w:spacing w:line="240" w:lineRule="auto"/>
              <w:jc w:val="center"/>
              <w:rPr>
                <w:b/>
                <w:bCs/>
                <w:color w:val="000000"/>
                <w:sz w:val="14"/>
                <w:szCs w:val="14"/>
              </w:rPr>
            </w:pPr>
          </w:p>
        </w:tc>
        <w:tc>
          <w:tcPr>
            <w:tcW w:w="5670" w:type="dxa"/>
            <w:vMerge/>
            <w:vAlign w:val="center"/>
            <w:hideMark/>
          </w:tcPr>
          <w:p w14:paraId="7635BDB7" w14:textId="77777777" w:rsidR="000F0341" w:rsidRPr="00BF62A1" w:rsidRDefault="000F0341" w:rsidP="00E40B0D">
            <w:pPr>
              <w:spacing w:line="240" w:lineRule="auto"/>
              <w:jc w:val="center"/>
              <w:rPr>
                <w:b/>
                <w:bCs/>
                <w:color w:val="000000"/>
                <w:sz w:val="14"/>
                <w:szCs w:val="14"/>
              </w:rPr>
            </w:pPr>
          </w:p>
        </w:tc>
        <w:tc>
          <w:tcPr>
            <w:tcW w:w="1276" w:type="dxa"/>
            <w:vAlign w:val="center"/>
          </w:tcPr>
          <w:p w14:paraId="06BC0C65" w14:textId="77777777" w:rsidR="000F0341" w:rsidRPr="00C47DDC" w:rsidRDefault="000F0341" w:rsidP="00E40B0D">
            <w:pPr>
              <w:spacing w:line="240" w:lineRule="auto"/>
              <w:jc w:val="center"/>
              <w:rPr>
                <w:b/>
                <w:bCs/>
                <w:color w:val="000000"/>
                <w:sz w:val="14"/>
                <w:szCs w:val="14"/>
              </w:rPr>
            </w:pPr>
            <w:r w:rsidRPr="00C47DDC">
              <w:rPr>
                <w:b/>
                <w:bCs/>
                <w:color w:val="000000"/>
                <w:sz w:val="14"/>
                <w:szCs w:val="14"/>
              </w:rPr>
              <w:t xml:space="preserve">ISPOR </w:t>
            </w:r>
            <w:r w:rsidRPr="00C47DDC">
              <w:rPr>
                <w:color w:val="000000"/>
                <w:sz w:val="14"/>
                <w:szCs w:val="14"/>
              </w:rPr>
              <w:t>(Yes/Partially/No/NA)</w:t>
            </w:r>
          </w:p>
        </w:tc>
        <w:tc>
          <w:tcPr>
            <w:tcW w:w="1275" w:type="dxa"/>
            <w:vAlign w:val="center"/>
          </w:tcPr>
          <w:p w14:paraId="77343C5B" w14:textId="77777777" w:rsidR="000F0341" w:rsidRPr="00C47DDC" w:rsidRDefault="000F0341" w:rsidP="00E40B0D">
            <w:pPr>
              <w:spacing w:line="240" w:lineRule="auto"/>
              <w:jc w:val="center"/>
              <w:rPr>
                <w:b/>
                <w:bCs/>
                <w:color w:val="000000"/>
                <w:sz w:val="14"/>
                <w:szCs w:val="14"/>
              </w:rPr>
            </w:pPr>
            <w:r w:rsidRPr="00C47DDC">
              <w:rPr>
                <w:b/>
                <w:bCs/>
                <w:color w:val="000000"/>
                <w:sz w:val="14"/>
                <w:szCs w:val="14"/>
              </w:rPr>
              <w:t xml:space="preserve">ROBINS-E </w:t>
            </w:r>
            <w:r w:rsidRPr="00C47DDC">
              <w:rPr>
                <w:color w:val="000000"/>
                <w:sz w:val="14"/>
                <w:szCs w:val="14"/>
              </w:rPr>
              <w:t>(Domain 7</w:t>
            </w:r>
            <w:r w:rsidRPr="00C47DDC">
              <w:rPr>
                <w:sz w:val="14"/>
                <w:szCs w:val="14"/>
              </w:rPr>
              <w:t>†</w:t>
            </w:r>
            <w:r w:rsidRPr="00C47DDC">
              <w:rPr>
                <w:color w:val="000000"/>
                <w:sz w:val="14"/>
                <w:szCs w:val="14"/>
              </w:rPr>
              <w:t>)</w:t>
            </w:r>
          </w:p>
        </w:tc>
      </w:tr>
      <w:tr w:rsidR="000F0341" w:rsidRPr="00BF62A1" w14:paraId="0F6529C3" w14:textId="77777777" w:rsidTr="00E40B0D">
        <w:trPr>
          <w:trHeight w:val="340"/>
        </w:trPr>
        <w:tc>
          <w:tcPr>
            <w:tcW w:w="9356" w:type="dxa"/>
            <w:gridSpan w:val="4"/>
            <w:vAlign w:val="center"/>
          </w:tcPr>
          <w:p w14:paraId="5156F0EA" w14:textId="77777777" w:rsidR="000F0341" w:rsidRPr="00C47DDC" w:rsidRDefault="000F0341" w:rsidP="00E40B0D">
            <w:pPr>
              <w:spacing w:line="240" w:lineRule="auto"/>
              <w:jc w:val="center"/>
              <w:rPr>
                <w:b/>
                <w:bCs/>
                <w:color w:val="000000"/>
                <w:sz w:val="14"/>
                <w:szCs w:val="14"/>
              </w:rPr>
            </w:pPr>
            <w:r w:rsidRPr="00C47DDC">
              <w:rPr>
                <w:b/>
                <w:bCs/>
                <w:color w:val="000000"/>
                <w:sz w:val="14"/>
                <w:szCs w:val="14"/>
              </w:rPr>
              <w:t>Anatomical and non-anatomical resections combined</w:t>
            </w:r>
          </w:p>
        </w:tc>
      </w:tr>
      <w:tr w:rsidR="000F0341" w:rsidRPr="00BF62A1" w14:paraId="7DA92E6D" w14:textId="77777777" w:rsidTr="00E40B0D">
        <w:trPr>
          <w:trHeight w:val="453"/>
        </w:trPr>
        <w:tc>
          <w:tcPr>
            <w:tcW w:w="1135" w:type="dxa"/>
            <w:hideMark/>
          </w:tcPr>
          <w:p w14:paraId="36FFCEC5" w14:textId="5003667B" w:rsidR="000F0341" w:rsidRPr="00C47DDC" w:rsidRDefault="000F0341" w:rsidP="00E40B0D">
            <w:pPr>
              <w:spacing w:line="240" w:lineRule="auto"/>
              <w:jc w:val="left"/>
              <w:rPr>
                <w:color w:val="000000"/>
                <w:sz w:val="14"/>
                <w:szCs w:val="14"/>
              </w:rPr>
            </w:pPr>
            <w:r w:rsidRPr="00C47DDC">
              <w:rPr>
                <w:color w:val="000000"/>
                <w:sz w:val="14"/>
                <w:szCs w:val="14"/>
              </w:rPr>
              <w:t xml:space="preserve">Chiu 2015 </w:t>
            </w:r>
            <w:r w:rsidRPr="00C47DDC">
              <w:rPr>
                <w:color w:val="000000"/>
                <w:sz w:val="14"/>
                <w:szCs w:val="14"/>
              </w:rPr>
              <w:fldChar w:fldCharType="begin"/>
            </w:r>
            <w:r>
              <w:rPr>
                <w:color w:val="000000"/>
                <w:sz w:val="14"/>
                <w:szCs w:val="14"/>
              </w:rPr>
              <w:instrText xml:space="preserve"> ADDIN ZOTERO_ITEM CSL_CITATION {"citationID":"nfOM3ssM","properties":{"formattedCitation":"[88]","plainCitation":"[88]","noteIndex":0},"citationItems":[{"id":14354,"uris":["http://zotero.org/groups/4983919/items/85AI84VG"],"itemData":{"id":14354,"type":"article-journal","abstract":"BACKGROUND: Despite the huge and growing global burden of hepatocellular carcinoma (HCC), high-quality population-based studies of HCC prevalence and outcomes are scarce. PURPOSE: To analyze trends and predictors of hospital resource utilization and mortality rates in a population of patients who had received HCC surgery. PATIENTS AND MATERIALS: This population-based patient cohort study retrospectively analyzed 23,107 patients who had received surgical treatment for HCC from 1998 to 2009. RESULTS: The prevalence rate of surgical treatment in HCC patients significantly increased by 167.4% from 4.857 per 100,000 persons in 1998 to 12.989 per 100,000 persons in 2009 (P &lt; 0.001). Age, gender, Deyo-Charlson co-morbidity index score, hospital volume, surgeon volume, digestive system disease, hepatitis type and liver cirrhosis were significantly associated with HCC surgical outcomes (P &lt; 0.05). Over the 12-year period analyzed, the estimated mean hospital treatment cost increased 9.4% whereas mean length of stay (LOS) decreased 25.3%. The estimated mean overall survival time after HCC surgery was 40.9 months (SD 1.2 months), and the overall in-hospital 1-, 3-, and 5-year survival rates were 97.2%, 79.9%, 61.1%, and 54.6%, respectively. CONCLUSIONS: These population-based data reveal that the prevalence of HCC has increased, especially in older patients. Additionally, hospital treatment costs for HCC have increased despite decreases in LOS. These analytical results should be applicable to most countries with relatively small populations. Additionally, healthcare providers and patients should recognize that attributes of both the patient and the hospital may affect outcomes.","container-title":"Eur J Surg Oncol","DOI":"10.1016/j.ejso.2015.04.023","ISSN":"0748-7983","issue":"9","language":"eng","page":"1170-8","title":"Trends and predictors of outcomes after surgery for hepatocellular carcinoma: A nationwide population-based study in Taiwan","volume":"41","author":[{"family":"Chiu","given":"C. C."},{"family":"Wang","given":"J. J."},{"family":"Chen","given":"Y. S."},{"family":"Chen","given":"J. J."},{"family":"Tsai","given":"T. C."},{"family":"Lai","given":"C. C."},{"family":"Sun","given":"D. P."},{"family":"Shi","given":"H. Y."}],"issued":{"date-parts":[["2015",9]]}}}],"schema":"https://github.com/citation-style-language/schema/raw/master/csl-citation.json"} </w:instrText>
            </w:r>
            <w:r w:rsidRPr="00C47DDC">
              <w:rPr>
                <w:color w:val="000000"/>
                <w:sz w:val="14"/>
                <w:szCs w:val="14"/>
              </w:rPr>
              <w:fldChar w:fldCharType="separate"/>
            </w:r>
            <w:r w:rsidRPr="004125CE">
              <w:rPr>
                <w:sz w:val="14"/>
              </w:rPr>
              <w:t>[</w:t>
            </w:r>
            <w:r w:rsidR="007A755B">
              <w:rPr>
                <w:sz w:val="14"/>
              </w:rPr>
              <w:t>52</w:t>
            </w:r>
            <w:r w:rsidRPr="004125CE">
              <w:rPr>
                <w:sz w:val="14"/>
              </w:rPr>
              <w:t>]</w:t>
            </w:r>
            <w:r w:rsidRPr="00C47DDC">
              <w:rPr>
                <w:color w:val="000000"/>
                <w:sz w:val="14"/>
                <w:szCs w:val="14"/>
              </w:rPr>
              <w:fldChar w:fldCharType="end"/>
            </w:r>
          </w:p>
        </w:tc>
        <w:tc>
          <w:tcPr>
            <w:tcW w:w="5670" w:type="dxa"/>
            <w:hideMark/>
          </w:tcPr>
          <w:p w14:paraId="0EAC267F" w14:textId="77777777" w:rsidR="000F0341" w:rsidRPr="00C47DDC" w:rsidRDefault="000F0341" w:rsidP="00E40B0D">
            <w:pPr>
              <w:spacing w:line="240" w:lineRule="auto"/>
              <w:jc w:val="left"/>
              <w:rPr>
                <w:color w:val="000000"/>
                <w:sz w:val="14"/>
                <w:szCs w:val="14"/>
              </w:rPr>
            </w:pPr>
            <w:r w:rsidRPr="00C47DDC">
              <w:rPr>
                <w:b/>
                <w:bCs/>
                <w:color w:val="000000"/>
                <w:sz w:val="14"/>
                <w:szCs w:val="14"/>
              </w:rPr>
              <w:t>Mortality:</w:t>
            </w:r>
            <w:r w:rsidRPr="00C47DDC">
              <w:rPr>
                <w:color w:val="000000"/>
                <w:sz w:val="14"/>
                <w:szCs w:val="14"/>
              </w:rPr>
              <w:t xml:space="preserve"> (HR):</w:t>
            </w:r>
            <w:r>
              <w:rPr>
                <w:color w:val="000000"/>
                <w:sz w:val="14"/>
                <w:szCs w:val="14"/>
              </w:rPr>
              <w:t xml:space="preserve"> </w:t>
            </w:r>
            <w:r w:rsidRPr="00C47DDC">
              <w:rPr>
                <w:b/>
                <w:bCs/>
                <w:color w:val="000000"/>
                <w:sz w:val="14"/>
                <w:szCs w:val="14"/>
              </w:rPr>
              <w:t>(5-year):</w:t>
            </w:r>
            <w:r w:rsidRPr="00C47DDC">
              <w:rPr>
                <w:color w:val="000000"/>
                <w:sz w:val="14"/>
                <w:szCs w:val="14"/>
              </w:rPr>
              <w:t xml:space="preserve"> </w:t>
            </w:r>
            <w:r w:rsidRPr="00C47DDC">
              <w:rPr>
                <w:color w:val="000000"/>
                <w:sz w:val="14"/>
                <w:szCs w:val="14"/>
                <w:u w:val="single"/>
              </w:rPr>
              <w:t>Low</w:t>
            </w:r>
            <w:r w:rsidRPr="00C47DDC">
              <w:rPr>
                <w:color w:val="000000"/>
                <w:sz w:val="14"/>
                <w:szCs w:val="14"/>
              </w:rPr>
              <w:t xml:space="preserve"> vs. High: 0.84</w:t>
            </w:r>
            <w:r w:rsidRPr="00C47DDC">
              <w:rPr>
                <w:sz w:val="14"/>
                <w:szCs w:val="14"/>
                <w:vertAlign w:val="superscript"/>
              </w:rPr>
              <w:t>b</w:t>
            </w:r>
            <w:r w:rsidRPr="00C47DDC">
              <w:rPr>
                <w:color w:val="000000"/>
                <w:sz w:val="14"/>
                <w:szCs w:val="14"/>
              </w:rPr>
              <w:t xml:space="preserve"> [0.799-0.878]***|</w:t>
            </w:r>
            <w:r w:rsidRPr="00C47DDC">
              <w:rPr>
                <w:color w:val="000000"/>
                <w:sz w:val="14"/>
                <w:szCs w:val="14"/>
              </w:rPr>
              <w:br/>
            </w:r>
            <w:r w:rsidRPr="00C47DDC">
              <w:rPr>
                <w:b/>
                <w:bCs/>
                <w:color w:val="000000"/>
                <w:sz w:val="14"/>
                <w:szCs w:val="14"/>
              </w:rPr>
              <w:t>(5-year)</w:t>
            </w:r>
            <w:r w:rsidRPr="00C47DDC">
              <w:rPr>
                <w:b/>
                <w:bCs/>
                <w:color w:val="000000"/>
                <w:sz w:val="14"/>
                <w:szCs w:val="14"/>
                <w:vertAlign w:val="superscript"/>
              </w:rPr>
              <w:t>1,2</w:t>
            </w:r>
            <w:r w:rsidRPr="00C47DDC">
              <w:rPr>
                <w:b/>
                <w:bCs/>
                <w:color w:val="000000"/>
                <w:sz w:val="14"/>
                <w:szCs w:val="14"/>
              </w:rPr>
              <w:t>:</w:t>
            </w:r>
            <w:r w:rsidRPr="00C47DDC">
              <w:rPr>
                <w:color w:val="000000"/>
                <w:sz w:val="14"/>
                <w:szCs w:val="14"/>
              </w:rPr>
              <w:t xml:space="preserve"> Low: 43.9</w:t>
            </w:r>
            <w:r w:rsidRPr="00C47DDC">
              <w:rPr>
                <w:sz w:val="14"/>
                <w:szCs w:val="14"/>
                <w:vertAlign w:val="superscript"/>
              </w:rPr>
              <w:t>d</w:t>
            </w:r>
            <w:r w:rsidRPr="00C47DDC">
              <w:rPr>
                <w:color w:val="000000"/>
                <w:sz w:val="14"/>
                <w:szCs w:val="14"/>
              </w:rPr>
              <w:t>; High: 30.2</w:t>
            </w:r>
            <w:r w:rsidRPr="00C47DDC">
              <w:rPr>
                <w:sz w:val="14"/>
                <w:szCs w:val="14"/>
                <w:vertAlign w:val="superscript"/>
              </w:rPr>
              <w:t>d</w:t>
            </w:r>
            <w:r w:rsidRPr="00C47DDC">
              <w:rPr>
                <w:b/>
                <w:bCs/>
                <w:color w:val="000000"/>
                <w:sz w:val="14"/>
                <w:szCs w:val="14"/>
              </w:rPr>
              <w:t>|</w:t>
            </w:r>
            <w:r w:rsidRPr="00C47DDC">
              <w:rPr>
                <w:color w:val="000000"/>
                <w:sz w:val="14"/>
                <w:szCs w:val="14"/>
              </w:rPr>
              <w:br/>
            </w:r>
            <w:r w:rsidRPr="00C47DDC">
              <w:rPr>
                <w:b/>
                <w:bCs/>
                <w:color w:val="000000"/>
                <w:sz w:val="14"/>
                <w:szCs w:val="14"/>
              </w:rPr>
              <w:t>OS</w:t>
            </w:r>
            <w:r w:rsidRPr="00C47DDC">
              <w:rPr>
                <w:b/>
                <w:bCs/>
                <w:color w:val="000000"/>
                <w:sz w:val="14"/>
                <w:szCs w:val="14"/>
                <w:vertAlign w:val="superscript"/>
              </w:rPr>
              <w:t>1,2</w:t>
            </w:r>
            <w:r w:rsidRPr="00C47DDC">
              <w:rPr>
                <w:b/>
                <w:bCs/>
                <w:color w:val="000000"/>
                <w:sz w:val="14"/>
                <w:szCs w:val="14"/>
              </w:rPr>
              <w:t>:</w:t>
            </w:r>
            <w:r w:rsidRPr="00C47DDC">
              <w:rPr>
                <w:color w:val="000000"/>
                <w:sz w:val="14"/>
                <w:szCs w:val="14"/>
              </w:rPr>
              <w:t xml:space="preserve"> (months): Low: 66.9</w:t>
            </w:r>
            <w:r w:rsidRPr="00C47DDC">
              <w:rPr>
                <w:color w:val="000000"/>
                <w:sz w:val="14"/>
                <w:szCs w:val="14"/>
                <w:vertAlign w:val="superscript"/>
              </w:rPr>
              <w:t>e</w:t>
            </w:r>
            <w:r w:rsidRPr="00C47DDC">
              <w:rPr>
                <w:color w:val="000000"/>
                <w:sz w:val="14"/>
                <w:szCs w:val="14"/>
              </w:rPr>
              <w:t xml:space="preserve"> (0.7); High: 78.5</w:t>
            </w:r>
            <w:r w:rsidRPr="00C47DDC">
              <w:rPr>
                <w:color w:val="000000"/>
                <w:sz w:val="14"/>
                <w:szCs w:val="14"/>
                <w:vertAlign w:val="superscript"/>
              </w:rPr>
              <w:t>e</w:t>
            </w:r>
            <w:r w:rsidRPr="00C47DDC">
              <w:rPr>
                <w:color w:val="000000"/>
                <w:sz w:val="14"/>
                <w:szCs w:val="14"/>
              </w:rPr>
              <w:t xml:space="preserve"> (0.7)**</w:t>
            </w:r>
          </w:p>
        </w:tc>
        <w:tc>
          <w:tcPr>
            <w:tcW w:w="1276" w:type="dxa"/>
          </w:tcPr>
          <w:p w14:paraId="7D4DA22F" w14:textId="77777777" w:rsidR="000F0341" w:rsidRPr="00C47DDC" w:rsidRDefault="000F0341" w:rsidP="00E40B0D">
            <w:pPr>
              <w:spacing w:line="240" w:lineRule="auto"/>
              <w:jc w:val="left"/>
              <w:rPr>
                <w:color w:val="000000"/>
                <w:sz w:val="14"/>
                <w:szCs w:val="14"/>
              </w:rPr>
            </w:pPr>
            <w:r w:rsidRPr="00C47DDC">
              <w:rPr>
                <w:color w:val="000000"/>
                <w:sz w:val="14"/>
                <w:szCs w:val="14"/>
              </w:rPr>
              <w:t>9/2/10/6</w:t>
            </w:r>
          </w:p>
        </w:tc>
        <w:tc>
          <w:tcPr>
            <w:tcW w:w="1275" w:type="dxa"/>
          </w:tcPr>
          <w:p w14:paraId="2653F34A" w14:textId="77777777" w:rsidR="000F0341" w:rsidRPr="00C47DDC" w:rsidRDefault="000F0341" w:rsidP="00E40B0D">
            <w:pPr>
              <w:spacing w:line="240" w:lineRule="auto"/>
              <w:jc w:val="left"/>
              <w:rPr>
                <w:color w:val="000000"/>
                <w:sz w:val="14"/>
                <w:szCs w:val="14"/>
              </w:rPr>
            </w:pPr>
            <w:r w:rsidRPr="00C47DDC">
              <w:rPr>
                <w:color w:val="000000"/>
                <w:sz w:val="14"/>
                <w:szCs w:val="14"/>
              </w:rPr>
              <w:t>High Risk</w:t>
            </w:r>
          </w:p>
        </w:tc>
      </w:tr>
      <w:tr w:rsidR="000F0341" w:rsidRPr="00BF62A1" w14:paraId="45BE9F5B" w14:textId="77777777" w:rsidTr="00E40B0D">
        <w:trPr>
          <w:trHeight w:val="20"/>
        </w:trPr>
        <w:tc>
          <w:tcPr>
            <w:tcW w:w="1135" w:type="dxa"/>
          </w:tcPr>
          <w:p w14:paraId="5E6715EA" w14:textId="77777777" w:rsidR="000F0341" w:rsidRPr="00C47DDC" w:rsidRDefault="000F0341" w:rsidP="00E40B0D">
            <w:pPr>
              <w:spacing w:line="240" w:lineRule="auto"/>
              <w:jc w:val="left"/>
              <w:rPr>
                <w:color w:val="000000"/>
                <w:sz w:val="14"/>
                <w:szCs w:val="14"/>
              </w:rPr>
            </w:pPr>
            <w:r w:rsidRPr="00C47DDC">
              <w:rPr>
                <w:color w:val="000000"/>
                <w:sz w:val="14"/>
                <w:szCs w:val="14"/>
              </w:rPr>
              <w:t xml:space="preserve">Chang 2014 </w:t>
            </w:r>
            <w:r w:rsidRPr="00C47DDC">
              <w:rPr>
                <w:color w:val="000000"/>
                <w:sz w:val="14"/>
                <w:szCs w:val="14"/>
              </w:rPr>
              <w:fldChar w:fldCharType="begin"/>
            </w:r>
            <w:r>
              <w:rPr>
                <w:color w:val="000000"/>
                <w:sz w:val="14"/>
                <w:szCs w:val="14"/>
              </w:rPr>
              <w:instrText xml:space="preserve"> ADDIN ZOTERO_ITEM CSL_CITATION {"citationID":"nxSHZYb7","properties":{"formattedCitation":"[63]","plainCitation":"[63]","noteIndex":0},"citationItems":[{"id":14205,"uris":["http://zotero.org/groups/4983919/items/TRPKDPX6"],"itemData":{"id":14205,"type":"article-journal","abstract":"BACKGROUND: The influence of different hospital and surgeon volumes on short-term survival after hepatic resection is not clearly clarified. By taking the known prognostic factors into account, the purpose of this study is to assess the combined effects of hospital and surgeon volume on short-term survival after hepatic resection. METHODS: 13,159 patients who underwent hepatic resection between 2002 and 2006 were identified in the Taiwan National Health Insurance Research Database. Data were extracted from it and short-term survivals were confirmed through 2006. The Cox proportional hazards model was used to assess the relationship between survival and different hospital, surgeon volume and caseload combinations. RESULTS: High-volume surgeons in high-volume hospitals had the highest short-term survivals, following by high-volume surgeons in low-volume hospitals, low-volume surgeons in high-volume hospitals and low-volume surgeons in low-volume hospitals. Based on Cox proportional hazard models, although high-volume hospitals and surgeons both showed significant lower risks of short-term mortality at hospital and surgeon level analysis, after combining hospital and surgeon volume into account, high-volume surgeons in high-volume hospitals had significantly better outcomes; the hazard ratio of other three caseload combinations ranging from 1.66 to 2.08 (p&lt;0.001) in 3-month mortality, and 1.28 to 1.58 (p&lt;0.01) in 1-year mortality. CONCLUSIONS: The combined effects of hospital and surgeon volume influenced the short-term survival after hepatic resection largely. After adjusting for the prognostic factors in the case mix, high-volume surgeons in high-volume hospitals had better short-term survivals. Centralization of hepatic resection to few surgeons and hospitals might improve patients' prognosis.","container-title":"PLoS One","DOI":"10.1371/journal.pone.0086444","ISSN":"1932-6203","issue":"1","language":"eng","note":"publisher-place: Department of Surgery, Buddhist Dalin Tzu Chi General Hospital, Chiayi, Taiwan ; School of Medicine, Tzu Chi University, Hualian, Taiwan. Department of Otolaryngology, Buddhist Dalin Tzu Chi General Hospital, Chiayi, Taiwan ; Center for Clinical Epidemiology and Biostatistics, Buddhist Dalin Tzu Chi General Hospital, Chiayi, Taiwan ; School of Medicine, Tzu Chi University, Hualian, Taiwan.","page":"e86444","title":"The combined effects of hospital and surgeon volume on short-term survival after hepatic resection in a population-based study","volume":"9","author":[{"family":"Chang","given":"C. M."},{"family":"Yin","given":"W. Y."},{"family":"Wei","given":"C. K."},{"family":"Lee","given":"C. H."},{"family":"Lee","given":"C. C."}],"issued":{"date-parts":[["2014"]]}}}],"schema":"https://github.com/citation-style-language/schema/raw/master/csl-citation.json"} </w:instrText>
            </w:r>
            <w:r w:rsidRPr="00C47DDC">
              <w:rPr>
                <w:color w:val="000000"/>
                <w:sz w:val="14"/>
                <w:szCs w:val="14"/>
              </w:rPr>
              <w:fldChar w:fldCharType="separate"/>
            </w:r>
            <w:r w:rsidRPr="004125CE">
              <w:rPr>
                <w:sz w:val="14"/>
              </w:rPr>
              <w:t>[63]</w:t>
            </w:r>
            <w:r w:rsidRPr="00C47DDC">
              <w:rPr>
                <w:color w:val="000000"/>
                <w:sz w:val="14"/>
                <w:szCs w:val="14"/>
              </w:rPr>
              <w:fldChar w:fldCharType="end"/>
            </w:r>
          </w:p>
        </w:tc>
        <w:tc>
          <w:tcPr>
            <w:tcW w:w="5670" w:type="dxa"/>
          </w:tcPr>
          <w:p w14:paraId="33C097D6" w14:textId="77777777" w:rsidR="000F0341" w:rsidRPr="00C47DDC" w:rsidRDefault="000F0341" w:rsidP="00E40B0D">
            <w:pPr>
              <w:spacing w:line="240" w:lineRule="auto"/>
              <w:jc w:val="left"/>
              <w:rPr>
                <w:color w:val="000000"/>
                <w:sz w:val="14"/>
                <w:szCs w:val="14"/>
              </w:rPr>
            </w:pPr>
            <w:r w:rsidRPr="00C47DDC">
              <w:rPr>
                <w:b/>
                <w:bCs/>
                <w:color w:val="000000"/>
                <w:sz w:val="14"/>
                <w:szCs w:val="14"/>
              </w:rPr>
              <w:t>Mortality</w:t>
            </w:r>
            <w:r w:rsidRPr="0015416F">
              <w:rPr>
                <w:b/>
                <w:bCs/>
                <w:color w:val="000000"/>
                <w:sz w:val="14"/>
                <w:szCs w:val="14"/>
              </w:rPr>
              <w:t>:</w:t>
            </w:r>
            <w:r w:rsidRPr="0015416F">
              <w:rPr>
                <w:color w:val="000000"/>
                <w:sz w:val="14"/>
                <w:szCs w:val="14"/>
              </w:rPr>
              <w:t xml:space="preserve"> (OR): (1-year):</w:t>
            </w:r>
            <w:r w:rsidRPr="00C47DDC">
              <w:rPr>
                <w:color w:val="000000"/>
                <w:sz w:val="14"/>
                <w:szCs w:val="14"/>
              </w:rPr>
              <w:t xml:space="preserve"> </w:t>
            </w:r>
            <w:r w:rsidRPr="00C47DDC">
              <w:rPr>
                <w:color w:val="000000"/>
                <w:sz w:val="14"/>
                <w:szCs w:val="14"/>
                <w:u w:val="single"/>
              </w:rPr>
              <w:t>High</w:t>
            </w:r>
            <w:r w:rsidRPr="00C47DDC">
              <w:rPr>
                <w:color w:val="000000"/>
                <w:sz w:val="14"/>
                <w:szCs w:val="14"/>
              </w:rPr>
              <w:t xml:space="preserve"> vs. Low: 1.33</w:t>
            </w:r>
            <w:r w:rsidRPr="00C47DDC">
              <w:rPr>
                <w:sz w:val="14"/>
                <w:szCs w:val="14"/>
                <w:vertAlign w:val="superscript"/>
              </w:rPr>
              <w:t>b</w:t>
            </w:r>
            <w:r w:rsidRPr="00C47DDC">
              <w:rPr>
                <w:color w:val="000000"/>
                <w:sz w:val="14"/>
                <w:szCs w:val="14"/>
              </w:rPr>
              <w:t xml:space="preserve"> [1.21–1.46]**</w:t>
            </w:r>
          </w:p>
        </w:tc>
        <w:tc>
          <w:tcPr>
            <w:tcW w:w="1276" w:type="dxa"/>
          </w:tcPr>
          <w:p w14:paraId="7E8DC0CF" w14:textId="77777777" w:rsidR="000F0341" w:rsidRPr="00C47DDC" w:rsidRDefault="000F0341" w:rsidP="00E40B0D">
            <w:pPr>
              <w:spacing w:line="240" w:lineRule="auto"/>
              <w:jc w:val="left"/>
              <w:rPr>
                <w:color w:val="000000"/>
                <w:sz w:val="14"/>
                <w:szCs w:val="14"/>
              </w:rPr>
            </w:pPr>
            <w:r w:rsidRPr="00C47DDC">
              <w:rPr>
                <w:color w:val="000000"/>
                <w:sz w:val="14"/>
                <w:szCs w:val="14"/>
              </w:rPr>
              <w:t>8/3/10/6</w:t>
            </w:r>
          </w:p>
        </w:tc>
        <w:tc>
          <w:tcPr>
            <w:tcW w:w="1275" w:type="dxa"/>
          </w:tcPr>
          <w:p w14:paraId="1F2ABDC3" w14:textId="77777777" w:rsidR="000F0341" w:rsidRPr="00C47DDC" w:rsidRDefault="000F0341" w:rsidP="00E40B0D">
            <w:pPr>
              <w:spacing w:line="240" w:lineRule="auto"/>
              <w:jc w:val="left"/>
              <w:rPr>
                <w:color w:val="000000"/>
                <w:sz w:val="14"/>
                <w:szCs w:val="14"/>
              </w:rPr>
            </w:pPr>
            <w:r w:rsidRPr="00C47DDC">
              <w:rPr>
                <w:color w:val="000000"/>
                <w:sz w:val="14"/>
                <w:szCs w:val="14"/>
              </w:rPr>
              <w:t>High Risk</w:t>
            </w:r>
          </w:p>
        </w:tc>
      </w:tr>
    </w:tbl>
    <w:p w14:paraId="3CF444C5" w14:textId="77777777" w:rsidR="000F0341" w:rsidRPr="008533D9" w:rsidRDefault="000F0341" w:rsidP="000F0341">
      <w:pPr>
        <w:spacing w:line="240" w:lineRule="auto"/>
        <w:ind w:left="-283"/>
        <w:jc w:val="left"/>
        <w:rPr>
          <w:bCs/>
          <w:sz w:val="14"/>
          <w:szCs w:val="14"/>
        </w:rPr>
        <w:sectPr w:rsidR="000F0341" w:rsidRPr="008533D9" w:rsidSect="000F0341">
          <w:pgSz w:w="11906" w:h="16838" w:code="9"/>
          <w:pgMar w:top="1134" w:right="1985" w:bottom="1418" w:left="1985" w:header="709" w:footer="709" w:gutter="0"/>
          <w:cols w:space="708"/>
          <w:docGrid w:linePitch="360"/>
        </w:sectPr>
      </w:pPr>
      <w:r w:rsidRPr="0015416F">
        <w:rPr>
          <w:color w:val="000000"/>
          <w:sz w:val="14"/>
          <w:szCs w:val="14"/>
          <w:vertAlign w:val="superscript"/>
        </w:rPr>
        <w:t>a</w:t>
      </w:r>
      <w:r w:rsidRPr="0015416F">
        <w:rPr>
          <w:sz w:val="14"/>
          <w:szCs w:val="14"/>
        </w:rPr>
        <w:t xml:space="preserve"> OR [95% CI]; </w:t>
      </w:r>
      <w:r w:rsidRPr="0015416F">
        <w:rPr>
          <w:sz w:val="14"/>
          <w:szCs w:val="14"/>
          <w:vertAlign w:val="superscript"/>
        </w:rPr>
        <w:t>b</w:t>
      </w:r>
      <w:r w:rsidRPr="0015416F">
        <w:rPr>
          <w:sz w:val="14"/>
          <w:szCs w:val="14"/>
        </w:rPr>
        <w:t xml:space="preserve"> HR [95% CI]; </w:t>
      </w:r>
      <w:r w:rsidRPr="0015416F">
        <w:rPr>
          <w:sz w:val="14"/>
          <w:szCs w:val="14"/>
          <w:vertAlign w:val="superscript"/>
        </w:rPr>
        <w:t>c</w:t>
      </w:r>
      <w:r w:rsidRPr="0015416F">
        <w:rPr>
          <w:sz w:val="14"/>
          <w:szCs w:val="14"/>
        </w:rPr>
        <w:t xml:space="preserve"> RR [95% CI]; </w:t>
      </w:r>
      <w:r w:rsidRPr="0015416F">
        <w:rPr>
          <w:sz w:val="14"/>
          <w:szCs w:val="14"/>
          <w:vertAlign w:val="superscript"/>
        </w:rPr>
        <w:t>d</w:t>
      </w:r>
      <w:r w:rsidRPr="0015416F">
        <w:rPr>
          <w:sz w:val="14"/>
          <w:szCs w:val="14"/>
        </w:rPr>
        <w:t xml:space="preserve"> Rate in % [95% CI]; </w:t>
      </w:r>
      <w:r w:rsidRPr="0015416F">
        <w:rPr>
          <w:sz w:val="14"/>
          <w:szCs w:val="14"/>
          <w:vertAlign w:val="superscript"/>
        </w:rPr>
        <w:t>e</w:t>
      </w:r>
      <w:r w:rsidRPr="0015416F">
        <w:rPr>
          <w:sz w:val="14"/>
          <w:szCs w:val="14"/>
        </w:rPr>
        <w:t xml:space="preserve"> </w:t>
      </w:r>
      <w:r w:rsidRPr="0015416F">
        <w:rPr>
          <w:color w:val="000000"/>
          <w:sz w:val="14"/>
          <w:szCs w:val="14"/>
        </w:rPr>
        <w:t xml:space="preserve">mean (SD); *P value &lt; 0.05; **P value &lt; 0.01; ***P value &lt; 0.001; </w:t>
      </w:r>
      <w:r w:rsidRPr="0015416F">
        <w:rPr>
          <w:i/>
          <w:iCs/>
          <w:color w:val="000000"/>
          <w:sz w:val="14"/>
          <w:szCs w:val="14"/>
        </w:rPr>
        <w:t>FTR</w:t>
      </w:r>
      <w:r w:rsidRPr="0015416F">
        <w:rPr>
          <w:color w:val="000000"/>
          <w:sz w:val="14"/>
          <w:szCs w:val="14"/>
        </w:rPr>
        <w:t xml:space="preserve">: Failure to rescue; </w:t>
      </w:r>
      <w:r w:rsidRPr="0015416F">
        <w:rPr>
          <w:i/>
          <w:iCs/>
          <w:color w:val="000000"/>
          <w:sz w:val="14"/>
          <w:szCs w:val="14"/>
        </w:rPr>
        <w:t>OS</w:t>
      </w:r>
      <w:r w:rsidRPr="0015416F">
        <w:rPr>
          <w:color w:val="000000"/>
          <w:sz w:val="14"/>
          <w:szCs w:val="14"/>
        </w:rPr>
        <w:t xml:space="preserve">: Overall survival; </w:t>
      </w:r>
      <w:r w:rsidRPr="0015416F">
        <w:rPr>
          <w:color w:val="000000"/>
          <w:sz w:val="14"/>
          <w:szCs w:val="14"/>
          <w:vertAlign w:val="superscript"/>
        </w:rPr>
        <w:t>1</w:t>
      </w:r>
      <w:r w:rsidRPr="0015416F">
        <w:rPr>
          <w:color w:val="000000"/>
          <w:sz w:val="14"/>
          <w:szCs w:val="14"/>
        </w:rPr>
        <w:t xml:space="preserve"> Outcomes from Lu et al. 2014; </w:t>
      </w:r>
      <w:r w:rsidRPr="0015416F">
        <w:rPr>
          <w:color w:val="000000"/>
          <w:sz w:val="14"/>
          <w:szCs w:val="14"/>
          <w:vertAlign w:val="superscript"/>
        </w:rPr>
        <w:t>2</w:t>
      </w:r>
      <w:r w:rsidRPr="0015416F">
        <w:rPr>
          <w:color w:val="000000"/>
          <w:sz w:val="14"/>
          <w:szCs w:val="14"/>
        </w:rPr>
        <w:t xml:space="preserve"> Propensity-score matched cohort;</w:t>
      </w:r>
      <w:r w:rsidRPr="0015416F">
        <w:rPr>
          <w:color w:val="000000"/>
          <w:sz w:val="14"/>
          <w:szCs w:val="14"/>
        </w:rPr>
        <w:br/>
      </w:r>
      <w:r w:rsidRPr="0015416F">
        <w:rPr>
          <w:bCs/>
          <w:sz w:val="14"/>
          <w:szCs w:val="14"/>
        </w:rPr>
        <w:t xml:space="preserve">Note: † Domain 7 = Risk of bias in selection of reported result; Reference categories were </w:t>
      </w:r>
      <w:r w:rsidRPr="0015416F">
        <w:rPr>
          <w:bCs/>
          <w:sz w:val="14"/>
          <w:szCs w:val="14"/>
          <w:u w:val="single"/>
        </w:rPr>
        <w:t>underscored</w:t>
      </w:r>
      <w:r w:rsidRPr="0015416F">
        <w:rPr>
          <w:bCs/>
          <w:sz w:val="14"/>
          <w:szCs w:val="14"/>
        </w:rPr>
        <w:t xml:space="preserve"> if available</w:t>
      </w:r>
    </w:p>
    <w:p w14:paraId="1FD76953" w14:textId="77777777" w:rsidR="008B651B" w:rsidRPr="008D4727" w:rsidRDefault="008B651B" w:rsidP="001F321F">
      <w:pPr>
        <w:pStyle w:val="Heading1"/>
        <w:numPr>
          <w:ilvl w:val="0"/>
          <w:numId w:val="0"/>
        </w:numPr>
        <w:ind w:left="432" w:hanging="432"/>
        <w:rPr>
          <w:sz w:val="24"/>
          <w:szCs w:val="24"/>
        </w:rPr>
      </w:pPr>
      <w:r w:rsidRPr="008D4727">
        <w:rPr>
          <w:bCs/>
          <w:sz w:val="24"/>
          <w:szCs w:val="24"/>
        </w:rPr>
        <w:lastRenderedPageBreak/>
        <w:t>Appendix 7:</w:t>
      </w:r>
      <w:r w:rsidRPr="008D4727">
        <w:rPr>
          <w:sz w:val="24"/>
          <w:szCs w:val="24"/>
        </w:rPr>
        <w:t xml:space="preserve"> Harvest plots of adjusted results</w:t>
      </w:r>
    </w:p>
    <w:p w14:paraId="76094982" w14:textId="34890DA3" w:rsidR="008B651B" w:rsidRPr="00D63E7B" w:rsidRDefault="008B651B" w:rsidP="008B651B">
      <w:pPr>
        <w:spacing w:line="480" w:lineRule="auto"/>
        <w:ind w:left="-57"/>
        <w:rPr>
          <w:sz w:val="22"/>
          <w:szCs w:val="22"/>
        </w:rPr>
      </w:pPr>
      <w:r>
        <w:rPr>
          <w:b/>
          <w:bCs/>
          <w:noProof/>
          <w:sz w:val="22"/>
          <w:szCs w:val="22"/>
          <w:lang w:eastAsia="en-US"/>
        </w:rPr>
        <w:drawing>
          <wp:inline distT="0" distB="0" distL="0" distR="0" wp14:anchorId="0D6B7901" wp14:editId="5EED397F">
            <wp:extent cx="5758815" cy="5758815"/>
            <wp:effectExtent l="0" t="0" r="0" b="0"/>
            <wp:docPr id="693807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807544"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758815" cy="5758815"/>
                    </a:xfrm>
                    <a:prstGeom prst="rect">
                      <a:avLst/>
                    </a:prstGeom>
                    <a:noFill/>
                    <a:ln>
                      <a:noFill/>
                    </a:ln>
                  </pic:spPr>
                </pic:pic>
              </a:graphicData>
            </a:graphic>
          </wp:inline>
        </w:drawing>
      </w:r>
      <w:r>
        <w:rPr>
          <w:sz w:val="22"/>
          <w:szCs w:val="22"/>
        </w:rPr>
        <w:t xml:space="preserve"> </w:t>
      </w:r>
    </w:p>
    <w:p w14:paraId="05B317DF" w14:textId="7111F55D" w:rsidR="00812FA6" w:rsidRPr="008B651B" w:rsidRDefault="008B651B" w:rsidP="008533D9">
      <w:pPr>
        <w:spacing w:line="240" w:lineRule="auto"/>
        <w:rPr>
          <w:sz w:val="20"/>
          <w:szCs w:val="20"/>
        </w:rPr>
      </w:pPr>
      <w:r w:rsidRPr="008B651B">
        <w:rPr>
          <w:sz w:val="20"/>
          <w:szCs w:val="20"/>
        </w:rPr>
        <w:t xml:space="preserve">This harvest plot is stratified by outcome categories and sub-stratified by their median volume cutoff for “high-volume” definition. Each bar represents one study effect in its respective </w:t>
      </w:r>
      <w:r w:rsidR="00663E33" w:rsidRPr="008B651B">
        <w:rPr>
          <w:sz w:val="20"/>
          <w:szCs w:val="20"/>
        </w:rPr>
        <w:t>categories</w:t>
      </w:r>
      <w:r w:rsidRPr="008B651B">
        <w:rPr>
          <w:sz w:val="20"/>
          <w:szCs w:val="20"/>
        </w:rPr>
        <w:t xml:space="preserve"> and </w:t>
      </w:r>
      <w:r w:rsidR="00A23ED6" w:rsidRPr="008B651B">
        <w:rPr>
          <w:sz w:val="20"/>
          <w:szCs w:val="20"/>
        </w:rPr>
        <w:t>is assigned</w:t>
      </w:r>
      <w:r w:rsidRPr="008B651B">
        <w:rPr>
          <w:sz w:val="20"/>
          <w:szCs w:val="20"/>
        </w:rPr>
        <w:t xml:space="preserve"> to either no effect, a</w:t>
      </w:r>
      <w:r w:rsidR="00A23ED6">
        <w:rPr>
          <w:sz w:val="20"/>
          <w:szCs w:val="20"/>
        </w:rPr>
        <w:t xml:space="preserve">n </w:t>
      </w:r>
      <w:r w:rsidRPr="008B651B">
        <w:rPr>
          <w:sz w:val="20"/>
          <w:szCs w:val="20"/>
        </w:rPr>
        <w:t xml:space="preserve">effect </w:t>
      </w:r>
      <w:r w:rsidR="00A23ED6">
        <w:rPr>
          <w:sz w:val="20"/>
          <w:szCs w:val="20"/>
        </w:rPr>
        <w:t>in favor of</w:t>
      </w:r>
      <w:r w:rsidRPr="008B651B">
        <w:rPr>
          <w:sz w:val="20"/>
          <w:szCs w:val="20"/>
        </w:rPr>
        <w:t xml:space="preserve"> </w:t>
      </w:r>
      <w:r w:rsidR="00A23ED6">
        <w:rPr>
          <w:sz w:val="20"/>
          <w:szCs w:val="20"/>
        </w:rPr>
        <w:t xml:space="preserve">a </w:t>
      </w:r>
      <w:r w:rsidRPr="008B651B">
        <w:rPr>
          <w:sz w:val="20"/>
          <w:szCs w:val="20"/>
        </w:rPr>
        <w:t>volume</w:t>
      </w:r>
      <w:r w:rsidR="00A23ED6">
        <w:rPr>
          <w:sz w:val="20"/>
          <w:szCs w:val="20"/>
        </w:rPr>
        <w:t>-outcome relationship</w:t>
      </w:r>
      <w:r w:rsidRPr="008B651B">
        <w:rPr>
          <w:sz w:val="20"/>
          <w:szCs w:val="20"/>
        </w:rPr>
        <w:t xml:space="preserve"> </w:t>
      </w:r>
      <w:r w:rsidR="00A23ED6">
        <w:rPr>
          <w:sz w:val="20"/>
          <w:szCs w:val="20"/>
        </w:rPr>
        <w:t>with</w:t>
      </w:r>
      <w:r w:rsidRPr="008B651B">
        <w:rPr>
          <w:sz w:val="20"/>
          <w:szCs w:val="20"/>
        </w:rPr>
        <w:t xml:space="preserve"> outcomes or against</w:t>
      </w:r>
      <w:r w:rsidR="00A23ED6">
        <w:rPr>
          <w:sz w:val="20"/>
          <w:szCs w:val="20"/>
        </w:rPr>
        <w:t xml:space="preserve"> </w:t>
      </w:r>
      <w:r w:rsidR="00A23ED6" w:rsidRPr="008B651B">
        <w:rPr>
          <w:sz w:val="20"/>
          <w:szCs w:val="20"/>
        </w:rPr>
        <w:t>a</w:t>
      </w:r>
      <w:r w:rsidR="00A23ED6">
        <w:rPr>
          <w:sz w:val="20"/>
          <w:szCs w:val="20"/>
        </w:rPr>
        <w:t xml:space="preserve">n </w:t>
      </w:r>
      <w:r w:rsidR="00A23ED6" w:rsidRPr="008B651B">
        <w:rPr>
          <w:sz w:val="20"/>
          <w:szCs w:val="20"/>
        </w:rPr>
        <w:t xml:space="preserve">effect </w:t>
      </w:r>
      <w:r w:rsidR="00A23ED6">
        <w:rPr>
          <w:sz w:val="20"/>
          <w:szCs w:val="20"/>
        </w:rPr>
        <w:t>in favor of</w:t>
      </w:r>
      <w:r w:rsidR="00A23ED6" w:rsidRPr="008B651B">
        <w:rPr>
          <w:sz w:val="20"/>
          <w:szCs w:val="20"/>
        </w:rPr>
        <w:t xml:space="preserve"> </w:t>
      </w:r>
      <w:r w:rsidR="00A23ED6">
        <w:rPr>
          <w:sz w:val="20"/>
          <w:szCs w:val="20"/>
        </w:rPr>
        <w:t xml:space="preserve">a </w:t>
      </w:r>
      <w:r w:rsidR="00A23ED6" w:rsidRPr="008B651B">
        <w:rPr>
          <w:sz w:val="20"/>
          <w:szCs w:val="20"/>
        </w:rPr>
        <w:t>volume</w:t>
      </w:r>
      <w:r w:rsidR="00A23ED6">
        <w:rPr>
          <w:sz w:val="20"/>
          <w:szCs w:val="20"/>
        </w:rPr>
        <w:t>-outcome relationship</w:t>
      </w:r>
      <w:r w:rsidRPr="008B651B">
        <w:rPr>
          <w:sz w:val="20"/>
          <w:szCs w:val="20"/>
        </w:rPr>
        <w:t>. The height of the bar corresponds to the quality score, while the horizontal position represents the rank of the study amongst the included studies. The horizontal black line denotes the quality cutoff, similar to the summary table 9.</w:t>
      </w:r>
      <w:r w:rsidR="00A23ED6">
        <w:rPr>
          <w:sz w:val="20"/>
          <w:szCs w:val="20"/>
        </w:rPr>
        <w:t xml:space="preserve"> </w:t>
      </w:r>
      <w:r w:rsidRPr="008B651B">
        <w:rPr>
          <w:sz w:val="20"/>
          <w:szCs w:val="20"/>
        </w:rPr>
        <w:t xml:space="preserve">This allows to compare how many studies report effects for each outcome, their nominal quality as well as their relative quality across all strata. </w:t>
      </w:r>
    </w:p>
    <w:p w14:paraId="3B41DD5F" w14:textId="77777777" w:rsidR="008B651B" w:rsidRDefault="008B651B" w:rsidP="008533D9">
      <w:pPr>
        <w:spacing w:line="240" w:lineRule="auto"/>
      </w:pPr>
    </w:p>
    <w:p w14:paraId="0411C5FE" w14:textId="77777777" w:rsidR="008B651B" w:rsidRDefault="008B651B" w:rsidP="008533D9">
      <w:pPr>
        <w:spacing w:line="240" w:lineRule="auto"/>
      </w:pPr>
    </w:p>
    <w:p w14:paraId="4E44FA33" w14:textId="77777777" w:rsidR="008B651B" w:rsidRDefault="008B651B" w:rsidP="008533D9">
      <w:pPr>
        <w:spacing w:line="240" w:lineRule="auto"/>
      </w:pPr>
    </w:p>
    <w:p w14:paraId="662B5317" w14:textId="77777777" w:rsidR="008B651B" w:rsidRDefault="008B651B" w:rsidP="008533D9">
      <w:pPr>
        <w:spacing w:line="240" w:lineRule="auto"/>
      </w:pPr>
    </w:p>
    <w:p w14:paraId="7F563705" w14:textId="77777777" w:rsidR="008B651B" w:rsidRDefault="008B651B" w:rsidP="008533D9">
      <w:pPr>
        <w:spacing w:line="240" w:lineRule="auto"/>
      </w:pPr>
    </w:p>
    <w:p w14:paraId="21549D89" w14:textId="77777777" w:rsidR="008B651B" w:rsidRDefault="008B651B" w:rsidP="008533D9">
      <w:pPr>
        <w:spacing w:line="240" w:lineRule="auto"/>
      </w:pPr>
    </w:p>
    <w:p w14:paraId="05B4DE55" w14:textId="19C4E283" w:rsidR="008B651B" w:rsidRDefault="008B651B" w:rsidP="008B651B">
      <w:pPr>
        <w:spacing w:line="480" w:lineRule="auto"/>
        <w:ind w:left="-57"/>
        <w:rPr>
          <w:sz w:val="22"/>
          <w:szCs w:val="22"/>
        </w:rPr>
      </w:pPr>
      <w:r w:rsidRPr="008D4727">
        <w:rPr>
          <w:rStyle w:val="Heading1Char"/>
          <w:sz w:val="24"/>
          <w:szCs w:val="24"/>
        </w:rPr>
        <w:lastRenderedPageBreak/>
        <w:t>Appendix 8: Harvest plots of adjusted results, sensitivity analysis</w:t>
      </w:r>
      <w:r>
        <w:rPr>
          <w:sz w:val="22"/>
          <w:szCs w:val="22"/>
        </w:rPr>
        <w:tab/>
      </w:r>
      <w:r>
        <w:rPr>
          <w:sz w:val="22"/>
          <w:szCs w:val="22"/>
        </w:rPr>
        <w:tab/>
      </w:r>
      <w:r>
        <w:rPr>
          <w:noProof/>
          <w:sz w:val="22"/>
          <w:szCs w:val="22"/>
          <w:lang w:eastAsia="en-US"/>
        </w:rPr>
        <w:drawing>
          <wp:inline distT="0" distB="0" distL="0" distR="0" wp14:anchorId="0665669A" wp14:editId="5B762819">
            <wp:extent cx="5758815" cy="5758815"/>
            <wp:effectExtent l="0" t="0" r="0" b="0"/>
            <wp:docPr id="12091266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126623"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758815" cy="5758815"/>
                    </a:xfrm>
                    <a:prstGeom prst="rect">
                      <a:avLst/>
                    </a:prstGeom>
                    <a:noFill/>
                    <a:ln>
                      <a:noFill/>
                    </a:ln>
                  </pic:spPr>
                </pic:pic>
              </a:graphicData>
            </a:graphic>
          </wp:inline>
        </w:drawing>
      </w:r>
    </w:p>
    <w:p w14:paraId="2C99072C" w14:textId="47865FC3" w:rsidR="008B651B" w:rsidRPr="00663E33" w:rsidRDefault="008B651B" w:rsidP="008533D9">
      <w:pPr>
        <w:spacing w:line="240" w:lineRule="auto"/>
        <w:rPr>
          <w:sz w:val="20"/>
          <w:szCs w:val="20"/>
        </w:rPr>
      </w:pPr>
      <w:r w:rsidRPr="00663E33">
        <w:rPr>
          <w:sz w:val="20"/>
          <w:szCs w:val="20"/>
        </w:rPr>
        <w:t xml:space="preserve">This harvest plot is analogous to appendix 7, but the quality score is modified to omit the ROBINS-E summation as a sensitivity analysis. Quality rank is adapted to this alternative specification. </w:t>
      </w:r>
    </w:p>
    <w:sectPr w:rsidR="008B651B" w:rsidRPr="00663E33" w:rsidSect="000B180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527E7" w14:textId="77777777" w:rsidR="00CF0B39" w:rsidRPr="00832E0E" w:rsidRDefault="00CF0B39" w:rsidP="00B1598B">
      <w:r w:rsidRPr="00832E0E">
        <w:separator/>
      </w:r>
    </w:p>
  </w:endnote>
  <w:endnote w:type="continuationSeparator" w:id="0">
    <w:p w14:paraId="326FAEC0" w14:textId="77777777" w:rsidR="00CF0B39" w:rsidRPr="00832E0E" w:rsidRDefault="00CF0B39" w:rsidP="00B1598B">
      <w:r w:rsidRPr="00832E0E">
        <w:continuationSeparator/>
      </w:r>
    </w:p>
  </w:endnote>
  <w:endnote w:type="continuationNotice" w:id="1">
    <w:p w14:paraId="03D83774" w14:textId="77777777" w:rsidR="00CF0B39" w:rsidRPr="00832E0E" w:rsidRDefault="00CF0B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vanish/>
        <w:highlight w:val="yellow"/>
      </w:rPr>
      <w:id w:val="-142659401"/>
      <w:docPartObj>
        <w:docPartGallery w:val="Page Numbers (Bottom of Page)"/>
        <w:docPartUnique/>
      </w:docPartObj>
    </w:sdtPr>
    <w:sdtEndPr>
      <w:rPr>
        <w:rStyle w:val="PageNumber"/>
      </w:rPr>
    </w:sdtEndPr>
    <w:sdtContent>
      <w:p w14:paraId="2B5F69EA" w14:textId="6D3F1251" w:rsidR="00D141C9" w:rsidRPr="00832E0E" w:rsidRDefault="00D141C9" w:rsidP="007F0B38">
        <w:pPr>
          <w:pStyle w:val="Footer"/>
          <w:framePr w:wrap="none" w:vAnchor="text" w:hAnchor="margin" w:xAlign="right" w:y="1"/>
          <w:rPr>
            <w:rStyle w:val="PageNumber"/>
          </w:rPr>
        </w:pPr>
        <w:r w:rsidRPr="00832E0E">
          <w:rPr>
            <w:rStyle w:val="PageNumber"/>
          </w:rPr>
          <w:fldChar w:fldCharType="begin"/>
        </w:r>
        <w:r w:rsidRPr="00832E0E">
          <w:rPr>
            <w:rStyle w:val="PageNumber"/>
          </w:rPr>
          <w:instrText xml:space="preserve"> PAGE </w:instrText>
        </w:r>
        <w:r w:rsidRPr="00832E0E">
          <w:rPr>
            <w:rStyle w:val="PageNumber"/>
          </w:rPr>
          <w:fldChar w:fldCharType="separate"/>
        </w:r>
        <w:r w:rsidRPr="00832E0E">
          <w:rPr>
            <w:rStyle w:val="PageNumber"/>
          </w:rPr>
          <w:t>IV</w:t>
        </w:r>
        <w:r w:rsidRPr="00832E0E">
          <w:rPr>
            <w:rStyle w:val="PageNumber"/>
          </w:rPr>
          <w:fldChar w:fldCharType="end"/>
        </w:r>
      </w:p>
    </w:sdtContent>
  </w:sdt>
  <w:p w14:paraId="7D29FE0D" w14:textId="77777777" w:rsidR="00D141C9" w:rsidRPr="00832E0E" w:rsidRDefault="00D141C9" w:rsidP="00D141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3858979"/>
      <w:docPartObj>
        <w:docPartGallery w:val="Page Numbers (Bottom of Page)"/>
        <w:docPartUnique/>
      </w:docPartObj>
    </w:sdtPr>
    <w:sdtEndPr/>
    <w:sdtContent>
      <w:p w14:paraId="060F75D6" w14:textId="5D59483B" w:rsidR="00CB3351" w:rsidRPr="00C47DDC" w:rsidRDefault="00CB3351">
        <w:pPr>
          <w:pStyle w:val="Footer"/>
          <w:jc w:val="center"/>
        </w:pPr>
        <w:r w:rsidRPr="009E3999">
          <w:fldChar w:fldCharType="begin"/>
        </w:r>
        <w:r w:rsidRPr="00C47DDC">
          <w:instrText xml:space="preserve"> PAGE   \* MERGEFORMAT </w:instrText>
        </w:r>
        <w:r w:rsidRPr="009E3999">
          <w:fldChar w:fldCharType="separate"/>
        </w:r>
        <w:r w:rsidR="00414E7E">
          <w:rPr>
            <w:noProof/>
          </w:rPr>
          <w:t>1</w:t>
        </w:r>
        <w:r w:rsidRPr="009E3999">
          <w:fldChar w:fldCharType="end"/>
        </w:r>
      </w:p>
    </w:sdtContent>
  </w:sdt>
  <w:p w14:paraId="6EFD59F2" w14:textId="77777777" w:rsidR="00D141C9" w:rsidRPr="00C47DDC" w:rsidRDefault="00D141C9" w:rsidP="007F0B38">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B7986" w14:textId="77777777" w:rsidR="007A26FE" w:rsidRPr="00832E0E" w:rsidRDefault="007A26FE" w:rsidP="007A26F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CD8124" w14:textId="77777777" w:rsidR="00CF0B39" w:rsidRPr="00832E0E" w:rsidRDefault="00CF0B39" w:rsidP="00B1598B">
      <w:r w:rsidRPr="00832E0E">
        <w:separator/>
      </w:r>
    </w:p>
  </w:footnote>
  <w:footnote w:type="continuationSeparator" w:id="0">
    <w:p w14:paraId="33687164" w14:textId="77777777" w:rsidR="00CF0B39" w:rsidRPr="00832E0E" w:rsidRDefault="00CF0B39" w:rsidP="00B1598B">
      <w:r w:rsidRPr="00832E0E">
        <w:continuationSeparator/>
      </w:r>
    </w:p>
  </w:footnote>
  <w:footnote w:type="continuationNotice" w:id="1">
    <w:p w14:paraId="5DA0F772" w14:textId="77777777" w:rsidR="00CF0B39" w:rsidRPr="00832E0E" w:rsidRDefault="00CF0B3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041FC" w14:textId="77777777" w:rsidR="00A041AA" w:rsidRPr="00832E0E" w:rsidRDefault="00A041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55318" w14:textId="77777777" w:rsidR="00A041AA" w:rsidRPr="00C47DDC" w:rsidRDefault="00A041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A1409" w14:textId="77777777" w:rsidR="00A041AA" w:rsidRPr="00832E0E" w:rsidRDefault="00A041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A2D"/>
    <w:multiLevelType w:val="hybridMultilevel"/>
    <w:tmpl w:val="F1A2671A"/>
    <w:lvl w:ilvl="0" w:tplc="DFFA3698">
      <w:start w:val="1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2A0783"/>
    <w:multiLevelType w:val="hybridMultilevel"/>
    <w:tmpl w:val="3350FFB8"/>
    <w:lvl w:ilvl="0" w:tplc="C178921E">
      <w:start w:val="200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155B52"/>
    <w:multiLevelType w:val="multilevel"/>
    <w:tmpl w:val="3F40CD5A"/>
    <w:styleLink w:val="AktuelleListe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9A4452"/>
    <w:multiLevelType w:val="hybridMultilevel"/>
    <w:tmpl w:val="6EFE9FBE"/>
    <w:lvl w:ilvl="0" w:tplc="C0167F70">
      <w:start w:val="1"/>
      <w:numFmt w:val="decimal"/>
      <w:lvlText w:val="%1)"/>
      <w:lvlJc w:val="left"/>
      <w:pPr>
        <w:ind w:left="1020" w:hanging="360"/>
      </w:pPr>
    </w:lvl>
    <w:lvl w:ilvl="1" w:tplc="4A1C88D6">
      <w:start w:val="1"/>
      <w:numFmt w:val="decimal"/>
      <w:lvlText w:val="%2)"/>
      <w:lvlJc w:val="left"/>
      <w:pPr>
        <w:ind w:left="1020" w:hanging="360"/>
      </w:pPr>
    </w:lvl>
    <w:lvl w:ilvl="2" w:tplc="03BEDF70">
      <w:start w:val="1"/>
      <w:numFmt w:val="decimal"/>
      <w:lvlText w:val="%3)"/>
      <w:lvlJc w:val="left"/>
      <w:pPr>
        <w:ind w:left="1020" w:hanging="360"/>
      </w:pPr>
    </w:lvl>
    <w:lvl w:ilvl="3" w:tplc="549E9958">
      <w:start w:val="1"/>
      <w:numFmt w:val="decimal"/>
      <w:lvlText w:val="%4)"/>
      <w:lvlJc w:val="left"/>
      <w:pPr>
        <w:ind w:left="1020" w:hanging="360"/>
      </w:pPr>
    </w:lvl>
    <w:lvl w:ilvl="4" w:tplc="3AAC4E68">
      <w:start w:val="1"/>
      <w:numFmt w:val="decimal"/>
      <w:lvlText w:val="%5)"/>
      <w:lvlJc w:val="left"/>
      <w:pPr>
        <w:ind w:left="1020" w:hanging="360"/>
      </w:pPr>
    </w:lvl>
    <w:lvl w:ilvl="5" w:tplc="6CA0948E">
      <w:start w:val="1"/>
      <w:numFmt w:val="decimal"/>
      <w:lvlText w:val="%6)"/>
      <w:lvlJc w:val="left"/>
      <w:pPr>
        <w:ind w:left="1020" w:hanging="360"/>
      </w:pPr>
    </w:lvl>
    <w:lvl w:ilvl="6" w:tplc="8D20A09A">
      <w:start w:val="1"/>
      <w:numFmt w:val="decimal"/>
      <w:lvlText w:val="%7)"/>
      <w:lvlJc w:val="left"/>
      <w:pPr>
        <w:ind w:left="1020" w:hanging="360"/>
      </w:pPr>
    </w:lvl>
    <w:lvl w:ilvl="7" w:tplc="A274C7C6">
      <w:start w:val="1"/>
      <w:numFmt w:val="decimal"/>
      <w:lvlText w:val="%8)"/>
      <w:lvlJc w:val="left"/>
      <w:pPr>
        <w:ind w:left="1020" w:hanging="360"/>
      </w:pPr>
    </w:lvl>
    <w:lvl w:ilvl="8" w:tplc="96B4238E">
      <w:start w:val="1"/>
      <w:numFmt w:val="decimal"/>
      <w:lvlText w:val="%9)"/>
      <w:lvlJc w:val="left"/>
      <w:pPr>
        <w:ind w:left="1020" w:hanging="360"/>
      </w:pPr>
    </w:lvl>
  </w:abstractNum>
  <w:abstractNum w:abstractNumId="4" w15:restartNumberingAfterBreak="0">
    <w:nsid w:val="0C3742D2"/>
    <w:multiLevelType w:val="hybridMultilevel"/>
    <w:tmpl w:val="E092E4AE"/>
    <w:lvl w:ilvl="0" w:tplc="07E40D5C">
      <w:start w:val="1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3D4556A"/>
    <w:multiLevelType w:val="multilevel"/>
    <w:tmpl w:val="3F40CD5A"/>
    <w:styleLink w:val="AktuelleListe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52B4FC1"/>
    <w:multiLevelType w:val="multilevel"/>
    <w:tmpl w:val="3F40CD5A"/>
    <w:styleLink w:val="AktuelleListe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CFB7D90"/>
    <w:multiLevelType w:val="hybridMultilevel"/>
    <w:tmpl w:val="F63A908C"/>
    <w:lvl w:ilvl="0" w:tplc="C478C11C">
      <w:start w:val="1"/>
      <w:numFmt w:val="lowerLetter"/>
      <w:lvlText w:val="%1)"/>
      <w:lvlJc w:val="left"/>
      <w:pPr>
        <w:ind w:left="360" w:hanging="360"/>
      </w:pPr>
      <w:rPr>
        <w:rFonts w:ascii="Times New Roman" w:eastAsiaTheme="minorHAnsi" w:hAnsi="Times New Roman" w:cstheme="minorBidi"/>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20E941FF"/>
    <w:multiLevelType w:val="multilevel"/>
    <w:tmpl w:val="3638671A"/>
    <w:styleLink w:val="AktuelleListe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18B1B14"/>
    <w:multiLevelType w:val="multilevel"/>
    <w:tmpl w:val="3F40CD5A"/>
    <w:styleLink w:val="AktuelleListe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1C654FC"/>
    <w:multiLevelType w:val="multilevel"/>
    <w:tmpl w:val="3F40CD5A"/>
    <w:styleLink w:val="AktuelleListe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46C05AC"/>
    <w:multiLevelType w:val="hybridMultilevel"/>
    <w:tmpl w:val="FCDAF648"/>
    <w:lvl w:ilvl="0" w:tplc="77DEF372">
      <w:start w:val="1"/>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35139D"/>
    <w:multiLevelType w:val="hybridMultilevel"/>
    <w:tmpl w:val="2A405E14"/>
    <w:lvl w:ilvl="0" w:tplc="E992212E">
      <w:numFmt w:val="bullet"/>
      <w:lvlText w:val="-"/>
      <w:lvlJc w:val="left"/>
      <w:pPr>
        <w:ind w:left="36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7FF2270"/>
    <w:multiLevelType w:val="multilevel"/>
    <w:tmpl w:val="C8CE2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886BB9"/>
    <w:multiLevelType w:val="multilevel"/>
    <w:tmpl w:val="EBD4C5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3F40FA"/>
    <w:multiLevelType w:val="hybridMultilevel"/>
    <w:tmpl w:val="48988184"/>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01B4608"/>
    <w:multiLevelType w:val="hybridMultilevel"/>
    <w:tmpl w:val="BF2215D6"/>
    <w:lvl w:ilvl="0" w:tplc="E9FE3D36">
      <w:start w:val="1"/>
      <w:numFmt w:val="bullet"/>
      <w:lvlText w:val="-"/>
      <w:lvlJc w:val="left"/>
      <w:pPr>
        <w:ind w:left="360" w:hanging="360"/>
      </w:pPr>
      <w:rPr>
        <w:rFonts w:ascii="Times New Roman" w:eastAsiaTheme="minorHAnsi" w:hAnsi="Times New Roman" w:cs="Times New Roman"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1177256"/>
    <w:multiLevelType w:val="multilevel"/>
    <w:tmpl w:val="085C1B26"/>
    <w:styleLink w:val="AktuelleListe10"/>
    <w:lvl w:ilvl="0">
      <w:start w:val="1"/>
      <w:numFmt w:val="decimal"/>
      <w:lvlText w:val="%1"/>
      <w:lvlJc w:val="left"/>
      <w:pPr>
        <w:ind w:left="432" w:hanging="432"/>
      </w:pPr>
      <w:rPr>
        <w:rFonts w:ascii="Times New Roman" w:hAnsi="Times New Roman" w:cs="Times New Roman"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82535A7"/>
    <w:multiLevelType w:val="hybridMultilevel"/>
    <w:tmpl w:val="5EBE3970"/>
    <w:lvl w:ilvl="0" w:tplc="61A21858">
      <w:start w:val="1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E7142FE"/>
    <w:multiLevelType w:val="multilevel"/>
    <w:tmpl w:val="04070023"/>
    <w:styleLink w:val="ArticleSection"/>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5004798"/>
    <w:multiLevelType w:val="multilevel"/>
    <w:tmpl w:val="3F40CD5A"/>
    <w:styleLink w:val="AktuelleListe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46F157A8"/>
    <w:multiLevelType w:val="multilevel"/>
    <w:tmpl w:val="41445014"/>
    <w:lvl w:ilvl="0">
      <w:start w:val="1"/>
      <w:numFmt w:val="decimal"/>
      <w:pStyle w:val="Heading1"/>
      <w:lvlText w:val="%1"/>
      <w:lvlJc w:val="left"/>
      <w:pPr>
        <w:ind w:left="432" w:hanging="432"/>
      </w:pPr>
      <w:rPr>
        <w:rFonts w:ascii="Times New Roman" w:hAnsi="Times New Roman" w:cs="Times New Roman" w:hint="default"/>
        <w:b/>
        <w:bCs w:val="0"/>
      </w:rPr>
    </w:lvl>
    <w:lvl w:ilvl="1">
      <w:start w:val="1"/>
      <w:numFmt w:val="decimal"/>
      <w:pStyle w:val="Heading2"/>
      <w:lvlText w:val="%1.%2"/>
      <w:lvlJc w:val="left"/>
      <w:pPr>
        <w:ind w:left="9081"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48C15C64"/>
    <w:multiLevelType w:val="multilevel"/>
    <w:tmpl w:val="085C1B26"/>
    <w:styleLink w:val="AktuelleListe9"/>
    <w:lvl w:ilvl="0">
      <w:start w:val="1"/>
      <w:numFmt w:val="decimal"/>
      <w:lvlText w:val="%1"/>
      <w:lvlJc w:val="left"/>
      <w:pPr>
        <w:ind w:left="432" w:hanging="432"/>
      </w:pPr>
      <w:rPr>
        <w:rFonts w:ascii="Times New Roman" w:hAnsi="Times New Roman" w:cs="Times New Roman"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49E94414"/>
    <w:multiLevelType w:val="hybridMultilevel"/>
    <w:tmpl w:val="18DCF2FC"/>
    <w:lvl w:ilvl="0" w:tplc="BEECE4B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AF3241B"/>
    <w:multiLevelType w:val="hybridMultilevel"/>
    <w:tmpl w:val="BF8CDC22"/>
    <w:lvl w:ilvl="0" w:tplc="BD8413F8">
      <w:start w:val="1"/>
      <w:numFmt w:val="decimal"/>
      <w:lvlText w:val="%1)"/>
      <w:lvlJc w:val="left"/>
      <w:pPr>
        <w:ind w:left="1020" w:hanging="360"/>
      </w:pPr>
    </w:lvl>
    <w:lvl w:ilvl="1" w:tplc="9336F23E">
      <w:start w:val="1"/>
      <w:numFmt w:val="decimal"/>
      <w:lvlText w:val="%2)"/>
      <w:lvlJc w:val="left"/>
      <w:pPr>
        <w:ind w:left="1020" w:hanging="360"/>
      </w:pPr>
    </w:lvl>
    <w:lvl w:ilvl="2" w:tplc="FDDCA3FE">
      <w:start w:val="1"/>
      <w:numFmt w:val="decimal"/>
      <w:lvlText w:val="%3)"/>
      <w:lvlJc w:val="left"/>
      <w:pPr>
        <w:ind w:left="1020" w:hanging="360"/>
      </w:pPr>
    </w:lvl>
    <w:lvl w:ilvl="3" w:tplc="B3C29E9C">
      <w:start w:val="1"/>
      <w:numFmt w:val="decimal"/>
      <w:lvlText w:val="%4)"/>
      <w:lvlJc w:val="left"/>
      <w:pPr>
        <w:ind w:left="1020" w:hanging="360"/>
      </w:pPr>
    </w:lvl>
    <w:lvl w:ilvl="4" w:tplc="576A02A4">
      <w:start w:val="1"/>
      <w:numFmt w:val="decimal"/>
      <w:lvlText w:val="%5)"/>
      <w:lvlJc w:val="left"/>
      <w:pPr>
        <w:ind w:left="1020" w:hanging="360"/>
      </w:pPr>
    </w:lvl>
    <w:lvl w:ilvl="5" w:tplc="B0BC9034">
      <w:start w:val="1"/>
      <w:numFmt w:val="decimal"/>
      <w:lvlText w:val="%6)"/>
      <w:lvlJc w:val="left"/>
      <w:pPr>
        <w:ind w:left="1020" w:hanging="360"/>
      </w:pPr>
    </w:lvl>
    <w:lvl w:ilvl="6" w:tplc="969C5754">
      <w:start w:val="1"/>
      <w:numFmt w:val="decimal"/>
      <w:lvlText w:val="%7)"/>
      <w:lvlJc w:val="left"/>
      <w:pPr>
        <w:ind w:left="1020" w:hanging="360"/>
      </w:pPr>
    </w:lvl>
    <w:lvl w:ilvl="7" w:tplc="AC608CCC">
      <w:start w:val="1"/>
      <w:numFmt w:val="decimal"/>
      <w:lvlText w:val="%8)"/>
      <w:lvlJc w:val="left"/>
      <w:pPr>
        <w:ind w:left="1020" w:hanging="360"/>
      </w:pPr>
    </w:lvl>
    <w:lvl w:ilvl="8" w:tplc="08866D8C">
      <w:start w:val="1"/>
      <w:numFmt w:val="decimal"/>
      <w:lvlText w:val="%9)"/>
      <w:lvlJc w:val="left"/>
      <w:pPr>
        <w:ind w:left="1020" w:hanging="360"/>
      </w:pPr>
    </w:lvl>
  </w:abstractNum>
  <w:abstractNum w:abstractNumId="25" w15:restartNumberingAfterBreak="0">
    <w:nsid w:val="4B233930"/>
    <w:multiLevelType w:val="hybridMultilevel"/>
    <w:tmpl w:val="671AD84E"/>
    <w:lvl w:ilvl="0" w:tplc="4112D8F2">
      <w:start w:val="201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B7915FB"/>
    <w:multiLevelType w:val="hybridMultilevel"/>
    <w:tmpl w:val="2124C1A4"/>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DC41B86"/>
    <w:multiLevelType w:val="hybridMultilevel"/>
    <w:tmpl w:val="C82CFE8C"/>
    <w:lvl w:ilvl="0" w:tplc="2104F662">
      <w:start w:val="1"/>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EF542AC"/>
    <w:multiLevelType w:val="multilevel"/>
    <w:tmpl w:val="FE387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DE6E22"/>
    <w:multiLevelType w:val="hybridMultilevel"/>
    <w:tmpl w:val="AC12BEEC"/>
    <w:lvl w:ilvl="0" w:tplc="A2D0A022">
      <w:start w:val="1"/>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7E531D8"/>
    <w:multiLevelType w:val="multilevel"/>
    <w:tmpl w:val="085C1B26"/>
    <w:styleLink w:val="AktuelleListe8"/>
    <w:lvl w:ilvl="0">
      <w:start w:val="1"/>
      <w:numFmt w:val="decimal"/>
      <w:lvlText w:val="%1"/>
      <w:lvlJc w:val="left"/>
      <w:pPr>
        <w:ind w:left="432" w:hanging="432"/>
      </w:pPr>
      <w:rPr>
        <w:rFonts w:ascii="Times New Roman" w:hAnsi="Times New Roman" w:cs="Times New Roman"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605F6873"/>
    <w:multiLevelType w:val="hybridMultilevel"/>
    <w:tmpl w:val="726C243C"/>
    <w:lvl w:ilvl="0" w:tplc="C97AFDF0">
      <w:start w:val="1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1A252ED"/>
    <w:multiLevelType w:val="hybridMultilevel"/>
    <w:tmpl w:val="CABE8818"/>
    <w:lvl w:ilvl="0" w:tplc="9298449E">
      <w:start w:val="4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4C4741E"/>
    <w:multiLevelType w:val="hybridMultilevel"/>
    <w:tmpl w:val="30A0CF9A"/>
    <w:lvl w:ilvl="0" w:tplc="06BA87B2">
      <w:start w:val="1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6E7744D"/>
    <w:multiLevelType w:val="multilevel"/>
    <w:tmpl w:val="085C1B26"/>
    <w:styleLink w:val="AktuelleListe11"/>
    <w:lvl w:ilvl="0">
      <w:start w:val="1"/>
      <w:numFmt w:val="decimal"/>
      <w:lvlText w:val="%1"/>
      <w:lvlJc w:val="left"/>
      <w:pPr>
        <w:ind w:left="432" w:hanging="432"/>
      </w:pPr>
      <w:rPr>
        <w:rFonts w:ascii="Times New Roman" w:hAnsi="Times New Roman" w:cs="Times New Roman"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742E49AE"/>
    <w:multiLevelType w:val="multilevel"/>
    <w:tmpl w:val="D3D65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CC1C4A"/>
    <w:multiLevelType w:val="hybridMultilevel"/>
    <w:tmpl w:val="E27AEA50"/>
    <w:lvl w:ilvl="0" w:tplc="699AB944">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9FC1B3F"/>
    <w:multiLevelType w:val="hybridMultilevel"/>
    <w:tmpl w:val="2F461BBA"/>
    <w:lvl w:ilvl="0" w:tplc="3C6C5AA6">
      <w:start w:val="1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A833BF6"/>
    <w:multiLevelType w:val="multilevel"/>
    <w:tmpl w:val="FA4A89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C0808A8"/>
    <w:multiLevelType w:val="hybridMultilevel"/>
    <w:tmpl w:val="A030BC0C"/>
    <w:lvl w:ilvl="0" w:tplc="04070001">
      <w:start w:val="14"/>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F1C33F8"/>
    <w:multiLevelType w:val="multilevel"/>
    <w:tmpl w:val="E05CE0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21"/>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2"/>
  </w:num>
  <w:num w:numId="6">
    <w:abstractNumId w:val="20"/>
  </w:num>
  <w:num w:numId="7">
    <w:abstractNumId w:val="9"/>
  </w:num>
  <w:num w:numId="8">
    <w:abstractNumId w:val="10"/>
  </w:num>
  <w:num w:numId="9">
    <w:abstractNumId w:val="6"/>
  </w:num>
  <w:num w:numId="10">
    <w:abstractNumId w:val="5"/>
  </w:num>
  <w:num w:numId="11">
    <w:abstractNumId w:val="30"/>
  </w:num>
  <w:num w:numId="12">
    <w:abstractNumId w:val="22"/>
  </w:num>
  <w:num w:numId="13">
    <w:abstractNumId w:val="17"/>
  </w:num>
  <w:num w:numId="14">
    <w:abstractNumId w:val="19"/>
  </w:num>
  <w:num w:numId="15">
    <w:abstractNumId w:val="34"/>
  </w:num>
  <w:num w:numId="16">
    <w:abstractNumId w:val="7"/>
  </w:num>
  <w:num w:numId="17">
    <w:abstractNumId w:val="15"/>
  </w:num>
  <w:num w:numId="18">
    <w:abstractNumId w:val="16"/>
  </w:num>
  <w:num w:numId="19">
    <w:abstractNumId w:val="40"/>
  </w:num>
  <w:num w:numId="20">
    <w:abstractNumId w:val="29"/>
  </w:num>
  <w:num w:numId="21">
    <w:abstractNumId w:val="11"/>
  </w:num>
  <w:num w:numId="22">
    <w:abstractNumId w:val="27"/>
  </w:num>
  <w:num w:numId="23">
    <w:abstractNumId w:val="36"/>
  </w:num>
  <w:num w:numId="24">
    <w:abstractNumId w:val="4"/>
  </w:num>
  <w:num w:numId="25">
    <w:abstractNumId w:val="31"/>
  </w:num>
  <w:num w:numId="26">
    <w:abstractNumId w:val="33"/>
  </w:num>
  <w:num w:numId="27">
    <w:abstractNumId w:val="37"/>
  </w:num>
  <w:num w:numId="28">
    <w:abstractNumId w:val="23"/>
  </w:num>
  <w:num w:numId="29">
    <w:abstractNumId w:val="35"/>
  </w:num>
  <w:num w:numId="30">
    <w:abstractNumId w:val="18"/>
  </w:num>
  <w:num w:numId="31">
    <w:abstractNumId w:val="0"/>
  </w:num>
  <w:num w:numId="32">
    <w:abstractNumId w:val="39"/>
  </w:num>
  <w:num w:numId="33">
    <w:abstractNumId w:val="1"/>
  </w:num>
  <w:num w:numId="34">
    <w:abstractNumId w:val="25"/>
  </w:num>
  <w:num w:numId="35">
    <w:abstractNumId w:val="32"/>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4263"/>
    </w:lvlOverride>
  </w:num>
  <w:num w:numId="38">
    <w:abstractNumId w:val="21"/>
  </w:num>
  <w:num w:numId="39">
    <w:abstractNumId w:val="21"/>
  </w:num>
  <w:num w:numId="40">
    <w:abstractNumId w:val="13"/>
  </w:num>
  <w:num w:numId="41">
    <w:abstractNumId w:val="14"/>
  </w:num>
  <w:num w:numId="42">
    <w:abstractNumId w:val="38"/>
  </w:num>
  <w:num w:numId="43">
    <w:abstractNumId w:val="3"/>
  </w:num>
  <w:num w:numId="44">
    <w:abstractNumId w:val="24"/>
  </w:num>
  <w:num w:numId="45">
    <w:abstractNumId w:val="28"/>
  </w:num>
  <w:num w:numId="46">
    <w:abstractNumId w:val="21"/>
  </w:num>
  <w:num w:numId="47">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F46"/>
    <w:rsid w:val="00000699"/>
    <w:rsid w:val="00000C01"/>
    <w:rsid w:val="000011BB"/>
    <w:rsid w:val="00001E24"/>
    <w:rsid w:val="00002A90"/>
    <w:rsid w:val="00003B62"/>
    <w:rsid w:val="0000401C"/>
    <w:rsid w:val="0000402C"/>
    <w:rsid w:val="00004117"/>
    <w:rsid w:val="000042D1"/>
    <w:rsid w:val="000064A6"/>
    <w:rsid w:val="00006677"/>
    <w:rsid w:val="000068EB"/>
    <w:rsid w:val="00006F57"/>
    <w:rsid w:val="00010434"/>
    <w:rsid w:val="00010468"/>
    <w:rsid w:val="00010646"/>
    <w:rsid w:val="0001089D"/>
    <w:rsid w:val="00010926"/>
    <w:rsid w:val="00011C67"/>
    <w:rsid w:val="00012207"/>
    <w:rsid w:val="000123A3"/>
    <w:rsid w:val="00012B0C"/>
    <w:rsid w:val="000130C4"/>
    <w:rsid w:val="000133C5"/>
    <w:rsid w:val="0001434C"/>
    <w:rsid w:val="00014D1C"/>
    <w:rsid w:val="00014DA4"/>
    <w:rsid w:val="000152CD"/>
    <w:rsid w:val="00015310"/>
    <w:rsid w:val="00015350"/>
    <w:rsid w:val="000153DE"/>
    <w:rsid w:val="0001596E"/>
    <w:rsid w:val="00015C27"/>
    <w:rsid w:val="00016314"/>
    <w:rsid w:val="00016768"/>
    <w:rsid w:val="00016957"/>
    <w:rsid w:val="00016DF7"/>
    <w:rsid w:val="00017BC1"/>
    <w:rsid w:val="00020D9B"/>
    <w:rsid w:val="0002317E"/>
    <w:rsid w:val="00023183"/>
    <w:rsid w:val="00023246"/>
    <w:rsid w:val="000236BD"/>
    <w:rsid w:val="0002414E"/>
    <w:rsid w:val="0002534C"/>
    <w:rsid w:val="000254A0"/>
    <w:rsid w:val="0002577F"/>
    <w:rsid w:val="000258D7"/>
    <w:rsid w:val="00026093"/>
    <w:rsid w:val="00026B16"/>
    <w:rsid w:val="00026BBE"/>
    <w:rsid w:val="00026C04"/>
    <w:rsid w:val="00026C61"/>
    <w:rsid w:val="00027015"/>
    <w:rsid w:val="00027106"/>
    <w:rsid w:val="00027527"/>
    <w:rsid w:val="000276E3"/>
    <w:rsid w:val="00027977"/>
    <w:rsid w:val="00027BAE"/>
    <w:rsid w:val="00027FD0"/>
    <w:rsid w:val="00030283"/>
    <w:rsid w:val="000306FF"/>
    <w:rsid w:val="0003076E"/>
    <w:rsid w:val="00030FAB"/>
    <w:rsid w:val="000312DF"/>
    <w:rsid w:val="00031445"/>
    <w:rsid w:val="000317AC"/>
    <w:rsid w:val="00031D7E"/>
    <w:rsid w:val="00031DE1"/>
    <w:rsid w:val="00031E1C"/>
    <w:rsid w:val="00032172"/>
    <w:rsid w:val="000321EB"/>
    <w:rsid w:val="000325F1"/>
    <w:rsid w:val="00033149"/>
    <w:rsid w:val="000336C3"/>
    <w:rsid w:val="00033AF7"/>
    <w:rsid w:val="00033EC3"/>
    <w:rsid w:val="00034107"/>
    <w:rsid w:val="000343B8"/>
    <w:rsid w:val="00035542"/>
    <w:rsid w:val="00035935"/>
    <w:rsid w:val="0003642E"/>
    <w:rsid w:val="00036E73"/>
    <w:rsid w:val="000376A3"/>
    <w:rsid w:val="00037C63"/>
    <w:rsid w:val="00040721"/>
    <w:rsid w:val="000407CE"/>
    <w:rsid w:val="000409DE"/>
    <w:rsid w:val="00040AAA"/>
    <w:rsid w:val="00040DEC"/>
    <w:rsid w:val="00040F96"/>
    <w:rsid w:val="00041337"/>
    <w:rsid w:val="000418F8"/>
    <w:rsid w:val="00041E26"/>
    <w:rsid w:val="0004271D"/>
    <w:rsid w:val="0004331C"/>
    <w:rsid w:val="00043ADC"/>
    <w:rsid w:val="00043E42"/>
    <w:rsid w:val="00044037"/>
    <w:rsid w:val="00044104"/>
    <w:rsid w:val="000448EC"/>
    <w:rsid w:val="00045FF2"/>
    <w:rsid w:val="0004687B"/>
    <w:rsid w:val="0004690C"/>
    <w:rsid w:val="00046C27"/>
    <w:rsid w:val="00047275"/>
    <w:rsid w:val="00047B42"/>
    <w:rsid w:val="00050391"/>
    <w:rsid w:val="00050C73"/>
    <w:rsid w:val="00050D2D"/>
    <w:rsid w:val="00050DF7"/>
    <w:rsid w:val="00050EA5"/>
    <w:rsid w:val="000519CF"/>
    <w:rsid w:val="00051B53"/>
    <w:rsid w:val="00052235"/>
    <w:rsid w:val="000526BD"/>
    <w:rsid w:val="000529EB"/>
    <w:rsid w:val="00053333"/>
    <w:rsid w:val="0005393C"/>
    <w:rsid w:val="00053CF0"/>
    <w:rsid w:val="00054411"/>
    <w:rsid w:val="000544B2"/>
    <w:rsid w:val="000548EA"/>
    <w:rsid w:val="00054964"/>
    <w:rsid w:val="00054AC4"/>
    <w:rsid w:val="00054FFF"/>
    <w:rsid w:val="0005516A"/>
    <w:rsid w:val="000554D8"/>
    <w:rsid w:val="00055A24"/>
    <w:rsid w:val="00055E0A"/>
    <w:rsid w:val="000562A8"/>
    <w:rsid w:val="00056B61"/>
    <w:rsid w:val="00057912"/>
    <w:rsid w:val="0006014C"/>
    <w:rsid w:val="000602AE"/>
    <w:rsid w:val="00061060"/>
    <w:rsid w:val="000610CF"/>
    <w:rsid w:val="000614AC"/>
    <w:rsid w:val="00062A46"/>
    <w:rsid w:val="00063964"/>
    <w:rsid w:val="00063EC6"/>
    <w:rsid w:val="000648B8"/>
    <w:rsid w:val="00065193"/>
    <w:rsid w:val="000672A3"/>
    <w:rsid w:val="00067661"/>
    <w:rsid w:val="00067E7C"/>
    <w:rsid w:val="0007036C"/>
    <w:rsid w:val="0007107B"/>
    <w:rsid w:val="00071A98"/>
    <w:rsid w:val="00072115"/>
    <w:rsid w:val="000721DC"/>
    <w:rsid w:val="00072480"/>
    <w:rsid w:val="000725B5"/>
    <w:rsid w:val="0007324F"/>
    <w:rsid w:val="00073516"/>
    <w:rsid w:val="00073A13"/>
    <w:rsid w:val="00073E8E"/>
    <w:rsid w:val="000750CE"/>
    <w:rsid w:val="00075822"/>
    <w:rsid w:val="00075A58"/>
    <w:rsid w:val="00075E8F"/>
    <w:rsid w:val="00076029"/>
    <w:rsid w:val="00076404"/>
    <w:rsid w:val="000766BA"/>
    <w:rsid w:val="000768FC"/>
    <w:rsid w:val="00076DC7"/>
    <w:rsid w:val="000772FD"/>
    <w:rsid w:val="000773B9"/>
    <w:rsid w:val="000776B5"/>
    <w:rsid w:val="00080207"/>
    <w:rsid w:val="00081E39"/>
    <w:rsid w:val="00082218"/>
    <w:rsid w:val="00082474"/>
    <w:rsid w:val="000827A8"/>
    <w:rsid w:val="00083A1E"/>
    <w:rsid w:val="00084028"/>
    <w:rsid w:val="000840E0"/>
    <w:rsid w:val="000847C2"/>
    <w:rsid w:val="00084CD2"/>
    <w:rsid w:val="0008609C"/>
    <w:rsid w:val="000862D6"/>
    <w:rsid w:val="00086393"/>
    <w:rsid w:val="00086EF6"/>
    <w:rsid w:val="00087033"/>
    <w:rsid w:val="0008746C"/>
    <w:rsid w:val="000879FB"/>
    <w:rsid w:val="00090049"/>
    <w:rsid w:val="000905BE"/>
    <w:rsid w:val="00090635"/>
    <w:rsid w:val="0009138C"/>
    <w:rsid w:val="00091B0B"/>
    <w:rsid w:val="0009294F"/>
    <w:rsid w:val="00092F15"/>
    <w:rsid w:val="00093720"/>
    <w:rsid w:val="0009395E"/>
    <w:rsid w:val="00094243"/>
    <w:rsid w:val="0009486D"/>
    <w:rsid w:val="00094D30"/>
    <w:rsid w:val="000959FB"/>
    <w:rsid w:val="00095D7D"/>
    <w:rsid w:val="00095E87"/>
    <w:rsid w:val="00096B2B"/>
    <w:rsid w:val="00097C30"/>
    <w:rsid w:val="000A0733"/>
    <w:rsid w:val="000A0999"/>
    <w:rsid w:val="000A15CB"/>
    <w:rsid w:val="000A16A5"/>
    <w:rsid w:val="000A1CDF"/>
    <w:rsid w:val="000A2151"/>
    <w:rsid w:val="000A286C"/>
    <w:rsid w:val="000A30F5"/>
    <w:rsid w:val="000A3116"/>
    <w:rsid w:val="000A363A"/>
    <w:rsid w:val="000A3AE7"/>
    <w:rsid w:val="000A42A9"/>
    <w:rsid w:val="000A4C00"/>
    <w:rsid w:val="000A5666"/>
    <w:rsid w:val="000A599B"/>
    <w:rsid w:val="000A5E23"/>
    <w:rsid w:val="000A6635"/>
    <w:rsid w:val="000A67B9"/>
    <w:rsid w:val="000A6C4A"/>
    <w:rsid w:val="000A6D91"/>
    <w:rsid w:val="000A73A4"/>
    <w:rsid w:val="000B03E4"/>
    <w:rsid w:val="000B03FD"/>
    <w:rsid w:val="000B0F16"/>
    <w:rsid w:val="000B1123"/>
    <w:rsid w:val="000B15CD"/>
    <w:rsid w:val="000B1807"/>
    <w:rsid w:val="000B2CCE"/>
    <w:rsid w:val="000B2F00"/>
    <w:rsid w:val="000B2FA8"/>
    <w:rsid w:val="000B31DB"/>
    <w:rsid w:val="000B3627"/>
    <w:rsid w:val="000B3DBE"/>
    <w:rsid w:val="000B45A7"/>
    <w:rsid w:val="000B595A"/>
    <w:rsid w:val="000B605F"/>
    <w:rsid w:val="000B6409"/>
    <w:rsid w:val="000B73CA"/>
    <w:rsid w:val="000B7BD7"/>
    <w:rsid w:val="000B7C0C"/>
    <w:rsid w:val="000C02EF"/>
    <w:rsid w:val="000C07D8"/>
    <w:rsid w:val="000C07E6"/>
    <w:rsid w:val="000C0B59"/>
    <w:rsid w:val="000C0C0E"/>
    <w:rsid w:val="000C0C9A"/>
    <w:rsid w:val="000C0FAE"/>
    <w:rsid w:val="000C1DC5"/>
    <w:rsid w:val="000C1E48"/>
    <w:rsid w:val="000C228F"/>
    <w:rsid w:val="000C32DF"/>
    <w:rsid w:val="000C3CF7"/>
    <w:rsid w:val="000C43A8"/>
    <w:rsid w:val="000C441E"/>
    <w:rsid w:val="000C5328"/>
    <w:rsid w:val="000C5B3B"/>
    <w:rsid w:val="000C5CF6"/>
    <w:rsid w:val="000C6C38"/>
    <w:rsid w:val="000C6F53"/>
    <w:rsid w:val="000D091A"/>
    <w:rsid w:val="000D118E"/>
    <w:rsid w:val="000D2194"/>
    <w:rsid w:val="000D260B"/>
    <w:rsid w:val="000D28C2"/>
    <w:rsid w:val="000D2BBD"/>
    <w:rsid w:val="000D3225"/>
    <w:rsid w:val="000D370D"/>
    <w:rsid w:val="000D38CE"/>
    <w:rsid w:val="000D3F44"/>
    <w:rsid w:val="000D411C"/>
    <w:rsid w:val="000D47BD"/>
    <w:rsid w:val="000D4A88"/>
    <w:rsid w:val="000D539A"/>
    <w:rsid w:val="000D5A0E"/>
    <w:rsid w:val="000D5B46"/>
    <w:rsid w:val="000D5CE2"/>
    <w:rsid w:val="000D5DCD"/>
    <w:rsid w:val="000D68F9"/>
    <w:rsid w:val="000D6EEC"/>
    <w:rsid w:val="000E02FE"/>
    <w:rsid w:val="000E08D3"/>
    <w:rsid w:val="000E0A5A"/>
    <w:rsid w:val="000E12F4"/>
    <w:rsid w:val="000E132D"/>
    <w:rsid w:val="000E15BB"/>
    <w:rsid w:val="000E1D76"/>
    <w:rsid w:val="000E2299"/>
    <w:rsid w:val="000E25CF"/>
    <w:rsid w:val="000E26AA"/>
    <w:rsid w:val="000E2979"/>
    <w:rsid w:val="000E37D2"/>
    <w:rsid w:val="000E39BC"/>
    <w:rsid w:val="000E42ED"/>
    <w:rsid w:val="000E4329"/>
    <w:rsid w:val="000E432A"/>
    <w:rsid w:val="000E46EB"/>
    <w:rsid w:val="000E4A73"/>
    <w:rsid w:val="000E5174"/>
    <w:rsid w:val="000E5750"/>
    <w:rsid w:val="000E5ED8"/>
    <w:rsid w:val="000E6224"/>
    <w:rsid w:val="000E6D3E"/>
    <w:rsid w:val="000E7321"/>
    <w:rsid w:val="000E76C1"/>
    <w:rsid w:val="000E78EC"/>
    <w:rsid w:val="000E7B19"/>
    <w:rsid w:val="000E7F15"/>
    <w:rsid w:val="000F00D8"/>
    <w:rsid w:val="000F0341"/>
    <w:rsid w:val="000F0E3B"/>
    <w:rsid w:val="000F129A"/>
    <w:rsid w:val="000F15EA"/>
    <w:rsid w:val="000F170B"/>
    <w:rsid w:val="000F1C21"/>
    <w:rsid w:val="000F1DCA"/>
    <w:rsid w:val="000F276F"/>
    <w:rsid w:val="000F28CD"/>
    <w:rsid w:val="000F2A23"/>
    <w:rsid w:val="000F33EB"/>
    <w:rsid w:val="000F3553"/>
    <w:rsid w:val="000F3A29"/>
    <w:rsid w:val="000F3A4E"/>
    <w:rsid w:val="000F3CB6"/>
    <w:rsid w:val="000F3CC3"/>
    <w:rsid w:val="000F3D6B"/>
    <w:rsid w:val="000F3FBA"/>
    <w:rsid w:val="000F49C3"/>
    <w:rsid w:val="000F5720"/>
    <w:rsid w:val="000F5806"/>
    <w:rsid w:val="000F5B56"/>
    <w:rsid w:val="000F659E"/>
    <w:rsid w:val="000F6871"/>
    <w:rsid w:val="000F70E1"/>
    <w:rsid w:val="001009E4"/>
    <w:rsid w:val="00101046"/>
    <w:rsid w:val="00101055"/>
    <w:rsid w:val="001015F8"/>
    <w:rsid w:val="00101EFA"/>
    <w:rsid w:val="00101FDE"/>
    <w:rsid w:val="00102A01"/>
    <w:rsid w:val="00103330"/>
    <w:rsid w:val="001035A0"/>
    <w:rsid w:val="0010368F"/>
    <w:rsid w:val="0010381A"/>
    <w:rsid w:val="00103C10"/>
    <w:rsid w:val="001056E6"/>
    <w:rsid w:val="00105BBD"/>
    <w:rsid w:val="001060A5"/>
    <w:rsid w:val="001063E4"/>
    <w:rsid w:val="00106B40"/>
    <w:rsid w:val="00106DD4"/>
    <w:rsid w:val="00106F03"/>
    <w:rsid w:val="00106F12"/>
    <w:rsid w:val="00107105"/>
    <w:rsid w:val="00107394"/>
    <w:rsid w:val="00107775"/>
    <w:rsid w:val="0011003F"/>
    <w:rsid w:val="00110BA7"/>
    <w:rsid w:val="00111900"/>
    <w:rsid w:val="001125D0"/>
    <w:rsid w:val="001128A6"/>
    <w:rsid w:val="001144A4"/>
    <w:rsid w:val="0011465D"/>
    <w:rsid w:val="00114B8C"/>
    <w:rsid w:val="00114FE7"/>
    <w:rsid w:val="00115611"/>
    <w:rsid w:val="001162E2"/>
    <w:rsid w:val="0011668D"/>
    <w:rsid w:val="00116734"/>
    <w:rsid w:val="001168CA"/>
    <w:rsid w:val="00116EAB"/>
    <w:rsid w:val="00117021"/>
    <w:rsid w:val="0011763D"/>
    <w:rsid w:val="001200A5"/>
    <w:rsid w:val="00120449"/>
    <w:rsid w:val="001204F5"/>
    <w:rsid w:val="00120633"/>
    <w:rsid w:val="001216AE"/>
    <w:rsid w:val="00121BF7"/>
    <w:rsid w:val="00121DF0"/>
    <w:rsid w:val="00122499"/>
    <w:rsid w:val="00123029"/>
    <w:rsid w:val="00123D60"/>
    <w:rsid w:val="0012469C"/>
    <w:rsid w:val="001249A9"/>
    <w:rsid w:val="001261BA"/>
    <w:rsid w:val="00126336"/>
    <w:rsid w:val="001267E8"/>
    <w:rsid w:val="001268B5"/>
    <w:rsid w:val="00127221"/>
    <w:rsid w:val="00127230"/>
    <w:rsid w:val="00127452"/>
    <w:rsid w:val="001277D0"/>
    <w:rsid w:val="00127EC5"/>
    <w:rsid w:val="00127EEF"/>
    <w:rsid w:val="00130446"/>
    <w:rsid w:val="00130BEA"/>
    <w:rsid w:val="00130D33"/>
    <w:rsid w:val="00130D71"/>
    <w:rsid w:val="00130E1D"/>
    <w:rsid w:val="00131652"/>
    <w:rsid w:val="0013182C"/>
    <w:rsid w:val="00131B25"/>
    <w:rsid w:val="00131F58"/>
    <w:rsid w:val="00132074"/>
    <w:rsid w:val="00133293"/>
    <w:rsid w:val="00133B07"/>
    <w:rsid w:val="00133F69"/>
    <w:rsid w:val="00134362"/>
    <w:rsid w:val="001351C8"/>
    <w:rsid w:val="00135305"/>
    <w:rsid w:val="0013562E"/>
    <w:rsid w:val="00135757"/>
    <w:rsid w:val="00135D96"/>
    <w:rsid w:val="00136117"/>
    <w:rsid w:val="00136498"/>
    <w:rsid w:val="001375B4"/>
    <w:rsid w:val="00137A58"/>
    <w:rsid w:val="00137B58"/>
    <w:rsid w:val="00137CE0"/>
    <w:rsid w:val="0014151D"/>
    <w:rsid w:val="0014193A"/>
    <w:rsid w:val="00141BA4"/>
    <w:rsid w:val="00141FE9"/>
    <w:rsid w:val="0014249C"/>
    <w:rsid w:val="00142B85"/>
    <w:rsid w:val="00142EAC"/>
    <w:rsid w:val="0014311E"/>
    <w:rsid w:val="00143852"/>
    <w:rsid w:val="00144346"/>
    <w:rsid w:val="00144AAA"/>
    <w:rsid w:val="001461DA"/>
    <w:rsid w:val="001462E9"/>
    <w:rsid w:val="00146579"/>
    <w:rsid w:val="001466BA"/>
    <w:rsid w:val="00146BD9"/>
    <w:rsid w:val="00146F32"/>
    <w:rsid w:val="001473A2"/>
    <w:rsid w:val="001473B6"/>
    <w:rsid w:val="00150AF3"/>
    <w:rsid w:val="00150B6F"/>
    <w:rsid w:val="001512B7"/>
    <w:rsid w:val="00151329"/>
    <w:rsid w:val="0015151C"/>
    <w:rsid w:val="001516BD"/>
    <w:rsid w:val="00151861"/>
    <w:rsid w:val="0015189C"/>
    <w:rsid w:val="0015193B"/>
    <w:rsid w:val="00151D22"/>
    <w:rsid w:val="00152681"/>
    <w:rsid w:val="001529CE"/>
    <w:rsid w:val="00152C66"/>
    <w:rsid w:val="001534E5"/>
    <w:rsid w:val="001543F9"/>
    <w:rsid w:val="00154F32"/>
    <w:rsid w:val="0015531B"/>
    <w:rsid w:val="00155469"/>
    <w:rsid w:val="001557AA"/>
    <w:rsid w:val="00155958"/>
    <w:rsid w:val="00155E3F"/>
    <w:rsid w:val="001561A5"/>
    <w:rsid w:val="00156357"/>
    <w:rsid w:val="0015650A"/>
    <w:rsid w:val="001566AD"/>
    <w:rsid w:val="0015720F"/>
    <w:rsid w:val="0015734F"/>
    <w:rsid w:val="001574F2"/>
    <w:rsid w:val="00157EE7"/>
    <w:rsid w:val="001605A7"/>
    <w:rsid w:val="00160C33"/>
    <w:rsid w:val="00161C67"/>
    <w:rsid w:val="00161C9A"/>
    <w:rsid w:val="001620CF"/>
    <w:rsid w:val="0016217E"/>
    <w:rsid w:val="00162D37"/>
    <w:rsid w:val="00163137"/>
    <w:rsid w:val="0016391A"/>
    <w:rsid w:val="00163FEA"/>
    <w:rsid w:val="001642F0"/>
    <w:rsid w:val="001646A3"/>
    <w:rsid w:val="00164A3C"/>
    <w:rsid w:val="00164BE3"/>
    <w:rsid w:val="00165F5A"/>
    <w:rsid w:val="001665EC"/>
    <w:rsid w:val="00167698"/>
    <w:rsid w:val="001676BD"/>
    <w:rsid w:val="00167A60"/>
    <w:rsid w:val="00167CA3"/>
    <w:rsid w:val="00167FB6"/>
    <w:rsid w:val="001711BD"/>
    <w:rsid w:val="00171467"/>
    <w:rsid w:val="001718E0"/>
    <w:rsid w:val="00171CD0"/>
    <w:rsid w:val="00172AA1"/>
    <w:rsid w:val="00172B33"/>
    <w:rsid w:val="00172C89"/>
    <w:rsid w:val="00172ED9"/>
    <w:rsid w:val="00173092"/>
    <w:rsid w:val="001739DD"/>
    <w:rsid w:val="00173A76"/>
    <w:rsid w:val="00173D70"/>
    <w:rsid w:val="0017403D"/>
    <w:rsid w:val="00174433"/>
    <w:rsid w:val="001745FC"/>
    <w:rsid w:val="00174CE0"/>
    <w:rsid w:val="00174F50"/>
    <w:rsid w:val="0017507E"/>
    <w:rsid w:val="0017743B"/>
    <w:rsid w:val="0017787E"/>
    <w:rsid w:val="001779AA"/>
    <w:rsid w:val="00177B3A"/>
    <w:rsid w:val="00180057"/>
    <w:rsid w:val="00180922"/>
    <w:rsid w:val="00180EC4"/>
    <w:rsid w:val="00181427"/>
    <w:rsid w:val="0018144C"/>
    <w:rsid w:val="00181F83"/>
    <w:rsid w:val="00182D54"/>
    <w:rsid w:val="00182ECD"/>
    <w:rsid w:val="00183070"/>
    <w:rsid w:val="001830A6"/>
    <w:rsid w:val="00183171"/>
    <w:rsid w:val="0018388F"/>
    <w:rsid w:val="0018391F"/>
    <w:rsid w:val="00183936"/>
    <w:rsid w:val="00183B50"/>
    <w:rsid w:val="00183ECF"/>
    <w:rsid w:val="001843D8"/>
    <w:rsid w:val="001846E3"/>
    <w:rsid w:val="00184DA0"/>
    <w:rsid w:val="00185001"/>
    <w:rsid w:val="00185082"/>
    <w:rsid w:val="00185440"/>
    <w:rsid w:val="0018573F"/>
    <w:rsid w:val="001857DA"/>
    <w:rsid w:val="001857ED"/>
    <w:rsid w:val="001867C6"/>
    <w:rsid w:val="00187396"/>
    <w:rsid w:val="00187E76"/>
    <w:rsid w:val="0019051A"/>
    <w:rsid w:val="00190964"/>
    <w:rsid w:val="00190EB4"/>
    <w:rsid w:val="00192105"/>
    <w:rsid w:val="00192425"/>
    <w:rsid w:val="001926D9"/>
    <w:rsid w:val="00192B4F"/>
    <w:rsid w:val="00193182"/>
    <w:rsid w:val="001933CA"/>
    <w:rsid w:val="001938AF"/>
    <w:rsid w:val="001939B1"/>
    <w:rsid w:val="00193A35"/>
    <w:rsid w:val="00194090"/>
    <w:rsid w:val="001945A8"/>
    <w:rsid w:val="00194C95"/>
    <w:rsid w:val="00194CEE"/>
    <w:rsid w:val="00195B45"/>
    <w:rsid w:val="00195D33"/>
    <w:rsid w:val="001960E4"/>
    <w:rsid w:val="001960E6"/>
    <w:rsid w:val="0019660B"/>
    <w:rsid w:val="00196DB0"/>
    <w:rsid w:val="001973A9"/>
    <w:rsid w:val="00197BE0"/>
    <w:rsid w:val="00197F75"/>
    <w:rsid w:val="001A06C4"/>
    <w:rsid w:val="001A0861"/>
    <w:rsid w:val="001A0D6E"/>
    <w:rsid w:val="001A1351"/>
    <w:rsid w:val="001A1808"/>
    <w:rsid w:val="001A192B"/>
    <w:rsid w:val="001A201F"/>
    <w:rsid w:val="001A2BF0"/>
    <w:rsid w:val="001A377A"/>
    <w:rsid w:val="001A4491"/>
    <w:rsid w:val="001A4958"/>
    <w:rsid w:val="001A4A16"/>
    <w:rsid w:val="001A53BE"/>
    <w:rsid w:val="001A5437"/>
    <w:rsid w:val="001A5D85"/>
    <w:rsid w:val="001A6B80"/>
    <w:rsid w:val="001A771D"/>
    <w:rsid w:val="001A7A97"/>
    <w:rsid w:val="001A7AD0"/>
    <w:rsid w:val="001A7DF8"/>
    <w:rsid w:val="001B0623"/>
    <w:rsid w:val="001B0E39"/>
    <w:rsid w:val="001B16DD"/>
    <w:rsid w:val="001B173C"/>
    <w:rsid w:val="001B1E78"/>
    <w:rsid w:val="001B2430"/>
    <w:rsid w:val="001B249E"/>
    <w:rsid w:val="001B284F"/>
    <w:rsid w:val="001B32AF"/>
    <w:rsid w:val="001B33D4"/>
    <w:rsid w:val="001B3BFD"/>
    <w:rsid w:val="001B4CBC"/>
    <w:rsid w:val="001B5510"/>
    <w:rsid w:val="001B59A3"/>
    <w:rsid w:val="001B640F"/>
    <w:rsid w:val="001B6425"/>
    <w:rsid w:val="001C2AD6"/>
    <w:rsid w:val="001C321B"/>
    <w:rsid w:val="001C3DD8"/>
    <w:rsid w:val="001C41EE"/>
    <w:rsid w:val="001C424A"/>
    <w:rsid w:val="001C539E"/>
    <w:rsid w:val="001C5457"/>
    <w:rsid w:val="001C5D8B"/>
    <w:rsid w:val="001C60FB"/>
    <w:rsid w:val="001C6AFA"/>
    <w:rsid w:val="001C6C41"/>
    <w:rsid w:val="001C6EAF"/>
    <w:rsid w:val="001C7062"/>
    <w:rsid w:val="001C7375"/>
    <w:rsid w:val="001D0540"/>
    <w:rsid w:val="001D06EB"/>
    <w:rsid w:val="001D074C"/>
    <w:rsid w:val="001D07CF"/>
    <w:rsid w:val="001D08A6"/>
    <w:rsid w:val="001D0CE3"/>
    <w:rsid w:val="001D1040"/>
    <w:rsid w:val="001D10CE"/>
    <w:rsid w:val="001D12D5"/>
    <w:rsid w:val="001D1EAE"/>
    <w:rsid w:val="001D21BB"/>
    <w:rsid w:val="001D2770"/>
    <w:rsid w:val="001D324F"/>
    <w:rsid w:val="001D364A"/>
    <w:rsid w:val="001D3727"/>
    <w:rsid w:val="001D38EA"/>
    <w:rsid w:val="001D397F"/>
    <w:rsid w:val="001D47F5"/>
    <w:rsid w:val="001D4BE8"/>
    <w:rsid w:val="001D5721"/>
    <w:rsid w:val="001D59B7"/>
    <w:rsid w:val="001D5B9E"/>
    <w:rsid w:val="001D5E38"/>
    <w:rsid w:val="001D6003"/>
    <w:rsid w:val="001D6881"/>
    <w:rsid w:val="001D68D5"/>
    <w:rsid w:val="001D6E9C"/>
    <w:rsid w:val="001D71AB"/>
    <w:rsid w:val="001D7A71"/>
    <w:rsid w:val="001E018E"/>
    <w:rsid w:val="001E0707"/>
    <w:rsid w:val="001E0E20"/>
    <w:rsid w:val="001E1072"/>
    <w:rsid w:val="001E10EF"/>
    <w:rsid w:val="001E11C7"/>
    <w:rsid w:val="001E1A02"/>
    <w:rsid w:val="001E25F3"/>
    <w:rsid w:val="001E35F5"/>
    <w:rsid w:val="001E39B8"/>
    <w:rsid w:val="001E437F"/>
    <w:rsid w:val="001E44B5"/>
    <w:rsid w:val="001E4564"/>
    <w:rsid w:val="001E47F3"/>
    <w:rsid w:val="001E4BCD"/>
    <w:rsid w:val="001E4BF6"/>
    <w:rsid w:val="001E5340"/>
    <w:rsid w:val="001E5552"/>
    <w:rsid w:val="001E596F"/>
    <w:rsid w:val="001E5AFE"/>
    <w:rsid w:val="001E5ED2"/>
    <w:rsid w:val="001E62E6"/>
    <w:rsid w:val="001E69C0"/>
    <w:rsid w:val="001E7761"/>
    <w:rsid w:val="001E7F5B"/>
    <w:rsid w:val="001F0615"/>
    <w:rsid w:val="001F0911"/>
    <w:rsid w:val="001F0A8B"/>
    <w:rsid w:val="001F0BAE"/>
    <w:rsid w:val="001F0E53"/>
    <w:rsid w:val="001F1120"/>
    <w:rsid w:val="001F2918"/>
    <w:rsid w:val="001F2BA6"/>
    <w:rsid w:val="001F2EFE"/>
    <w:rsid w:val="001F3002"/>
    <w:rsid w:val="001F30C8"/>
    <w:rsid w:val="001F321F"/>
    <w:rsid w:val="001F32D6"/>
    <w:rsid w:val="001F349E"/>
    <w:rsid w:val="001F3985"/>
    <w:rsid w:val="001F39D8"/>
    <w:rsid w:val="001F3C0F"/>
    <w:rsid w:val="001F4558"/>
    <w:rsid w:val="001F4888"/>
    <w:rsid w:val="001F51EE"/>
    <w:rsid w:val="001F5234"/>
    <w:rsid w:val="001F60C0"/>
    <w:rsid w:val="001F61D5"/>
    <w:rsid w:val="001F62E2"/>
    <w:rsid w:val="001F633E"/>
    <w:rsid w:val="001F63C4"/>
    <w:rsid w:val="001F66F0"/>
    <w:rsid w:val="001F68C4"/>
    <w:rsid w:val="001F6987"/>
    <w:rsid w:val="001F7004"/>
    <w:rsid w:val="001F7B99"/>
    <w:rsid w:val="0020000E"/>
    <w:rsid w:val="0020007F"/>
    <w:rsid w:val="00200682"/>
    <w:rsid w:val="0020133E"/>
    <w:rsid w:val="00201882"/>
    <w:rsid w:val="00201909"/>
    <w:rsid w:val="00201A35"/>
    <w:rsid w:val="00201CF6"/>
    <w:rsid w:val="00201DE3"/>
    <w:rsid w:val="0020206F"/>
    <w:rsid w:val="00202D9B"/>
    <w:rsid w:val="0020345F"/>
    <w:rsid w:val="002035F8"/>
    <w:rsid w:val="0020432E"/>
    <w:rsid w:val="00204B20"/>
    <w:rsid w:val="002050C0"/>
    <w:rsid w:val="00205C52"/>
    <w:rsid w:val="00205F4D"/>
    <w:rsid w:val="00206034"/>
    <w:rsid w:val="0020651E"/>
    <w:rsid w:val="00206A02"/>
    <w:rsid w:val="00206FF9"/>
    <w:rsid w:val="00207170"/>
    <w:rsid w:val="002072B9"/>
    <w:rsid w:val="002072C9"/>
    <w:rsid w:val="0020739C"/>
    <w:rsid w:val="002077B4"/>
    <w:rsid w:val="00207B48"/>
    <w:rsid w:val="00211292"/>
    <w:rsid w:val="00211944"/>
    <w:rsid w:val="00211D71"/>
    <w:rsid w:val="00211FEF"/>
    <w:rsid w:val="0021371D"/>
    <w:rsid w:val="00213BE4"/>
    <w:rsid w:val="00213E40"/>
    <w:rsid w:val="002145EE"/>
    <w:rsid w:val="0021476C"/>
    <w:rsid w:val="00214779"/>
    <w:rsid w:val="00214CDE"/>
    <w:rsid w:val="00214E36"/>
    <w:rsid w:val="002154D8"/>
    <w:rsid w:val="00215767"/>
    <w:rsid w:val="00215C29"/>
    <w:rsid w:val="00215CBF"/>
    <w:rsid w:val="00215F05"/>
    <w:rsid w:val="00216330"/>
    <w:rsid w:val="002163F4"/>
    <w:rsid w:val="00216B09"/>
    <w:rsid w:val="002177D8"/>
    <w:rsid w:val="00217A0C"/>
    <w:rsid w:val="00217FC3"/>
    <w:rsid w:val="00220547"/>
    <w:rsid w:val="00220989"/>
    <w:rsid w:val="00220F29"/>
    <w:rsid w:val="00221823"/>
    <w:rsid w:val="00221BA5"/>
    <w:rsid w:val="00222725"/>
    <w:rsid w:val="002227FE"/>
    <w:rsid w:val="0022295A"/>
    <w:rsid w:val="00222F4C"/>
    <w:rsid w:val="002232C9"/>
    <w:rsid w:val="002244CF"/>
    <w:rsid w:val="002247DD"/>
    <w:rsid w:val="00224EBC"/>
    <w:rsid w:val="00225499"/>
    <w:rsid w:val="00225E21"/>
    <w:rsid w:val="002261A2"/>
    <w:rsid w:val="00226552"/>
    <w:rsid w:val="00226783"/>
    <w:rsid w:val="00226868"/>
    <w:rsid w:val="002271B6"/>
    <w:rsid w:val="002277BF"/>
    <w:rsid w:val="00227C33"/>
    <w:rsid w:val="00230405"/>
    <w:rsid w:val="00230564"/>
    <w:rsid w:val="00230752"/>
    <w:rsid w:val="00231E8A"/>
    <w:rsid w:val="00232652"/>
    <w:rsid w:val="00233556"/>
    <w:rsid w:val="002336F5"/>
    <w:rsid w:val="00233CD5"/>
    <w:rsid w:val="00233E65"/>
    <w:rsid w:val="00233F4C"/>
    <w:rsid w:val="002343BA"/>
    <w:rsid w:val="00234935"/>
    <w:rsid w:val="00234B90"/>
    <w:rsid w:val="0023508D"/>
    <w:rsid w:val="00235A4E"/>
    <w:rsid w:val="00235B4C"/>
    <w:rsid w:val="00235D6B"/>
    <w:rsid w:val="00235F6A"/>
    <w:rsid w:val="002363F8"/>
    <w:rsid w:val="0023644B"/>
    <w:rsid w:val="0023671C"/>
    <w:rsid w:val="002368AB"/>
    <w:rsid w:val="0023759B"/>
    <w:rsid w:val="002375A9"/>
    <w:rsid w:val="0024075B"/>
    <w:rsid w:val="00241331"/>
    <w:rsid w:val="00241A00"/>
    <w:rsid w:val="00243993"/>
    <w:rsid w:val="0024441C"/>
    <w:rsid w:val="0024482E"/>
    <w:rsid w:val="00244847"/>
    <w:rsid w:val="00244944"/>
    <w:rsid w:val="00244FF8"/>
    <w:rsid w:val="00245011"/>
    <w:rsid w:val="0024526F"/>
    <w:rsid w:val="002453E4"/>
    <w:rsid w:val="002456C3"/>
    <w:rsid w:val="00245B6C"/>
    <w:rsid w:val="00245B77"/>
    <w:rsid w:val="002462AD"/>
    <w:rsid w:val="002462EE"/>
    <w:rsid w:val="00246567"/>
    <w:rsid w:val="0024666D"/>
    <w:rsid w:val="00246B46"/>
    <w:rsid w:val="00246B9C"/>
    <w:rsid w:val="00246CA3"/>
    <w:rsid w:val="00246F65"/>
    <w:rsid w:val="002473B8"/>
    <w:rsid w:val="002476ED"/>
    <w:rsid w:val="0024778B"/>
    <w:rsid w:val="002479D7"/>
    <w:rsid w:val="00247B8B"/>
    <w:rsid w:val="00247E8F"/>
    <w:rsid w:val="00247F54"/>
    <w:rsid w:val="0025025D"/>
    <w:rsid w:val="0025079E"/>
    <w:rsid w:val="00250CFD"/>
    <w:rsid w:val="00250F3D"/>
    <w:rsid w:val="00251483"/>
    <w:rsid w:val="0025188C"/>
    <w:rsid w:val="00251BF6"/>
    <w:rsid w:val="00251FCC"/>
    <w:rsid w:val="002527B5"/>
    <w:rsid w:val="002527C3"/>
    <w:rsid w:val="00252B4C"/>
    <w:rsid w:val="00252C08"/>
    <w:rsid w:val="00252C41"/>
    <w:rsid w:val="00252D82"/>
    <w:rsid w:val="00252DD6"/>
    <w:rsid w:val="00253361"/>
    <w:rsid w:val="002536C8"/>
    <w:rsid w:val="0025396D"/>
    <w:rsid w:val="00253B43"/>
    <w:rsid w:val="00253E2B"/>
    <w:rsid w:val="00255A73"/>
    <w:rsid w:val="00256608"/>
    <w:rsid w:val="00256D02"/>
    <w:rsid w:val="0025738F"/>
    <w:rsid w:val="0025783D"/>
    <w:rsid w:val="00257B81"/>
    <w:rsid w:val="00260AD3"/>
    <w:rsid w:val="00261008"/>
    <w:rsid w:val="00261186"/>
    <w:rsid w:val="0026151B"/>
    <w:rsid w:val="0026156B"/>
    <w:rsid w:val="002615FB"/>
    <w:rsid w:val="00262428"/>
    <w:rsid w:val="00262658"/>
    <w:rsid w:val="0026288C"/>
    <w:rsid w:val="00263797"/>
    <w:rsid w:val="002650AA"/>
    <w:rsid w:val="002651D3"/>
    <w:rsid w:val="002672C7"/>
    <w:rsid w:val="00267693"/>
    <w:rsid w:val="00267E1B"/>
    <w:rsid w:val="0027034B"/>
    <w:rsid w:val="0027090B"/>
    <w:rsid w:val="0027186F"/>
    <w:rsid w:val="002726AD"/>
    <w:rsid w:val="00273426"/>
    <w:rsid w:val="00273FBD"/>
    <w:rsid w:val="0027403B"/>
    <w:rsid w:val="002740D6"/>
    <w:rsid w:val="002741E0"/>
    <w:rsid w:val="00274707"/>
    <w:rsid w:val="00274858"/>
    <w:rsid w:val="0027596F"/>
    <w:rsid w:val="00275B3B"/>
    <w:rsid w:val="00275BAF"/>
    <w:rsid w:val="00275F02"/>
    <w:rsid w:val="0027611F"/>
    <w:rsid w:val="002762AC"/>
    <w:rsid w:val="00277427"/>
    <w:rsid w:val="00277CEB"/>
    <w:rsid w:val="00277DA1"/>
    <w:rsid w:val="002803ED"/>
    <w:rsid w:val="0028098B"/>
    <w:rsid w:val="002811F9"/>
    <w:rsid w:val="00281EDA"/>
    <w:rsid w:val="00281F70"/>
    <w:rsid w:val="00282142"/>
    <w:rsid w:val="00282275"/>
    <w:rsid w:val="0028312E"/>
    <w:rsid w:val="00283BB7"/>
    <w:rsid w:val="00283D21"/>
    <w:rsid w:val="00283D4D"/>
    <w:rsid w:val="002842E3"/>
    <w:rsid w:val="002847F7"/>
    <w:rsid w:val="002851BC"/>
    <w:rsid w:val="002854C0"/>
    <w:rsid w:val="0028566E"/>
    <w:rsid w:val="0028583C"/>
    <w:rsid w:val="0028596B"/>
    <w:rsid w:val="00286649"/>
    <w:rsid w:val="00286A00"/>
    <w:rsid w:val="00286E51"/>
    <w:rsid w:val="00286F51"/>
    <w:rsid w:val="002872FE"/>
    <w:rsid w:val="002873B7"/>
    <w:rsid w:val="00287CE1"/>
    <w:rsid w:val="00290287"/>
    <w:rsid w:val="0029095E"/>
    <w:rsid w:val="00290CF3"/>
    <w:rsid w:val="0029133F"/>
    <w:rsid w:val="002915B3"/>
    <w:rsid w:val="002915DA"/>
    <w:rsid w:val="00291DEF"/>
    <w:rsid w:val="002927DB"/>
    <w:rsid w:val="002929CF"/>
    <w:rsid w:val="00292C38"/>
    <w:rsid w:val="00292DF3"/>
    <w:rsid w:val="00293729"/>
    <w:rsid w:val="00293CA9"/>
    <w:rsid w:val="0029434F"/>
    <w:rsid w:val="0029458A"/>
    <w:rsid w:val="00294642"/>
    <w:rsid w:val="002946DA"/>
    <w:rsid w:val="0029495B"/>
    <w:rsid w:val="00294981"/>
    <w:rsid w:val="0029552D"/>
    <w:rsid w:val="0029679F"/>
    <w:rsid w:val="002A0190"/>
    <w:rsid w:val="002A206B"/>
    <w:rsid w:val="002A230A"/>
    <w:rsid w:val="002A2334"/>
    <w:rsid w:val="002A26DC"/>
    <w:rsid w:val="002A44FC"/>
    <w:rsid w:val="002A4931"/>
    <w:rsid w:val="002A51B3"/>
    <w:rsid w:val="002A5776"/>
    <w:rsid w:val="002A5D1F"/>
    <w:rsid w:val="002A6268"/>
    <w:rsid w:val="002A77F9"/>
    <w:rsid w:val="002A7A54"/>
    <w:rsid w:val="002A7D5F"/>
    <w:rsid w:val="002B027B"/>
    <w:rsid w:val="002B07D9"/>
    <w:rsid w:val="002B0854"/>
    <w:rsid w:val="002B181D"/>
    <w:rsid w:val="002B1AC2"/>
    <w:rsid w:val="002B2054"/>
    <w:rsid w:val="002B2955"/>
    <w:rsid w:val="002B2D24"/>
    <w:rsid w:val="002B3784"/>
    <w:rsid w:val="002B3CAA"/>
    <w:rsid w:val="002B4C91"/>
    <w:rsid w:val="002B568E"/>
    <w:rsid w:val="002B5CAB"/>
    <w:rsid w:val="002B5D19"/>
    <w:rsid w:val="002B6394"/>
    <w:rsid w:val="002B6995"/>
    <w:rsid w:val="002B6C80"/>
    <w:rsid w:val="002B6CE6"/>
    <w:rsid w:val="002B6F64"/>
    <w:rsid w:val="002B6F9A"/>
    <w:rsid w:val="002B714C"/>
    <w:rsid w:val="002B7193"/>
    <w:rsid w:val="002B7498"/>
    <w:rsid w:val="002B7919"/>
    <w:rsid w:val="002C019B"/>
    <w:rsid w:val="002C03A0"/>
    <w:rsid w:val="002C0B5A"/>
    <w:rsid w:val="002C0CAC"/>
    <w:rsid w:val="002C0D8A"/>
    <w:rsid w:val="002C108A"/>
    <w:rsid w:val="002C18AC"/>
    <w:rsid w:val="002C1B37"/>
    <w:rsid w:val="002C1F67"/>
    <w:rsid w:val="002C2BE6"/>
    <w:rsid w:val="002C41C1"/>
    <w:rsid w:val="002C43DC"/>
    <w:rsid w:val="002C4431"/>
    <w:rsid w:val="002C4CD1"/>
    <w:rsid w:val="002C4E7B"/>
    <w:rsid w:val="002C59DB"/>
    <w:rsid w:val="002C68FD"/>
    <w:rsid w:val="002C6DA1"/>
    <w:rsid w:val="002C7353"/>
    <w:rsid w:val="002C73D1"/>
    <w:rsid w:val="002C74A0"/>
    <w:rsid w:val="002C79BF"/>
    <w:rsid w:val="002C7DF9"/>
    <w:rsid w:val="002D0548"/>
    <w:rsid w:val="002D0660"/>
    <w:rsid w:val="002D081C"/>
    <w:rsid w:val="002D1243"/>
    <w:rsid w:val="002D17C3"/>
    <w:rsid w:val="002D1820"/>
    <w:rsid w:val="002D1855"/>
    <w:rsid w:val="002D2080"/>
    <w:rsid w:val="002D2634"/>
    <w:rsid w:val="002D2D5A"/>
    <w:rsid w:val="002D2EB9"/>
    <w:rsid w:val="002D3786"/>
    <w:rsid w:val="002D38B5"/>
    <w:rsid w:val="002D45D6"/>
    <w:rsid w:val="002D4873"/>
    <w:rsid w:val="002D4EE8"/>
    <w:rsid w:val="002D527B"/>
    <w:rsid w:val="002D57B2"/>
    <w:rsid w:val="002D6320"/>
    <w:rsid w:val="002D6F60"/>
    <w:rsid w:val="002D7001"/>
    <w:rsid w:val="002D7BD0"/>
    <w:rsid w:val="002E00AC"/>
    <w:rsid w:val="002E0AD0"/>
    <w:rsid w:val="002E0E42"/>
    <w:rsid w:val="002E1D63"/>
    <w:rsid w:val="002E1D84"/>
    <w:rsid w:val="002E218C"/>
    <w:rsid w:val="002E2986"/>
    <w:rsid w:val="002E2C16"/>
    <w:rsid w:val="002E2E42"/>
    <w:rsid w:val="002E2E90"/>
    <w:rsid w:val="002E33A1"/>
    <w:rsid w:val="002E4432"/>
    <w:rsid w:val="002E492B"/>
    <w:rsid w:val="002E4E4B"/>
    <w:rsid w:val="002E595D"/>
    <w:rsid w:val="002E65D8"/>
    <w:rsid w:val="002E6B6F"/>
    <w:rsid w:val="002E6D9C"/>
    <w:rsid w:val="002E759D"/>
    <w:rsid w:val="002E7AFE"/>
    <w:rsid w:val="002E7E1F"/>
    <w:rsid w:val="002E7F09"/>
    <w:rsid w:val="002F0950"/>
    <w:rsid w:val="002F0D9A"/>
    <w:rsid w:val="002F0F2C"/>
    <w:rsid w:val="002F0F2F"/>
    <w:rsid w:val="002F1433"/>
    <w:rsid w:val="002F14E4"/>
    <w:rsid w:val="002F1D22"/>
    <w:rsid w:val="002F2E82"/>
    <w:rsid w:val="002F3E67"/>
    <w:rsid w:val="002F58CC"/>
    <w:rsid w:val="002F5FA1"/>
    <w:rsid w:val="002F696C"/>
    <w:rsid w:val="002F6EC0"/>
    <w:rsid w:val="002F6F69"/>
    <w:rsid w:val="002F70F8"/>
    <w:rsid w:val="002F775F"/>
    <w:rsid w:val="002F78D9"/>
    <w:rsid w:val="002F7C01"/>
    <w:rsid w:val="00300A8B"/>
    <w:rsid w:val="00300D9A"/>
    <w:rsid w:val="00300E29"/>
    <w:rsid w:val="00300F95"/>
    <w:rsid w:val="0030106E"/>
    <w:rsid w:val="003013D9"/>
    <w:rsid w:val="003016B3"/>
    <w:rsid w:val="003017C3"/>
    <w:rsid w:val="00301E53"/>
    <w:rsid w:val="003023D4"/>
    <w:rsid w:val="00302552"/>
    <w:rsid w:val="00302F58"/>
    <w:rsid w:val="00304223"/>
    <w:rsid w:val="0030458A"/>
    <w:rsid w:val="003048C7"/>
    <w:rsid w:val="00304ACF"/>
    <w:rsid w:val="00305242"/>
    <w:rsid w:val="003055D9"/>
    <w:rsid w:val="003057AE"/>
    <w:rsid w:val="00305FF1"/>
    <w:rsid w:val="003063DF"/>
    <w:rsid w:val="00306C28"/>
    <w:rsid w:val="00307482"/>
    <w:rsid w:val="00307937"/>
    <w:rsid w:val="00307C37"/>
    <w:rsid w:val="00307E5F"/>
    <w:rsid w:val="003103B4"/>
    <w:rsid w:val="0031064D"/>
    <w:rsid w:val="00310918"/>
    <w:rsid w:val="00310A56"/>
    <w:rsid w:val="00310D5B"/>
    <w:rsid w:val="0031103C"/>
    <w:rsid w:val="00311056"/>
    <w:rsid w:val="00312535"/>
    <w:rsid w:val="00312729"/>
    <w:rsid w:val="00312906"/>
    <w:rsid w:val="003129CC"/>
    <w:rsid w:val="00312E88"/>
    <w:rsid w:val="003131EB"/>
    <w:rsid w:val="00313B90"/>
    <w:rsid w:val="00313F8E"/>
    <w:rsid w:val="00314164"/>
    <w:rsid w:val="00314E90"/>
    <w:rsid w:val="003152E3"/>
    <w:rsid w:val="0031573A"/>
    <w:rsid w:val="00315BBF"/>
    <w:rsid w:val="0031612D"/>
    <w:rsid w:val="00316D4D"/>
    <w:rsid w:val="00316E3D"/>
    <w:rsid w:val="00317756"/>
    <w:rsid w:val="00317B5C"/>
    <w:rsid w:val="00320177"/>
    <w:rsid w:val="00321428"/>
    <w:rsid w:val="00321B30"/>
    <w:rsid w:val="00321D63"/>
    <w:rsid w:val="0032256D"/>
    <w:rsid w:val="0032295C"/>
    <w:rsid w:val="00322970"/>
    <w:rsid w:val="00322AA2"/>
    <w:rsid w:val="00322E3D"/>
    <w:rsid w:val="00322EBF"/>
    <w:rsid w:val="00322FB4"/>
    <w:rsid w:val="0032530A"/>
    <w:rsid w:val="00326264"/>
    <w:rsid w:val="00326467"/>
    <w:rsid w:val="003268E4"/>
    <w:rsid w:val="00326A2B"/>
    <w:rsid w:val="00326AF9"/>
    <w:rsid w:val="00327208"/>
    <w:rsid w:val="00327431"/>
    <w:rsid w:val="00327758"/>
    <w:rsid w:val="0033026B"/>
    <w:rsid w:val="00330823"/>
    <w:rsid w:val="00330EBD"/>
    <w:rsid w:val="0033110F"/>
    <w:rsid w:val="00331283"/>
    <w:rsid w:val="00331287"/>
    <w:rsid w:val="00332143"/>
    <w:rsid w:val="003327D1"/>
    <w:rsid w:val="00332CF7"/>
    <w:rsid w:val="00332CFB"/>
    <w:rsid w:val="00332F7E"/>
    <w:rsid w:val="003332DD"/>
    <w:rsid w:val="00333A2C"/>
    <w:rsid w:val="00334658"/>
    <w:rsid w:val="00334961"/>
    <w:rsid w:val="00334AE8"/>
    <w:rsid w:val="0033538F"/>
    <w:rsid w:val="00335B10"/>
    <w:rsid w:val="00335BA8"/>
    <w:rsid w:val="00337266"/>
    <w:rsid w:val="0033754D"/>
    <w:rsid w:val="003375D5"/>
    <w:rsid w:val="003378B3"/>
    <w:rsid w:val="003378EB"/>
    <w:rsid w:val="00337B03"/>
    <w:rsid w:val="003401B4"/>
    <w:rsid w:val="0034114B"/>
    <w:rsid w:val="00341727"/>
    <w:rsid w:val="00342165"/>
    <w:rsid w:val="003421FB"/>
    <w:rsid w:val="003423EF"/>
    <w:rsid w:val="00342CC4"/>
    <w:rsid w:val="00342E02"/>
    <w:rsid w:val="00343378"/>
    <w:rsid w:val="0034362B"/>
    <w:rsid w:val="00343F91"/>
    <w:rsid w:val="00344527"/>
    <w:rsid w:val="00344FDE"/>
    <w:rsid w:val="00345A3F"/>
    <w:rsid w:val="003468F3"/>
    <w:rsid w:val="00346AA6"/>
    <w:rsid w:val="00346D7F"/>
    <w:rsid w:val="0034706D"/>
    <w:rsid w:val="003472CB"/>
    <w:rsid w:val="00347BEF"/>
    <w:rsid w:val="00350831"/>
    <w:rsid w:val="00351161"/>
    <w:rsid w:val="003516EF"/>
    <w:rsid w:val="0035243D"/>
    <w:rsid w:val="00352744"/>
    <w:rsid w:val="0035276A"/>
    <w:rsid w:val="00352C37"/>
    <w:rsid w:val="00352C55"/>
    <w:rsid w:val="00353362"/>
    <w:rsid w:val="003534A3"/>
    <w:rsid w:val="00353BC8"/>
    <w:rsid w:val="00353FB0"/>
    <w:rsid w:val="00354412"/>
    <w:rsid w:val="00355854"/>
    <w:rsid w:val="00355C85"/>
    <w:rsid w:val="00355D5A"/>
    <w:rsid w:val="003564B8"/>
    <w:rsid w:val="00356706"/>
    <w:rsid w:val="00356BAB"/>
    <w:rsid w:val="0035741D"/>
    <w:rsid w:val="003576C3"/>
    <w:rsid w:val="003577AA"/>
    <w:rsid w:val="00357BBB"/>
    <w:rsid w:val="003609E1"/>
    <w:rsid w:val="00360D18"/>
    <w:rsid w:val="00360E0E"/>
    <w:rsid w:val="003611E9"/>
    <w:rsid w:val="003624B9"/>
    <w:rsid w:val="00362F10"/>
    <w:rsid w:val="0036312A"/>
    <w:rsid w:val="00363271"/>
    <w:rsid w:val="003635A7"/>
    <w:rsid w:val="0036387C"/>
    <w:rsid w:val="00363DA3"/>
    <w:rsid w:val="00363FC4"/>
    <w:rsid w:val="00364848"/>
    <w:rsid w:val="00365AE2"/>
    <w:rsid w:val="00365FB8"/>
    <w:rsid w:val="003663FD"/>
    <w:rsid w:val="00366AC1"/>
    <w:rsid w:val="00366C06"/>
    <w:rsid w:val="00366CC9"/>
    <w:rsid w:val="0036776C"/>
    <w:rsid w:val="003677B3"/>
    <w:rsid w:val="00367960"/>
    <w:rsid w:val="00367A9A"/>
    <w:rsid w:val="00367E17"/>
    <w:rsid w:val="0037022A"/>
    <w:rsid w:val="00371262"/>
    <w:rsid w:val="003714D6"/>
    <w:rsid w:val="00371619"/>
    <w:rsid w:val="00371776"/>
    <w:rsid w:val="00371A2D"/>
    <w:rsid w:val="0037233C"/>
    <w:rsid w:val="00372A90"/>
    <w:rsid w:val="00373457"/>
    <w:rsid w:val="003735FD"/>
    <w:rsid w:val="00373743"/>
    <w:rsid w:val="00373A15"/>
    <w:rsid w:val="00373C6C"/>
    <w:rsid w:val="003750D3"/>
    <w:rsid w:val="0037566C"/>
    <w:rsid w:val="00375681"/>
    <w:rsid w:val="00375884"/>
    <w:rsid w:val="00375A7C"/>
    <w:rsid w:val="00375D06"/>
    <w:rsid w:val="00377042"/>
    <w:rsid w:val="003770CA"/>
    <w:rsid w:val="0037765E"/>
    <w:rsid w:val="003779A0"/>
    <w:rsid w:val="003804D7"/>
    <w:rsid w:val="003817B3"/>
    <w:rsid w:val="003817F2"/>
    <w:rsid w:val="0038227B"/>
    <w:rsid w:val="00382D7C"/>
    <w:rsid w:val="0038363C"/>
    <w:rsid w:val="0038418A"/>
    <w:rsid w:val="003841BD"/>
    <w:rsid w:val="0038499A"/>
    <w:rsid w:val="00384C77"/>
    <w:rsid w:val="00384C96"/>
    <w:rsid w:val="0038507E"/>
    <w:rsid w:val="0038524A"/>
    <w:rsid w:val="00385AEF"/>
    <w:rsid w:val="00385C93"/>
    <w:rsid w:val="003863C6"/>
    <w:rsid w:val="003865C1"/>
    <w:rsid w:val="00386B78"/>
    <w:rsid w:val="00386DE9"/>
    <w:rsid w:val="003874E5"/>
    <w:rsid w:val="00387858"/>
    <w:rsid w:val="00387978"/>
    <w:rsid w:val="00387DB5"/>
    <w:rsid w:val="00390077"/>
    <w:rsid w:val="003904EB"/>
    <w:rsid w:val="00390A02"/>
    <w:rsid w:val="00390C16"/>
    <w:rsid w:val="003910F0"/>
    <w:rsid w:val="003913D1"/>
    <w:rsid w:val="003918B0"/>
    <w:rsid w:val="003918CA"/>
    <w:rsid w:val="00391CE7"/>
    <w:rsid w:val="00391D6B"/>
    <w:rsid w:val="003920FC"/>
    <w:rsid w:val="00392284"/>
    <w:rsid w:val="00392517"/>
    <w:rsid w:val="00392618"/>
    <w:rsid w:val="003936CC"/>
    <w:rsid w:val="00393BB4"/>
    <w:rsid w:val="0039511D"/>
    <w:rsid w:val="00395935"/>
    <w:rsid w:val="00395947"/>
    <w:rsid w:val="00395A56"/>
    <w:rsid w:val="00395C7D"/>
    <w:rsid w:val="00395E70"/>
    <w:rsid w:val="00396D1E"/>
    <w:rsid w:val="00396EE9"/>
    <w:rsid w:val="00397743"/>
    <w:rsid w:val="00397BF9"/>
    <w:rsid w:val="00397C39"/>
    <w:rsid w:val="003A0135"/>
    <w:rsid w:val="003A034E"/>
    <w:rsid w:val="003A15F3"/>
    <w:rsid w:val="003A1E5F"/>
    <w:rsid w:val="003A29AB"/>
    <w:rsid w:val="003A358E"/>
    <w:rsid w:val="003A3EC2"/>
    <w:rsid w:val="003A3FAB"/>
    <w:rsid w:val="003A4031"/>
    <w:rsid w:val="003A45F1"/>
    <w:rsid w:val="003A46C1"/>
    <w:rsid w:val="003A4BD2"/>
    <w:rsid w:val="003A59E3"/>
    <w:rsid w:val="003A653F"/>
    <w:rsid w:val="003A6F2C"/>
    <w:rsid w:val="003A6FB9"/>
    <w:rsid w:val="003A71FB"/>
    <w:rsid w:val="003A78D6"/>
    <w:rsid w:val="003A7F1D"/>
    <w:rsid w:val="003B0250"/>
    <w:rsid w:val="003B08B7"/>
    <w:rsid w:val="003B0C38"/>
    <w:rsid w:val="003B152F"/>
    <w:rsid w:val="003B43F7"/>
    <w:rsid w:val="003B44B8"/>
    <w:rsid w:val="003B4C18"/>
    <w:rsid w:val="003B4E84"/>
    <w:rsid w:val="003B5272"/>
    <w:rsid w:val="003B54A2"/>
    <w:rsid w:val="003B54FC"/>
    <w:rsid w:val="003B6870"/>
    <w:rsid w:val="003B7AD1"/>
    <w:rsid w:val="003B7B67"/>
    <w:rsid w:val="003C0069"/>
    <w:rsid w:val="003C09CC"/>
    <w:rsid w:val="003C0D64"/>
    <w:rsid w:val="003C0EE2"/>
    <w:rsid w:val="003C179A"/>
    <w:rsid w:val="003C290C"/>
    <w:rsid w:val="003C2CD1"/>
    <w:rsid w:val="003C2DDB"/>
    <w:rsid w:val="003C38EB"/>
    <w:rsid w:val="003C3BEF"/>
    <w:rsid w:val="003C3E93"/>
    <w:rsid w:val="003C4266"/>
    <w:rsid w:val="003C46AA"/>
    <w:rsid w:val="003C4EC6"/>
    <w:rsid w:val="003C4F6D"/>
    <w:rsid w:val="003C53DB"/>
    <w:rsid w:val="003C5D30"/>
    <w:rsid w:val="003C656C"/>
    <w:rsid w:val="003C6C99"/>
    <w:rsid w:val="003C6F37"/>
    <w:rsid w:val="003C7B6F"/>
    <w:rsid w:val="003C7F31"/>
    <w:rsid w:val="003D182C"/>
    <w:rsid w:val="003D237D"/>
    <w:rsid w:val="003D2F0A"/>
    <w:rsid w:val="003D34C8"/>
    <w:rsid w:val="003D3664"/>
    <w:rsid w:val="003D36A1"/>
    <w:rsid w:val="003D39E9"/>
    <w:rsid w:val="003D3A63"/>
    <w:rsid w:val="003D3B3C"/>
    <w:rsid w:val="003D42C2"/>
    <w:rsid w:val="003D4CF0"/>
    <w:rsid w:val="003D5002"/>
    <w:rsid w:val="003D575E"/>
    <w:rsid w:val="003D5A0C"/>
    <w:rsid w:val="003D607A"/>
    <w:rsid w:val="003D6FA0"/>
    <w:rsid w:val="003D7299"/>
    <w:rsid w:val="003D77D6"/>
    <w:rsid w:val="003E02C3"/>
    <w:rsid w:val="003E0C5A"/>
    <w:rsid w:val="003E0F4C"/>
    <w:rsid w:val="003E1017"/>
    <w:rsid w:val="003E184F"/>
    <w:rsid w:val="003E1A58"/>
    <w:rsid w:val="003E2839"/>
    <w:rsid w:val="003E286B"/>
    <w:rsid w:val="003E2A2D"/>
    <w:rsid w:val="003E2EEB"/>
    <w:rsid w:val="003E3B38"/>
    <w:rsid w:val="003E3BD7"/>
    <w:rsid w:val="003E45C9"/>
    <w:rsid w:val="003E4BA8"/>
    <w:rsid w:val="003E4DF3"/>
    <w:rsid w:val="003E5066"/>
    <w:rsid w:val="003E53EC"/>
    <w:rsid w:val="003E6106"/>
    <w:rsid w:val="003E6A8F"/>
    <w:rsid w:val="003E6EA2"/>
    <w:rsid w:val="003E7D5E"/>
    <w:rsid w:val="003F0796"/>
    <w:rsid w:val="003F0BCA"/>
    <w:rsid w:val="003F1C36"/>
    <w:rsid w:val="003F1E4C"/>
    <w:rsid w:val="003F20E3"/>
    <w:rsid w:val="003F2696"/>
    <w:rsid w:val="003F29E6"/>
    <w:rsid w:val="003F2CA2"/>
    <w:rsid w:val="003F3235"/>
    <w:rsid w:val="003F3336"/>
    <w:rsid w:val="003F3F72"/>
    <w:rsid w:val="003F43B9"/>
    <w:rsid w:val="003F47D0"/>
    <w:rsid w:val="003F4A40"/>
    <w:rsid w:val="003F640B"/>
    <w:rsid w:val="003F69D2"/>
    <w:rsid w:val="003F6C73"/>
    <w:rsid w:val="003F6E67"/>
    <w:rsid w:val="003F71EF"/>
    <w:rsid w:val="003F764C"/>
    <w:rsid w:val="004005B0"/>
    <w:rsid w:val="004007AD"/>
    <w:rsid w:val="00400A87"/>
    <w:rsid w:val="004013F3"/>
    <w:rsid w:val="00401E04"/>
    <w:rsid w:val="00401F8A"/>
    <w:rsid w:val="00402008"/>
    <w:rsid w:val="0040212E"/>
    <w:rsid w:val="0040220E"/>
    <w:rsid w:val="00402900"/>
    <w:rsid w:val="0040329C"/>
    <w:rsid w:val="004033F7"/>
    <w:rsid w:val="004034D7"/>
    <w:rsid w:val="00403574"/>
    <w:rsid w:val="00403966"/>
    <w:rsid w:val="00403C8A"/>
    <w:rsid w:val="00404243"/>
    <w:rsid w:val="004047D3"/>
    <w:rsid w:val="00404B35"/>
    <w:rsid w:val="004062E5"/>
    <w:rsid w:val="00406976"/>
    <w:rsid w:val="00407120"/>
    <w:rsid w:val="00407E15"/>
    <w:rsid w:val="00410635"/>
    <w:rsid w:val="00410BCE"/>
    <w:rsid w:val="00410CA8"/>
    <w:rsid w:val="0041224A"/>
    <w:rsid w:val="00412A59"/>
    <w:rsid w:val="00412D0D"/>
    <w:rsid w:val="00413177"/>
    <w:rsid w:val="00413A41"/>
    <w:rsid w:val="00414968"/>
    <w:rsid w:val="004149CD"/>
    <w:rsid w:val="00414E7E"/>
    <w:rsid w:val="00415D2B"/>
    <w:rsid w:val="004165BA"/>
    <w:rsid w:val="004165C6"/>
    <w:rsid w:val="00416B02"/>
    <w:rsid w:val="00416CC3"/>
    <w:rsid w:val="00416D36"/>
    <w:rsid w:val="004203F3"/>
    <w:rsid w:val="004212EF"/>
    <w:rsid w:val="00421504"/>
    <w:rsid w:val="00421E78"/>
    <w:rsid w:val="00422489"/>
    <w:rsid w:val="00422A25"/>
    <w:rsid w:val="00422A89"/>
    <w:rsid w:val="00422B69"/>
    <w:rsid w:val="00422B8A"/>
    <w:rsid w:val="00424A7B"/>
    <w:rsid w:val="00424ABD"/>
    <w:rsid w:val="00424F82"/>
    <w:rsid w:val="00425D33"/>
    <w:rsid w:val="00425E5D"/>
    <w:rsid w:val="00426742"/>
    <w:rsid w:val="00426758"/>
    <w:rsid w:val="00427EC0"/>
    <w:rsid w:val="004307F3"/>
    <w:rsid w:val="00430D0F"/>
    <w:rsid w:val="00431535"/>
    <w:rsid w:val="0043160E"/>
    <w:rsid w:val="0043171D"/>
    <w:rsid w:val="0043180F"/>
    <w:rsid w:val="0043199D"/>
    <w:rsid w:val="00433646"/>
    <w:rsid w:val="004337AD"/>
    <w:rsid w:val="004339AE"/>
    <w:rsid w:val="0043429F"/>
    <w:rsid w:val="004346B9"/>
    <w:rsid w:val="00434783"/>
    <w:rsid w:val="004357F4"/>
    <w:rsid w:val="00436316"/>
    <w:rsid w:val="0043638C"/>
    <w:rsid w:val="0043677F"/>
    <w:rsid w:val="004369CA"/>
    <w:rsid w:val="00436E31"/>
    <w:rsid w:val="00436E70"/>
    <w:rsid w:val="00437541"/>
    <w:rsid w:val="00437963"/>
    <w:rsid w:val="00437CFD"/>
    <w:rsid w:val="00437F71"/>
    <w:rsid w:val="00440058"/>
    <w:rsid w:val="004401E9"/>
    <w:rsid w:val="00440605"/>
    <w:rsid w:val="004416A4"/>
    <w:rsid w:val="00441C20"/>
    <w:rsid w:val="004421FC"/>
    <w:rsid w:val="00442307"/>
    <w:rsid w:val="004428B4"/>
    <w:rsid w:val="00442B04"/>
    <w:rsid w:val="00442BAE"/>
    <w:rsid w:val="004433BC"/>
    <w:rsid w:val="00443B68"/>
    <w:rsid w:val="00443C76"/>
    <w:rsid w:val="00444932"/>
    <w:rsid w:val="00445098"/>
    <w:rsid w:val="0044514C"/>
    <w:rsid w:val="0044673E"/>
    <w:rsid w:val="004467A2"/>
    <w:rsid w:val="00446F7B"/>
    <w:rsid w:val="0044773E"/>
    <w:rsid w:val="00450551"/>
    <w:rsid w:val="004509AF"/>
    <w:rsid w:val="00450A37"/>
    <w:rsid w:val="0045147A"/>
    <w:rsid w:val="00451670"/>
    <w:rsid w:val="0045182B"/>
    <w:rsid w:val="00451A1A"/>
    <w:rsid w:val="0045272B"/>
    <w:rsid w:val="00452884"/>
    <w:rsid w:val="00452AAD"/>
    <w:rsid w:val="00452ECE"/>
    <w:rsid w:val="004547AD"/>
    <w:rsid w:val="0045505D"/>
    <w:rsid w:val="0045577D"/>
    <w:rsid w:val="004564F7"/>
    <w:rsid w:val="00456EDB"/>
    <w:rsid w:val="00456F39"/>
    <w:rsid w:val="004571A1"/>
    <w:rsid w:val="004576E6"/>
    <w:rsid w:val="00460DF4"/>
    <w:rsid w:val="00460EEE"/>
    <w:rsid w:val="0046118A"/>
    <w:rsid w:val="00461204"/>
    <w:rsid w:val="0046136C"/>
    <w:rsid w:val="00461872"/>
    <w:rsid w:val="00462427"/>
    <w:rsid w:val="00462491"/>
    <w:rsid w:val="00464070"/>
    <w:rsid w:val="00464AAA"/>
    <w:rsid w:val="00464B9A"/>
    <w:rsid w:val="00465BDE"/>
    <w:rsid w:val="0046658A"/>
    <w:rsid w:val="00466859"/>
    <w:rsid w:val="00466BE3"/>
    <w:rsid w:val="00466E12"/>
    <w:rsid w:val="00467994"/>
    <w:rsid w:val="00470DC5"/>
    <w:rsid w:val="0047136E"/>
    <w:rsid w:val="00472751"/>
    <w:rsid w:val="00472BCD"/>
    <w:rsid w:val="00472E68"/>
    <w:rsid w:val="00472F55"/>
    <w:rsid w:val="00473471"/>
    <w:rsid w:val="00474109"/>
    <w:rsid w:val="0047422D"/>
    <w:rsid w:val="0047461C"/>
    <w:rsid w:val="00474976"/>
    <w:rsid w:val="004752B4"/>
    <w:rsid w:val="0047575B"/>
    <w:rsid w:val="00475824"/>
    <w:rsid w:val="00475FCD"/>
    <w:rsid w:val="00475FD3"/>
    <w:rsid w:val="00476979"/>
    <w:rsid w:val="00476CE9"/>
    <w:rsid w:val="00477789"/>
    <w:rsid w:val="00477B6E"/>
    <w:rsid w:val="00480619"/>
    <w:rsid w:val="00480F91"/>
    <w:rsid w:val="00480FAD"/>
    <w:rsid w:val="00481459"/>
    <w:rsid w:val="004816A6"/>
    <w:rsid w:val="004825EB"/>
    <w:rsid w:val="00482647"/>
    <w:rsid w:val="00482F6E"/>
    <w:rsid w:val="00483172"/>
    <w:rsid w:val="00483F21"/>
    <w:rsid w:val="00484097"/>
    <w:rsid w:val="00484430"/>
    <w:rsid w:val="004844C8"/>
    <w:rsid w:val="004844DE"/>
    <w:rsid w:val="00484B4F"/>
    <w:rsid w:val="00485133"/>
    <w:rsid w:val="004851B0"/>
    <w:rsid w:val="004856E2"/>
    <w:rsid w:val="00485970"/>
    <w:rsid w:val="004860D4"/>
    <w:rsid w:val="004863AD"/>
    <w:rsid w:val="00487197"/>
    <w:rsid w:val="0048734C"/>
    <w:rsid w:val="00487451"/>
    <w:rsid w:val="0049015C"/>
    <w:rsid w:val="00490362"/>
    <w:rsid w:val="0049166B"/>
    <w:rsid w:val="00491795"/>
    <w:rsid w:val="00492BB8"/>
    <w:rsid w:val="00492C56"/>
    <w:rsid w:val="00493118"/>
    <w:rsid w:val="004935DD"/>
    <w:rsid w:val="00493D96"/>
    <w:rsid w:val="00494496"/>
    <w:rsid w:val="0049463B"/>
    <w:rsid w:val="00494865"/>
    <w:rsid w:val="00494F2E"/>
    <w:rsid w:val="00494FD2"/>
    <w:rsid w:val="00495864"/>
    <w:rsid w:val="00495D94"/>
    <w:rsid w:val="00495EE8"/>
    <w:rsid w:val="00495FA6"/>
    <w:rsid w:val="00496B46"/>
    <w:rsid w:val="00496E73"/>
    <w:rsid w:val="00497938"/>
    <w:rsid w:val="004A119A"/>
    <w:rsid w:val="004A151B"/>
    <w:rsid w:val="004A196B"/>
    <w:rsid w:val="004A280E"/>
    <w:rsid w:val="004A28EB"/>
    <w:rsid w:val="004A35D5"/>
    <w:rsid w:val="004A361D"/>
    <w:rsid w:val="004A3750"/>
    <w:rsid w:val="004A3787"/>
    <w:rsid w:val="004A3A3D"/>
    <w:rsid w:val="004A3B77"/>
    <w:rsid w:val="004A43FD"/>
    <w:rsid w:val="004A4656"/>
    <w:rsid w:val="004A529B"/>
    <w:rsid w:val="004A55DC"/>
    <w:rsid w:val="004A583D"/>
    <w:rsid w:val="004A7128"/>
    <w:rsid w:val="004A7190"/>
    <w:rsid w:val="004A734F"/>
    <w:rsid w:val="004B0044"/>
    <w:rsid w:val="004B0450"/>
    <w:rsid w:val="004B0BB2"/>
    <w:rsid w:val="004B2464"/>
    <w:rsid w:val="004B289E"/>
    <w:rsid w:val="004B3121"/>
    <w:rsid w:val="004B32D8"/>
    <w:rsid w:val="004B3FF3"/>
    <w:rsid w:val="004B46AC"/>
    <w:rsid w:val="004B4D0E"/>
    <w:rsid w:val="004B4D17"/>
    <w:rsid w:val="004B518C"/>
    <w:rsid w:val="004B55F3"/>
    <w:rsid w:val="004B5795"/>
    <w:rsid w:val="004B62B0"/>
    <w:rsid w:val="004B6866"/>
    <w:rsid w:val="004B6E48"/>
    <w:rsid w:val="004B71DA"/>
    <w:rsid w:val="004B7AE1"/>
    <w:rsid w:val="004C0463"/>
    <w:rsid w:val="004C097F"/>
    <w:rsid w:val="004C0DF2"/>
    <w:rsid w:val="004C0E57"/>
    <w:rsid w:val="004C1756"/>
    <w:rsid w:val="004C1CDD"/>
    <w:rsid w:val="004C2114"/>
    <w:rsid w:val="004C2BC0"/>
    <w:rsid w:val="004C2D5F"/>
    <w:rsid w:val="004C353E"/>
    <w:rsid w:val="004C3779"/>
    <w:rsid w:val="004C3BB7"/>
    <w:rsid w:val="004C3EDD"/>
    <w:rsid w:val="004C402B"/>
    <w:rsid w:val="004C44DB"/>
    <w:rsid w:val="004C4704"/>
    <w:rsid w:val="004C540F"/>
    <w:rsid w:val="004C55D0"/>
    <w:rsid w:val="004C5A62"/>
    <w:rsid w:val="004C67D9"/>
    <w:rsid w:val="004C7049"/>
    <w:rsid w:val="004C715F"/>
    <w:rsid w:val="004C732D"/>
    <w:rsid w:val="004C7AFD"/>
    <w:rsid w:val="004C7C37"/>
    <w:rsid w:val="004C7DF9"/>
    <w:rsid w:val="004D08D1"/>
    <w:rsid w:val="004D09FD"/>
    <w:rsid w:val="004D0C6D"/>
    <w:rsid w:val="004D1032"/>
    <w:rsid w:val="004D19BB"/>
    <w:rsid w:val="004D1DD5"/>
    <w:rsid w:val="004D22D4"/>
    <w:rsid w:val="004D2B6E"/>
    <w:rsid w:val="004D3462"/>
    <w:rsid w:val="004D4424"/>
    <w:rsid w:val="004D4A1F"/>
    <w:rsid w:val="004D57E7"/>
    <w:rsid w:val="004D5AA9"/>
    <w:rsid w:val="004D7AC0"/>
    <w:rsid w:val="004D7B61"/>
    <w:rsid w:val="004D7C3F"/>
    <w:rsid w:val="004E055A"/>
    <w:rsid w:val="004E0FCE"/>
    <w:rsid w:val="004E1654"/>
    <w:rsid w:val="004E1AFD"/>
    <w:rsid w:val="004E1F6C"/>
    <w:rsid w:val="004E227C"/>
    <w:rsid w:val="004E2762"/>
    <w:rsid w:val="004E2BD4"/>
    <w:rsid w:val="004E3574"/>
    <w:rsid w:val="004E3843"/>
    <w:rsid w:val="004E398F"/>
    <w:rsid w:val="004E42B2"/>
    <w:rsid w:val="004E4A7B"/>
    <w:rsid w:val="004E4AC7"/>
    <w:rsid w:val="004E56F3"/>
    <w:rsid w:val="004E5C8D"/>
    <w:rsid w:val="004E5DC2"/>
    <w:rsid w:val="004E5E95"/>
    <w:rsid w:val="004E644B"/>
    <w:rsid w:val="004E6850"/>
    <w:rsid w:val="004E6892"/>
    <w:rsid w:val="004E6AEF"/>
    <w:rsid w:val="004E6D8C"/>
    <w:rsid w:val="004E6F63"/>
    <w:rsid w:val="004E7016"/>
    <w:rsid w:val="004E7610"/>
    <w:rsid w:val="004E767E"/>
    <w:rsid w:val="004E78EE"/>
    <w:rsid w:val="004E7B57"/>
    <w:rsid w:val="004F03ED"/>
    <w:rsid w:val="004F062C"/>
    <w:rsid w:val="004F1367"/>
    <w:rsid w:val="004F138F"/>
    <w:rsid w:val="004F2450"/>
    <w:rsid w:val="004F2770"/>
    <w:rsid w:val="004F4568"/>
    <w:rsid w:val="004F478A"/>
    <w:rsid w:val="004F57AA"/>
    <w:rsid w:val="004F6096"/>
    <w:rsid w:val="004F6BAF"/>
    <w:rsid w:val="004F6C39"/>
    <w:rsid w:val="005004D6"/>
    <w:rsid w:val="00500681"/>
    <w:rsid w:val="005012A7"/>
    <w:rsid w:val="00501924"/>
    <w:rsid w:val="0050262C"/>
    <w:rsid w:val="00502879"/>
    <w:rsid w:val="00503355"/>
    <w:rsid w:val="005039E1"/>
    <w:rsid w:val="0050412E"/>
    <w:rsid w:val="005041DC"/>
    <w:rsid w:val="00504F99"/>
    <w:rsid w:val="00504FBA"/>
    <w:rsid w:val="0050506B"/>
    <w:rsid w:val="0050529F"/>
    <w:rsid w:val="00505502"/>
    <w:rsid w:val="005059E6"/>
    <w:rsid w:val="00505B48"/>
    <w:rsid w:val="00505D1D"/>
    <w:rsid w:val="005060DB"/>
    <w:rsid w:val="0050668F"/>
    <w:rsid w:val="00506828"/>
    <w:rsid w:val="00506850"/>
    <w:rsid w:val="00506D07"/>
    <w:rsid w:val="00506DC9"/>
    <w:rsid w:val="00507723"/>
    <w:rsid w:val="0050779F"/>
    <w:rsid w:val="00510219"/>
    <w:rsid w:val="0051116B"/>
    <w:rsid w:val="005118C3"/>
    <w:rsid w:val="0051194F"/>
    <w:rsid w:val="00512069"/>
    <w:rsid w:val="00512625"/>
    <w:rsid w:val="00512CB5"/>
    <w:rsid w:val="005131E4"/>
    <w:rsid w:val="00513563"/>
    <w:rsid w:val="005138EC"/>
    <w:rsid w:val="00513A2C"/>
    <w:rsid w:val="00513C4D"/>
    <w:rsid w:val="00513C6B"/>
    <w:rsid w:val="005148AA"/>
    <w:rsid w:val="005150C5"/>
    <w:rsid w:val="005158FB"/>
    <w:rsid w:val="00515A71"/>
    <w:rsid w:val="00515BBA"/>
    <w:rsid w:val="0051606D"/>
    <w:rsid w:val="0051630A"/>
    <w:rsid w:val="005165B0"/>
    <w:rsid w:val="0051661A"/>
    <w:rsid w:val="005167A9"/>
    <w:rsid w:val="00516966"/>
    <w:rsid w:val="005170DA"/>
    <w:rsid w:val="005173AC"/>
    <w:rsid w:val="00520211"/>
    <w:rsid w:val="00520524"/>
    <w:rsid w:val="005205F9"/>
    <w:rsid w:val="00520A6E"/>
    <w:rsid w:val="00520D0C"/>
    <w:rsid w:val="00521918"/>
    <w:rsid w:val="00521BF7"/>
    <w:rsid w:val="00521E41"/>
    <w:rsid w:val="00522E86"/>
    <w:rsid w:val="00523622"/>
    <w:rsid w:val="0052399A"/>
    <w:rsid w:val="00523EDC"/>
    <w:rsid w:val="00524467"/>
    <w:rsid w:val="00524C2A"/>
    <w:rsid w:val="00524D60"/>
    <w:rsid w:val="00524DF3"/>
    <w:rsid w:val="00525CEE"/>
    <w:rsid w:val="00525EA4"/>
    <w:rsid w:val="00525FE0"/>
    <w:rsid w:val="00526057"/>
    <w:rsid w:val="00526DF7"/>
    <w:rsid w:val="00527517"/>
    <w:rsid w:val="00527A01"/>
    <w:rsid w:val="005301E1"/>
    <w:rsid w:val="0053141C"/>
    <w:rsid w:val="00531685"/>
    <w:rsid w:val="0053193D"/>
    <w:rsid w:val="00531C6B"/>
    <w:rsid w:val="005323C7"/>
    <w:rsid w:val="005324CA"/>
    <w:rsid w:val="005327C0"/>
    <w:rsid w:val="0053456B"/>
    <w:rsid w:val="005350EC"/>
    <w:rsid w:val="00535141"/>
    <w:rsid w:val="005359EA"/>
    <w:rsid w:val="00536301"/>
    <w:rsid w:val="00536F19"/>
    <w:rsid w:val="005371B1"/>
    <w:rsid w:val="005372B9"/>
    <w:rsid w:val="0053798C"/>
    <w:rsid w:val="005402AF"/>
    <w:rsid w:val="005403EF"/>
    <w:rsid w:val="00541BA3"/>
    <w:rsid w:val="0054206F"/>
    <w:rsid w:val="00542510"/>
    <w:rsid w:val="00542529"/>
    <w:rsid w:val="00542E1C"/>
    <w:rsid w:val="005433AC"/>
    <w:rsid w:val="005435B2"/>
    <w:rsid w:val="005436CF"/>
    <w:rsid w:val="005443AF"/>
    <w:rsid w:val="00544992"/>
    <w:rsid w:val="00544F1F"/>
    <w:rsid w:val="0054509B"/>
    <w:rsid w:val="00545107"/>
    <w:rsid w:val="00546326"/>
    <w:rsid w:val="00546689"/>
    <w:rsid w:val="005479C5"/>
    <w:rsid w:val="00547ECE"/>
    <w:rsid w:val="00547F13"/>
    <w:rsid w:val="00547F63"/>
    <w:rsid w:val="0055028E"/>
    <w:rsid w:val="00550F21"/>
    <w:rsid w:val="0055162B"/>
    <w:rsid w:val="00551728"/>
    <w:rsid w:val="00551F97"/>
    <w:rsid w:val="00551FF4"/>
    <w:rsid w:val="00552E22"/>
    <w:rsid w:val="00552F1A"/>
    <w:rsid w:val="0055339C"/>
    <w:rsid w:val="0055358A"/>
    <w:rsid w:val="005537AF"/>
    <w:rsid w:val="00553C1E"/>
    <w:rsid w:val="00553F7D"/>
    <w:rsid w:val="005546B7"/>
    <w:rsid w:val="00554CD2"/>
    <w:rsid w:val="00554FB2"/>
    <w:rsid w:val="005557D0"/>
    <w:rsid w:val="00555DC0"/>
    <w:rsid w:val="0055602A"/>
    <w:rsid w:val="00556401"/>
    <w:rsid w:val="005565C7"/>
    <w:rsid w:val="00556840"/>
    <w:rsid w:val="005568C3"/>
    <w:rsid w:val="00556C50"/>
    <w:rsid w:val="0055747A"/>
    <w:rsid w:val="00557FB0"/>
    <w:rsid w:val="005603A9"/>
    <w:rsid w:val="00560541"/>
    <w:rsid w:val="00560B33"/>
    <w:rsid w:val="00561951"/>
    <w:rsid w:val="00562984"/>
    <w:rsid w:val="00562DE0"/>
    <w:rsid w:val="00563BE8"/>
    <w:rsid w:val="00563F71"/>
    <w:rsid w:val="005643B2"/>
    <w:rsid w:val="0056495F"/>
    <w:rsid w:val="00564C58"/>
    <w:rsid w:val="00564D0E"/>
    <w:rsid w:val="005653D1"/>
    <w:rsid w:val="00565DC3"/>
    <w:rsid w:val="00565DD6"/>
    <w:rsid w:val="00565E2B"/>
    <w:rsid w:val="005663FF"/>
    <w:rsid w:val="00566EC4"/>
    <w:rsid w:val="00567606"/>
    <w:rsid w:val="0056771B"/>
    <w:rsid w:val="00567FE4"/>
    <w:rsid w:val="005701BC"/>
    <w:rsid w:val="005703A3"/>
    <w:rsid w:val="00571118"/>
    <w:rsid w:val="005712BB"/>
    <w:rsid w:val="005714C6"/>
    <w:rsid w:val="00571581"/>
    <w:rsid w:val="00571B9E"/>
    <w:rsid w:val="00572BEE"/>
    <w:rsid w:val="00572EBA"/>
    <w:rsid w:val="0057311E"/>
    <w:rsid w:val="00573136"/>
    <w:rsid w:val="00573270"/>
    <w:rsid w:val="005738CC"/>
    <w:rsid w:val="00573C8F"/>
    <w:rsid w:val="00574715"/>
    <w:rsid w:val="00574C64"/>
    <w:rsid w:val="00574D0D"/>
    <w:rsid w:val="0057512A"/>
    <w:rsid w:val="00575556"/>
    <w:rsid w:val="005762A4"/>
    <w:rsid w:val="00576C38"/>
    <w:rsid w:val="00576D57"/>
    <w:rsid w:val="005772C9"/>
    <w:rsid w:val="00577B51"/>
    <w:rsid w:val="00577B7E"/>
    <w:rsid w:val="00580349"/>
    <w:rsid w:val="00581A7A"/>
    <w:rsid w:val="00581B17"/>
    <w:rsid w:val="005825A7"/>
    <w:rsid w:val="00582AEE"/>
    <w:rsid w:val="00582AFC"/>
    <w:rsid w:val="00582B9A"/>
    <w:rsid w:val="00582D33"/>
    <w:rsid w:val="00582E84"/>
    <w:rsid w:val="005839C1"/>
    <w:rsid w:val="005843B1"/>
    <w:rsid w:val="00584878"/>
    <w:rsid w:val="00584FDC"/>
    <w:rsid w:val="00585351"/>
    <w:rsid w:val="00585412"/>
    <w:rsid w:val="00585612"/>
    <w:rsid w:val="005859FB"/>
    <w:rsid w:val="00585E2A"/>
    <w:rsid w:val="005867FA"/>
    <w:rsid w:val="00586F76"/>
    <w:rsid w:val="00586FBA"/>
    <w:rsid w:val="00587318"/>
    <w:rsid w:val="00587417"/>
    <w:rsid w:val="00587873"/>
    <w:rsid w:val="00587A66"/>
    <w:rsid w:val="00587F5C"/>
    <w:rsid w:val="00590700"/>
    <w:rsid w:val="00590A2D"/>
    <w:rsid w:val="00590D29"/>
    <w:rsid w:val="00590FC1"/>
    <w:rsid w:val="0059100A"/>
    <w:rsid w:val="00591208"/>
    <w:rsid w:val="00591FFA"/>
    <w:rsid w:val="00592554"/>
    <w:rsid w:val="00592946"/>
    <w:rsid w:val="005931AA"/>
    <w:rsid w:val="0059328A"/>
    <w:rsid w:val="0059337C"/>
    <w:rsid w:val="00593A6A"/>
    <w:rsid w:val="00593E33"/>
    <w:rsid w:val="00594577"/>
    <w:rsid w:val="005954A8"/>
    <w:rsid w:val="00595BCF"/>
    <w:rsid w:val="00595FE2"/>
    <w:rsid w:val="005963FF"/>
    <w:rsid w:val="005968E5"/>
    <w:rsid w:val="00596A39"/>
    <w:rsid w:val="00596C7B"/>
    <w:rsid w:val="00596EAB"/>
    <w:rsid w:val="005971A7"/>
    <w:rsid w:val="00597B73"/>
    <w:rsid w:val="00597C30"/>
    <w:rsid w:val="005A09A7"/>
    <w:rsid w:val="005A186D"/>
    <w:rsid w:val="005A1912"/>
    <w:rsid w:val="005A2007"/>
    <w:rsid w:val="005A2017"/>
    <w:rsid w:val="005A255D"/>
    <w:rsid w:val="005A2587"/>
    <w:rsid w:val="005A3AE3"/>
    <w:rsid w:val="005A406F"/>
    <w:rsid w:val="005A4A9F"/>
    <w:rsid w:val="005A50B1"/>
    <w:rsid w:val="005A523A"/>
    <w:rsid w:val="005A5569"/>
    <w:rsid w:val="005A677D"/>
    <w:rsid w:val="005A6DC7"/>
    <w:rsid w:val="005A6DD8"/>
    <w:rsid w:val="005A718C"/>
    <w:rsid w:val="005B00F0"/>
    <w:rsid w:val="005B079E"/>
    <w:rsid w:val="005B0872"/>
    <w:rsid w:val="005B0CFF"/>
    <w:rsid w:val="005B0E5F"/>
    <w:rsid w:val="005B1263"/>
    <w:rsid w:val="005B14BF"/>
    <w:rsid w:val="005B152F"/>
    <w:rsid w:val="005B187A"/>
    <w:rsid w:val="005B1D26"/>
    <w:rsid w:val="005B268B"/>
    <w:rsid w:val="005B3586"/>
    <w:rsid w:val="005B3F95"/>
    <w:rsid w:val="005B460D"/>
    <w:rsid w:val="005B4668"/>
    <w:rsid w:val="005B4F0C"/>
    <w:rsid w:val="005B5333"/>
    <w:rsid w:val="005B536A"/>
    <w:rsid w:val="005B559E"/>
    <w:rsid w:val="005B58DE"/>
    <w:rsid w:val="005B5AA3"/>
    <w:rsid w:val="005B61E6"/>
    <w:rsid w:val="005B7928"/>
    <w:rsid w:val="005C0A86"/>
    <w:rsid w:val="005C0C31"/>
    <w:rsid w:val="005C0C3F"/>
    <w:rsid w:val="005C0CEF"/>
    <w:rsid w:val="005C1190"/>
    <w:rsid w:val="005C2433"/>
    <w:rsid w:val="005C2ECE"/>
    <w:rsid w:val="005C3103"/>
    <w:rsid w:val="005C32AD"/>
    <w:rsid w:val="005C35C4"/>
    <w:rsid w:val="005C3BA3"/>
    <w:rsid w:val="005C3C2E"/>
    <w:rsid w:val="005C428D"/>
    <w:rsid w:val="005C4723"/>
    <w:rsid w:val="005C4B56"/>
    <w:rsid w:val="005C53DB"/>
    <w:rsid w:val="005C55A7"/>
    <w:rsid w:val="005C5640"/>
    <w:rsid w:val="005C6150"/>
    <w:rsid w:val="005C6359"/>
    <w:rsid w:val="005C664C"/>
    <w:rsid w:val="005C6828"/>
    <w:rsid w:val="005C68CA"/>
    <w:rsid w:val="005C7358"/>
    <w:rsid w:val="005C77AD"/>
    <w:rsid w:val="005C7927"/>
    <w:rsid w:val="005C7AFE"/>
    <w:rsid w:val="005D0526"/>
    <w:rsid w:val="005D0A45"/>
    <w:rsid w:val="005D0BBE"/>
    <w:rsid w:val="005D0F3B"/>
    <w:rsid w:val="005D10F6"/>
    <w:rsid w:val="005D11F8"/>
    <w:rsid w:val="005D1670"/>
    <w:rsid w:val="005D1714"/>
    <w:rsid w:val="005D21A6"/>
    <w:rsid w:val="005D244C"/>
    <w:rsid w:val="005D26F8"/>
    <w:rsid w:val="005D2D4B"/>
    <w:rsid w:val="005D3CE0"/>
    <w:rsid w:val="005D3FEE"/>
    <w:rsid w:val="005D4570"/>
    <w:rsid w:val="005D5821"/>
    <w:rsid w:val="005D5F3A"/>
    <w:rsid w:val="005D6BA2"/>
    <w:rsid w:val="005D7C49"/>
    <w:rsid w:val="005E0147"/>
    <w:rsid w:val="005E0443"/>
    <w:rsid w:val="005E08C0"/>
    <w:rsid w:val="005E109E"/>
    <w:rsid w:val="005E1181"/>
    <w:rsid w:val="005E175B"/>
    <w:rsid w:val="005E188B"/>
    <w:rsid w:val="005E1DC4"/>
    <w:rsid w:val="005E23FA"/>
    <w:rsid w:val="005E2968"/>
    <w:rsid w:val="005E2B5B"/>
    <w:rsid w:val="005E2FF4"/>
    <w:rsid w:val="005E368C"/>
    <w:rsid w:val="005E40C3"/>
    <w:rsid w:val="005E4221"/>
    <w:rsid w:val="005E4D43"/>
    <w:rsid w:val="005E560E"/>
    <w:rsid w:val="005E5836"/>
    <w:rsid w:val="005E5BCF"/>
    <w:rsid w:val="005E6295"/>
    <w:rsid w:val="005E640E"/>
    <w:rsid w:val="005E6561"/>
    <w:rsid w:val="005E76A6"/>
    <w:rsid w:val="005E7BAA"/>
    <w:rsid w:val="005E7D35"/>
    <w:rsid w:val="005F00C3"/>
    <w:rsid w:val="005F03A0"/>
    <w:rsid w:val="005F08DA"/>
    <w:rsid w:val="005F0921"/>
    <w:rsid w:val="005F0C10"/>
    <w:rsid w:val="005F0CA3"/>
    <w:rsid w:val="005F1118"/>
    <w:rsid w:val="005F12F3"/>
    <w:rsid w:val="005F1384"/>
    <w:rsid w:val="005F1B5E"/>
    <w:rsid w:val="005F20E6"/>
    <w:rsid w:val="005F23C5"/>
    <w:rsid w:val="005F2490"/>
    <w:rsid w:val="005F2C3D"/>
    <w:rsid w:val="005F3A56"/>
    <w:rsid w:val="005F41C1"/>
    <w:rsid w:val="005F6045"/>
    <w:rsid w:val="005F66A2"/>
    <w:rsid w:val="005F6BB1"/>
    <w:rsid w:val="005F6DE5"/>
    <w:rsid w:val="005F6E80"/>
    <w:rsid w:val="005F7236"/>
    <w:rsid w:val="005F7715"/>
    <w:rsid w:val="005F7C09"/>
    <w:rsid w:val="0060115B"/>
    <w:rsid w:val="006011F2"/>
    <w:rsid w:val="0060126E"/>
    <w:rsid w:val="006012A9"/>
    <w:rsid w:val="00601331"/>
    <w:rsid w:val="00601473"/>
    <w:rsid w:val="00601638"/>
    <w:rsid w:val="00601B4A"/>
    <w:rsid w:val="0060200B"/>
    <w:rsid w:val="0060243C"/>
    <w:rsid w:val="006027F4"/>
    <w:rsid w:val="00603200"/>
    <w:rsid w:val="00603245"/>
    <w:rsid w:val="006038D6"/>
    <w:rsid w:val="00603972"/>
    <w:rsid w:val="00603FC1"/>
    <w:rsid w:val="0060434A"/>
    <w:rsid w:val="00604C4D"/>
    <w:rsid w:val="006062FE"/>
    <w:rsid w:val="00606452"/>
    <w:rsid w:val="0060782E"/>
    <w:rsid w:val="00607A2B"/>
    <w:rsid w:val="0061102A"/>
    <w:rsid w:val="0061134E"/>
    <w:rsid w:val="0061196D"/>
    <w:rsid w:val="00612AB3"/>
    <w:rsid w:val="00612F0B"/>
    <w:rsid w:val="0061445A"/>
    <w:rsid w:val="00614E7E"/>
    <w:rsid w:val="00615063"/>
    <w:rsid w:val="00615297"/>
    <w:rsid w:val="006155BB"/>
    <w:rsid w:val="00615D25"/>
    <w:rsid w:val="00616031"/>
    <w:rsid w:val="0061653C"/>
    <w:rsid w:val="00616649"/>
    <w:rsid w:val="006169C7"/>
    <w:rsid w:val="00617070"/>
    <w:rsid w:val="00620BCB"/>
    <w:rsid w:val="00620C26"/>
    <w:rsid w:val="0062144F"/>
    <w:rsid w:val="006216C5"/>
    <w:rsid w:val="006219CA"/>
    <w:rsid w:val="006222CB"/>
    <w:rsid w:val="006229B9"/>
    <w:rsid w:val="00622FF1"/>
    <w:rsid w:val="006231DA"/>
    <w:rsid w:val="006248E1"/>
    <w:rsid w:val="00625533"/>
    <w:rsid w:val="006255E0"/>
    <w:rsid w:val="006261CC"/>
    <w:rsid w:val="00626EBC"/>
    <w:rsid w:val="0062759C"/>
    <w:rsid w:val="006278DE"/>
    <w:rsid w:val="00627A77"/>
    <w:rsid w:val="00627CD7"/>
    <w:rsid w:val="006302B3"/>
    <w:rsid w:val="0063039E"/>
    <w:rsid w:val="00630B8D"/>
    <w:rsid w:val="00631984"/>
    <w:rsid w:val="00631D74"/>
    <w:rsid w:val="00631E43"/>
    <w:rsid w:val="006320BD"/>
    <w:rsid w:val="0063217D"/>
    <w:rsid w:val="006321ED"/>
    <w:rsid w:val="00632B81"/>
    <w:rsid w:val="00633C66"/>
    <w:rsid w:val="00633E57"/>
    <w:rsid w:val="006342EF"/>
    <w:rsid w:val="00634403"/>
    <w:rsid w:val="00634B44"/>
    <w:rsid w:val="00634FA0"/>
    <w:rsid w:val="006356EC"/>
    <w:rsid w:val="0063598F"/>
    <w:rsid w:val="00635C20"/>
    <w:rsid w:val="00635F33"/>
    <w:rsid w:val="006365C0"/>
    <w:rsid w:val="00636824"/>
    <w:rsid w:val="00636A0C"/>
    <w:rsid w:val="00636B2B"/>
    <w:rsid w:val="00637125"/>
    <w:rsid w:val="006373C3"/>
    <w:rsid w:val="0063744C"/>
    <w:rsid w:val="006375E5"/>
    <w:rsid w:val="006407EB"/>
    <w:rsid w:val="006409E3"/>
    <w:rsid w:val="00640F63"/>
    <w:rsid w:val="006414DD"/>
    <w:rsid w:val="0064174F"/>
    <w:rsid w:val="00641CA3"/>
    <w:rsid w:val="00641D8A"/>
    <w:rsid w:val="00642A06"/>
    <w:rsid w:val="00642AEB"/>
    <w:rsid w:val="00642D16"/>
    <w:rsid w:val="00643F92"/>
    <w:rsid w:val="00644954"/>
    <w:rsid w:val="00644A96"/>
    <w:rsid w:val="00644FBC"/>
    <w:rsid w:val="00645180"/>
    <w:rsid w:val="00645403"/>
    <w:rsid w:val="0064556C"/>
    <w:rsid w:val="006455AE"/>
    <w:rsid w:val="00645608"/>
    <w:rsid w:val="0064591D"/>
    <w:rsid w:val="00646B7A"/>
    <w:rsid w:val="00647074"/>
    <w:rsid w:val="00647169"/>
    <w:rsid w:val="006503F4"/>
    <w:rsid w:val="006510CF"/>
    <w:rsid w:val="0065137B"/>
    <w:rsid w:val="00651903"/>
    <w:rsid w:val="00651BF6"/>
    <w:rsid w:val="00651F96"/>
    <w:rsid w:val="00652580"/>
    <w:rsid w:val="0065268C"/>
    <w:rsid w:val="00652D01"/>
    <w:rsid w:val="0065300F"/>
    <w:rsid w:val="00653533"/>
    <w:rsid w:val="00653A46"/>
    <w:rsid w:val="00653BF5"/>
    <w:rsid w:val="00653D79"/>
    <w:rsid w:val="00653EBE"/>
    <w:rsid w:val="006547FE"/>
    <w:rsid w:val="00655235"/>
    <w:rsid w:val="006559D5"/>
    <w:rsid w:val="00655D57"/>
    <w:rsid w:val="00656A82"/>
    <w:rsid w:val="00656B83"/>
    <w:rsid w:val="00656DDE"/>
    <w:rsid w:val="0065774C"/>
    <w:rsid w:val="00657BBD"/>
    <w:rsid w:val="00657DF3"/>
    <w:rsid w:val="00660059"/>
    <w:rsid w:val="006609F3"/>
    <w:rsid w:val="006611E1"/>
    <w:rsid w:val="006617AC"/>
    <w:rsid w:val="00661BF2"/>
    <w:rsid w:val="00661F78"/>
    <w:rsid w:val="006620D0"/>
    <w:rsid w:val="00663E33"/>
    <w:rsid w:val="006640E5"/>
    <w:rsid w:val="00664CEA"/>
    <w:rsid w:val="00664CF7"/>
    <w:rsid w:val="00665022"/>
    <w:rsid w:val="006650B3"/>
    <w:rsid w:val="0066526D"/>
    <w:rsid w:val="00665953"/>
    <w:rsid w:val="006666C8"/>
    <w:rsid w:val="00666E12"/>
    <w:rsid w:val="00667EF3"/>
    <w:rsid w:val="00667FD3"/>
    <w:rsid w:val="0067012A"/>
    <w:rsid w:val="00670A49"/>
    <w:rsid w:val="00670D09"/>
    <w:rsid w:val="00672997"/>
    <w:rsid w:val="00672A44"/>
    <w:rsid w:val="00673286"/>
    <w:rsid w:val="006735C9"/>
    <w:rsid w:val="00673E25"/>
    <w:rsid w:val="00673F46"/>
    <w:rsid w:val="006743BD"/>
    <w:rsid w:val="006754B2"/>
    <w:rsid w:val="0067557F"/>
    <w:rsid w:val="00675E58"/>
    <w:rsid w:val="00676303"/>
    <w:rsid w:val="00676470"/>
    <w:rsid w:val="0067660E"/>
    <w:rsid w:val="006767B0"/>
    <w:rsid w:val="006767C8"/>
    <w:rsid w:val="00676D42"/>
    <w:rsid w:val="00677696"/>
    <w:rsid w:val="006779BF"/>
    <w:rsid w:val="006807DB"/>
    <w:rsid w:val="0068099C"/>
    <w:rsid w:val="00680B89"/>
    <w:rsid w:val="00680F29"/>
    <w:rsid w:val="00681C95"/>
    <w:rsid w:val="0068250A"/>
    <w:rsid w:val="0068282A"/>
    <w:rsid w:val="00682850"/>
    <w:rsid w:val="0068288A"/>
    <w:rsid w:val="00683A07"/>
    <w:rsid w:val="0068449A"/>
    <w:rsid w:val="006844ED"/>
    <w:rsid w:val="00684A91"/>
    <w:rsid w:val="00684D8E"/>
    <w:rsid w:val="006851FE"/>
    <w:rsid w:val="00685BFE"/>
    <w:rsid w:val="00685CE9"/>
    <w:rsid w:val="00685DE5"/>
    <w:rsid w:val="0068628A"/>
    <w:rsid w:val="00686517"/>
    <w:rsid w:val="006866FD"/>
    <w:rsid w:val="006870E4"/>
    <w:rsid w:val="006870FD"/>
    <w:rsid w:val="00687A23"/>
    <w:rsid w:val="00690366"/>
    <w:rsid w:val="006905BC"/>
    <w:rsid w:val="0069108E"/>
    <w:rsid w:val="006910A0"/>
    <w:rsid w:val="00691C98"/>
    <w:rsid w:val="00692050"/>
    <w:rsid w:val="006926FE"/>
    <w:rsid w:val="006927C1"/>
    <w:rsid w:val="006935D8"/>
    <w:rsid w:val="00693D55"/>
    <w:rsid w:val="00694370"/>
    <w:rsid w:val="00694B49"/>
    <w:rsid w:val="00695105"/>
    <w:rsid w:val="0069518F"/>
    <w:rsid w:val="00695BC5"/>
    <w:rsid w:val="00695D67"/>
    <w:rsid w:val="00696448"/>
    <w:rsid w:val="00696D4C"/>
    <w:rsid w:val="0069750D"/>
    <w:rsid w:val="00697BFD"/>
    <w:rsid w:val="00697E25"/>
    <w:rsid w:val="006A03F5"/>
    <w:rsid w:val="006A0A91"/>
    <w:rsid w:val="006A0ACC"/>
    <w:rsid w:val="006A0C09"/>
    <w:rsid w:val="006A0DE2"/>
    <w:rsid w:val="006A1917"/>
    <w:rsid w:val="006A19E4"/>
    <w:rsid w:val="006A1AA8"/>
    <w:rsid w:val="006A1F28"/>
    <w:rsid w:val="006A2015"/>
    <w:rsid w:val="006A3E5C"/>
    <w:rsid w:val="006A41B9"/>
    <w:rsid w:val="006A53B9"/>
    <w:rsid w:val="006A5782"/>
    <w:rsid w:val="006A5C4D"/>
    <w:rsid w:val="006A5CD7"/>
    <w:rsid w:val="006A623A"/>
    <w:rsid w:val="006A64C3"/>
    <w:rsid w:val="006A64D7"/>
    <w:rsid w:val="006A6592"/>
    <w:rsid w:val="006A6681"/>
    <w:rsid w:val="006A6771"/>
    <w:rsid w:val="006A7424"/>
    <w:rsid w:val="006A752E"/>
    <w:rsid w:val="006A757C"/>
    <w:rsid w:val="006A7598"/>
    <w:rsid w:val="006A7D23"/>
    <w:rsid w:val="006B0B27"/>
    <w:rsid w:val="006B0B65"/>
    <w:rsid w:val="006B0BF6"/>
    <w:rsid w:val="006B171D"/>
    <w:rsid w:val="006B1E69"/>
    <w:rsid w:val="006B2A98"/>
    <w:rsid w:val="006B2B63"/>
    <w:rsid w:val="006B37C7"/>
    <w:rsid w:val="006B39AC"/>
    <w:rsid w:val="006B437C"/>
    <w:rsid w:val="006B4DE3"/>
    <w:rsid w:val="006B4EB1"/>
    <w:rsid w:val="006B50B4"/>
    <w:rsid w:val="006B52ED"/>
    <w:rsid w:val="006B5824"/>
    <w:rsid w:val="006B6119"/>
    <w:rsid w:val="006B6A67"/>
    <w:rsid w:val="006B7070"/>
    <w:rsid w:val="006B7152"/>
    <w:rsid w:val="006B726A"/>
    <w:rsid w:val="006B75AC"/>
    <w:rsid w:val="006B7D27"/>
    <w:rsid w:val="006B7D88"/>
    <w:rsid w:val="006C0432"/>
    <w:rsid w:val="006C1579"/>
    <w:rsid w:val="006C1BB2"/>
    <w:rsid w:val="006C1E11"/>
    <w:rsid w:val="006C28B5"/>
    <w:rsid w:val="006C345A"/>
    <w:rsid w:val="006C3483"/>
    <w:rsid w:val="006C3744"/>
    <w:rsid w:val="006C4457"/>
    <w:rsid w:val="006C4EF9"/>
    <w:rsid w:val="006C50A6"/>
    <w:rsid w:val="006C5C26"/>
    <w:rsid w:val="006C6041"/>
    <w:rsid w:val="006C648F"/>
    <w:rsid w:val="006C68A1"/>
    <w:rsid w:val="006C69DD"/>
    <w:rsid w:val="006C6D51"/>
    <w:rsid w:val="006C7132"/>
    <w:rsid w:val="006C773D"/>
    <w:rsid w:val="006D0074"/>
    <w:rsid w:val="006D0FD1"/>
    <w:rsid w:val="006D1193"/>
    <w:rsid w:val="006D173D"/>
    <w:rsid w:val="006D17BF"/>
    <w:rsid w:val="006D1E24"/>
    <w:rsid w:val="006D24E5"/>
    <w:rsid w:val="006D27E5"/>
    <w:rsid w:val="006D3110"/>
    <w:rsid w:val="006D3F78"/>
    <w:rsid w:val="006D40FE"/>
    <w:rsid w:val="006D4448"/>
    <w:rsid w:val="006D444A"/>
    <w:rsid w:val="006D456B"/>
    <w:rsid w:val="006D47A3"/>
    <w:rsid w:val="006D47E6"/>
    <w:rsid w:val="006D5827"/>
    <w:rsid w:val="006D5A41"/>
    <w:rsid w:val="006D6725"/>
    <w:rsid w:val="006D6FCB"/>
    <w:rsid w:val="006D7174"/>
    <w:rsid w:val="006D7938"/>
    <w:rsid w:val="006D79CA"/>
    <w:rsid w:val="006D7FA2"/>
    <w:rsid w:val="006E002B"/>
    <w:rsid w:val="006E0789"/>
    <w:rsid w:val="006E0BA9"/>
    <w:rsid w:val="006E1674"/>
    <w:rsid w:val="006E1BEB"/>
    <w:rsid w:val="006E3443"/>
    <w:rsid w:val="006E36F9"/>
    <w:rsid w:val="006E3AE3"/>
    <w:rsid w:val="006E3EA3"/>
    <w:rsid w:val="006E4019"/>
    <w:rsid w:val="006E46EA"/>
    <w:rsid w:val="006E4AF3"/>
    <w:rsid w:val="006E4DA9"/>
    <w:rsid w:val="006E4E51"/>
    <w:rsid w:val="006E5827"/>
    <w:rsid w:val="006E5E42"/>
    <w:rsid w:val="006E6351"/>
    <w:rsid w:val="006E654E"/>
    <w:rsid w:val="006E6CDA"/>
    <w:rsid w:val="006E7143"/>
    <w:rsid w:val="006E7951"/>
    <w:rsid w:val="006E7C57"/>
    <w:rsid w:val="006F06EB"/>
    <w:rsid w:val="006F0F85"/>
    <w:rsid w:val="006F1172"/>
    <w:rsid w:val="006F1238"/>
    <w:rsid w:val="006F14CE"/>
    <w:rsid w:val="006F1668"/>
    <w:rsid w:val="006F1781"/>
    <w:rsid w:val="006F1A69"/>
    <w:rsid w:val="006F20D0"/>
    <w:rsid w:val="006F2663"/>
    <w:rsid w:val="006F2A85"/>
    <w:rsid w:val="006F2D67"/>
    <w:rsid w:val="006F305F"/>
    <w:rsid w:val="006F4479"/>
    <w:rsid w:val="006F513E"/>
    <w:rsid w:val="006F554D"/>
    <w:rsid w:val="006F5ABD"/>
    <w:rsid w:val="006F675C"/>
    <w:rsid w:val="006F6793"/>
    <w:rsid w:val="006F73EC"/>
    <w:rsid w:val="0070071E"/>
    <w:rsid w:val="00701611"/>
    <w:rsid w:val="00701DDA"/>
    <w:rsid w:val="007020C5"/>
    <w:rsid w:val="007023D6"/>
    <w:rsid w:val="007023F6"/>
    <w:rsid w:val="00702FC5"/>
    <w:rsid w:val="0070347E"/>
    <w:rsid w:val="0070357A"/>
    <w:rsid w:val="007035C0"/>
    <w:rsid w:val="00703770"/>
    <w:rsid w:val="00703A3D"/>
    <w:rsid w:val="007047E4"/>
    <w:rsid w:val="00705101"/>
    <w:rsid w:val="007053F1"/>
    <w:rsid w:val="00705965"/>
    <w:rsid w:val="00705A63"/>
    <w:rsid w:val="00705B26"/>
    <w:rsid w:val="00705B7C"/>
    <w:rsid w:val="00705CAB"/>
    <w:rsid w:val="00705DB1"/>
    <w:rsid w:val="00706376"/>
    <w:rsid w:val="00706565"/>
    <w:rsid w:val="00706E48"/>
    <w:rsid w:val="00707068"/>
    <w:rsid w:val="00707EDB"/>
    <w:rsid w:val="0071025E"/>
    <w:rsid w:val="00710586"/>
    <w:rsid w:val="00710807"/>
    <w:rsid w:val="00711156"/>
    <w:rsid w:val="00711297"/>
    <w:rsid w:val="0071148F"/>
    <w:rsid w:val="007116B7"/>
    <w:rsid w:val="007117B9"/>
    <w:rsid w:val="00712477"/>
    <w:rsid w:val="007125A5"/>
    <w:rsid w:val="0071292A"/>
    <w:rsid w:val="00712A26"/>
    <w:rsid w:val="00712C35"/>
    <w:rsid w:val="00712D60"/>
    <w:rsid w:val="00712E65"/>
    <w:rsid w:val="00713C35"/>
    <w:rsid w:val="00713D45"/>
    <w:rsid w:val="007142A1"/>
    <w:rsid w:val="007147ED"/>
    <w:rsid w:val="00714CB5"/>
    <w:rsid w:val="00714E67"/>
    <w:rsid w:val="00714EC2"/>
    <w:rsid w:val="00714F1B"/>
    <w:rsid w:val="007159C5"/>
    <w:rsid w:val="00716C78"/>
    <w:rsid w:val="007178CE"/>
    <w:rsid w:val="0072027B"/>
    <w:rsid w:val="00720304"/>
    <w:rsid w:val="00720669"/>
    <w:rsid w:val="00720814"/>
    <w:rsid w:val="0072089A"/>
    <w:rsid w:val="00720AE2"/>
    <w:rsid w:val="00720DB0"/>
    <w:rsid w:val="007210FD"/>
    <w:rsid w:val="0072137B"/>
    <w:rsid w:val="00721621"/>
    <w:rsid w:val="00721B15"/>
    <w:rsid w:val="00721C5A"/>
    <w:rsid w:val="00721C7E"/>
    <w:rsid w:val="00721E60"/>
    <w:rsid w:val="007221B6"/>
    <w:rsid w:val="0072227D"/>
    <w:rsid w:val="00722C19"/>
    <w:rsid w:val="00722E2A"/>
    <w:rsid w:val="007231C1"/>
    <w:rsid w:val="00723244"/>
    <w:rsid w:val="007232F1"/>
    <w:rsid w:val="0072386C"/>
    <w:rsid w:val="007239BF"/>
    <w:rsid w:val="00723DA5"/>
    <w:rsid w:val="00725938"/>
    <w:rsid w:val="0072687D"/>
    <w:rsid w:val="00726CE2"/>
    <w:rsid w:val="00726D00"/>
    <w:rsid w:val="00727379"/>
    <w:rsid w:val="0072770F"/>
    <w:rsid w:val="0073081C"/>
    <w:rsid w:val="00731788"/>
    <w:rsid w:val="00731CAA"/>
    <w:rsid w:val="0073240C"/>
    <w:rsid w:val="00732573"/>
    <w:rsid w:val="007329E6"/>
    <w:rsid w:val="00732FC9"/>
    <w:rsid w:val="007330A6"/>
    <w:rsid w:val="00733425"/>
    <w:rsid w:val="00733731"/>
    <w:rsid w:val="00733B4B"/>
    <w:rsid w:val="007344FC"/>
    <w:rsid w:val="00735A37"/>
    <w:rsid w:val="007360D6"/>
    <w:rsid w:val="0073667D"/>
    <w:rsid w:val="00736E28"/>
    <w:rsid w:val="00737C44"/>
    <w:rsid w:val="00737C50"/>
    <w:rsid w:val="00737F8A"/>
    <w:rsid w:val="00740020"/>
    <w:rsid w:val="00740044"/>
    <w:rsid w:val="007408B8"/>
    <w:rsid w:val="00740CC8"/>
    <w:rsid w:val="00740F1C"/>
    <w:rsid w:val="0074108E"/>
    <w:rsid w:val="00741C22"/>
    <w:rsid w:val="0074287E"/>
    <w:rsid w:val="0074295E"/>
    <w:rsid w:val="007434C2"/>
    <w:rsid w:val="007438E9"/>
    <w:rsid w:val="00743B4C"/>
    <w:rsid w:val="00744EE7"/>
    <w:rsid w:val="007452DB"/>
    <w:rsid w:val="00745871"/>
    <w:rsid w:val="007459CF"/>
    <w:rsid w:val="00745AA0"/>
    <w:rsid w:val="0074603E"/>
    <w:rsid w:val="00746158"/>
    <w:rsid w:val="00746B32"/>
    <w:rsid w:val="00746CF1"/>
    <w:rsid w:val="00746D74"/>
    <w:rsid w:val="00746FD8"/>
    <w:rsid w:val="007476A4"/>
    <w:rsid w:val="007476D9"/>
    <w:rsid w:val="007501BE"/>
    <w:rsid w:val="00750D7F"/>
    <w:rsid w:val="007522DC"/>
    <w:rsid w:val="0075235D"/>
    <w:rsid w:val="00752772"/>
    <w:rsid w:val="00752E12"/>
    <w:rsid w:val="00753016"/>
    <w:rsid w:val="007530FB"/>
    <w:rsid w:val="007539C8"/>
    <w:rsid w:val="00753E27"/>
    <w:rsid w:val="00753F58"/>
    <w:rsid w:val="0075410B"/>
    <w:rsid w:val="007544E4"/>
    <w:rsid w:val="0075452C"/>
    <w:rsid w:val="007547F5"/>
    <w:rsid w:val="0075483B"/>
    <w:rsid w:val="00754EF4"/>
    <w:rsid w:val="00754F34"/>
    <w:rsid w:val="0075664A"/>
    <w:rsid w:val="007570A0"/>
    <w:rsid w:val="00757739"/>
    <w:rsid w:val="00757871"/>
    <w:rsid w:val="00757BE2"/>
    <w:rsid w:val="00757DC3"/>
    <w:rsid w:val="007604E3"/>
    <w:rsid w:val="00760C3E"/>
    <w:rsid w:val="0076161B"/>
    <w:rsid w:val="00761BAB"/>
    <w:rsid w:val="00761D71"/>
    <w:rsid w:val="00762AA9"/>
    <w:rsid w:val="00762C63"/>
    <w:rsid w:val="00763450"/>
    <w:rsid w:val="00764100"/>
    <w:rsid w:val="00764180"/>
    <w:rsid w:val="007646CA"/>
    <w:rsid w:val="00764A05"/>
    <w:rsid w:val="007657FD"/>
    <w:rsid w:val="00765E79"/>
    <w:rsid w:val="007660B2"/>
    <w:rsid w:val="00766324"/>
    <w:rsid w:val="00766829"/>
    <w:rsid w:val="00766AE4"/>
    <w:rsid w:val="0076717D"/>
    <w:rsid w:val="00767A9B"/>
    <w:rsid w:val="00770673"/>
    <w:rsid w:val="007707F1"/>
    <w:rsid w:val="00772180"/>
    <w:rsid w:val="007725B3"/>
    <w:rsid w:val="007730F5"/>
    <w:rsid w:val="00773114"/>
    <w:rsid w:val="00773692"/>
    <w:rsid w:val="00773B40"/>
    <w:rsid w:val="00773C04"/>
    <w:rsid w:val="00773F6E"/>
    <w:rsid w:val="007742E9"/>
    <w:rsid w:val="0077462E"/>
    <w:rsid w:val="00774794"/>
    <w:rsid w:val="00774EA0"/>
    <w:rsid w:val="0077512B"/>
    <w:rsid w:val="00775159"/>
    <w:rsid w:val="00775985"/>
    <w:rsid w:val="007763F3"/>
    <w:rsid w:val="00776682"/>
    <w:rsid w:val="00776DBA"/>
    <w:rsid w:val="007770F3"/>
    <w:rsid w:val="0077744C"/>
    <w:rsid w:val="00777F6B"/>
    <w:rsid w:val="007804E9"/>
    <w:rsid w:val="00780901"/>
    <w:rsid w:val="00780972"/>
    <w:rsid w:val="00780CBA"/>
    <w:rsid w:val="00782988"/>
    <w:rsid w:val="00782C48"/>
    <w:rsid w:val="007836E1"/>
    <w:rsid w:val="00783707"/>
    <w:rsid w:val="00783C7C"/>
    <w:rsid w:val="00784035"/>
    <w:rsid w:val="00784EC6"/>
    <w:rsid w:val="007855CE"/>
    <w:rsid w:val="007856E1"/>
    <w:rsid w:val="00786FAC"/>
    <w:rsid w:val="0079127D"/>
    <w:rsid w:val="0079192C"/>
    <w:rsid w:val="007920EB"/>
    <w:rsid w:val="00792925"/>
    <w:rsid w:val="00793276"/>
    <w:rsid w:val="00793369"/>
    <w:rsid w:val="00793EE1"/>
    <w:rsid w:val="00793EFC"/>
    <w:rsid w:val="007945B4"/>
    <w:rsid w:val="00795198"/>
    <w:rsid w:val="0079542C"/>
    <w:rsid w:val="0079569F"/>
    <w:rsid w:val="00795D66"/>
    <w:rsid w:val="00796954"/>
    <w:rsid w:val="0079731C"/>
    <w:rsid w:val="00797489"/>
    <w:rsid w:val="00797DF0"/>
    <w:rsid w:val="007A1554"/>
    <w:rsid w:val="007A18E7"/>
    <w:rsid w:val="007A1F56"/>
    <w:rsid w:val="007A229B"/>
    <w:rsid w:val="007A26FE"/>
    <w:rsid w:val="007A2936"/>
    <w:rsid w:val="007A2B2C"/>
    <w:rsid w:val="007A3411"/>
    <w:rsid w:val="007A3A2F"/>
    <w:rsid w:val="007A3D67"/>
    <w:rsid w:val="007A3EEE"/>
    <w:rsid w:val="007A4E7E"/>
    <w:rsid w:val="007A4FBB"/>
    <w:rsid w:val="007A528D"/>
    <w:rsid w:val="007A534F"/>
    <w:rsid w:val="007A5713"/>
    <w:rsid w:val="007A59FD"/>
    <w:rsid w:val="007A640A"/>
    <w:rsid w:val="007A681E"/>
    <w:rsid w:val="007A6971"/>
    <w:rsid w:val="007A69EC"/>
    <w:rsid w:val="007A6EFE"/>
    <w:rsid w:val="007A728E"/>
    <w:rsid w:val="007A755B"/>
    <w:rsid w:val="007A767D"/>
    <w:rsid w:val="007A79C4"/>
    <w:rsid w:val="007A7A94"/>
    <w:rsid w:val="007A7EF7"/>
    <w:rsid w:val="007B00C4"/>
    <w:rsid w:val="007B09BE"/>
    <w:rsid w:val="007B0BC2"/>
    <w:rsid w:val="007B0FE8"/>
    <w:rsid w:val="007B1873"/>
    <w:rsid w:val="007B1A4D"/>
    <w:rsid w:val="007B3232"/>
    <w:rsid w:val="007B3552"/>
    <w:rsid w:val="007B4126"/>
    <w:rsid w:val="007B4310"/>
    <w:rsid w:val="007B498A"/>
    <w:rsid w:val="007B4C53"/>
    <w:rsid w:val="007B53A6"/>
    <w:rsid w:val="007B6034"/>
    <w:rsid w:val="007B6149"/>
    <w:rsid w:val="007B642C"/>
    <w:rsid w:val="007B6483"/>
    <w:rsid w:val="007B6BF7"/>
    <w:rsid w:val="007B7175"/>
    <w:rsid w:val="007B751B"/>
    <w:rsid w:val="007B7A14"/>
    <w:rsid w:val="007B7CDD"/>
    <w:rsid w:val="007B7EB0"/>
    <w:rsid w:val="007C0860"/>
    <w:rsid w:val="007C0C58"/>
    <w:rsid w:val="007C1AB7"/>
    <w:rsid w:val="007C2146"/>
    <w:rsid w:val="007C2313"/>
    <w:rsid w:val="007C249A"/>
    <w:rsid w:val="007C2FCF"/>
    <w:rsid w:val="007C3AD0"/>
    <w:rsid w:val="007C4614"/>
    <w:rsid w:val="007C46C3"/>
    <w:rsid w:val="007C551C"/>
    <w:rsid w:val="007C5AF3"/>
    <w:rsid w:val="007C62FE"/>
    <w:rsid w:val="007C6591"/>
    <w:rsid w:val="007C6A7D"/>
    <w:rsid w:val="007C712A"/>
    <w:rsid w:val="007D06DF"/>
    <w:rsid w:val="007D07A9"/>
    <w:rsid w:val="007D0B81"/>
    <w:rsid w:val="007D0DAD"/>
    <w:rsid w:val="007D0DBF"/>
    <w:rsid w:val="007D0E23"/>
    <w:rsid w:val="007D103C"/>
    <w:rsid w:val="007D12F2"/>
    <w:rsid w:val="007D149F"/>
    <w:rsid w:val="007D1C0B"/>
    <w:rsid w:val="007D2E44"/>
    <w:rsid w:val="007D31EB"/>
    <w:rsid w:val="007D3356"/>
    <w:rsid w:val="007D3FFB"/>
    <w:rsid w:val="007D47C2"/>
    <w:rsid w:val="007D4AB4"/>
    <w:rsid w:val="007D4AC8"/>
    <w:rsid w:val="007D66AA"/>
    <w:rsid w:val="007D6CB9"/>
    <w:rsid w:val="007D70F4"/>
    <w:rsid w:val="007D75BB"/>
    <w:rsid w:val="007D7732"/>
    <w:rsid w:val="007E0837"/>
    <w:rsid w:val="007E10D0"/>
    <w:rsid w:val="007E1343"/>
    <w:rsid w:val="007E1868"/>
    <w:rsid w:val="007E1F06"/>
    <w:rsid w:val="007E2016"/>
    <w:rsid w:val="007E2DEF"/>
    <w:rsid w:val="007E2E63"/>
    <w:rsid w:val="007E3210"/>
    <w:rsid w:val="007E357C"/>
    <w:rsid w:val="007E3943"/>
    <w:rsid w:val="007E3D0E"/>
    <w:rsid w:val="007E4B12"/>
    <w:rsid w:val="007E517D"/>
    <w:rsid w:val="007E5405"/>
    <w:rsid w:val="007E540B"/>
    <w:rsid w:val="007E61B6"/>
    <w:rsid w:val="007E624D"/>
    <w:rsid w:val="007E62BB"/>
    <w:rsid w:val="007E63E7"/>
    <w:rsid w:val="007E6F1F"/>
    <w:rsid w:val="007E7727"/>
    <w:rsid w:val="007E778E"/>
    <w:rsid w:val="007E7BD1"/>
    <w:rsid w:val="007E7EAB"/>
    <w:rsid w:val="007F08CF"/>
    <w:rsid w:val="007F0B38"/>
    <w:rsid w:val="007F0C72"/>
    <w:rsid w:val="007F14B5"/>
    <w:rsid w:val="007F1697"/>
    <w:rsid w:val="007F1C30"/>
    <w:rsid w:val="007F1D83"/>
    <w:rsid w:val="007F2087"/>
    <w:rsid w:val="007F2183"/>
    <w:rsid w:val="007F2633"/>
    <w:rsid w:val="007F365F"/>
    <w:rsid w:val="007F392B"/>
    <w:rsid w:val="007F424D"/>
    <w:rsid w:val="007F47B5"/>
    <w:rsid w:val="007F5554"/>
    <w:rsid w:val="007F5D76"/>
    <w:rsid w:val="007F5F69"/>
    <w:rsid w:val="007F65E6"/>
    <w:rsid w:val="007F6A35"/>
    <w:rsid w:val="007F6AF7"/>
    <w:rsid w:val="007F77F6"/>
    <w:rsid w:val="00801470"/>
    <w:rsid w:val="00801F3D"/>
    <w:rsid w:val="008020C7"/>
    <w:rsid w:val="00802E6E"/>
    <w:rsid w:val="0080301C"/>
    <w:rsid w:val="00803AA6"/>
    <w:rsid w:val="008048AE"/>
    <w:rsid w:val="00804AD4"/>
    <w:rsid w:val="00804CC3"/>
    <w:rsid w:val="00804F61"/>
    <w:rsid w:val="00805213"/>
    <w:rsid w:val="008052DB"/>
    <w:rsid w:val="00805A0A"/>
    <w:rsid w:val="00807080"/>
    <w:rsid w:val="00807158"/>
    <w:rsid w:val="0080728F"/>
    <w:rsid w:val="00807C37"/>
    <w:rsid w:val="00807D0A"/>
    <w:rsid w:val="0081002A"/>
    <w:rsid w:val="008105BB"/>
    <w:rsid w:val="00810C8B"/>
    <w:rsid w:val="00810E26"/>
    <w:rsid w:val="008112C7"/>
    <w:rsid w:val="00812FA6"/>
    <w:rsid w:val="00813A91"/>
    <w:rsid w:val="00813DBA"/>
    <w:rsid w:val="008144A9"/>
    <w:rsid w:val="00814625"/>
    <w:rsid w:val="0081525F"/>
    <w:rsid w:val="0081545F"/>
    <w:rsid w:val="0081589C"/>
    <w:rsid w:val="008160F4"/>
    <w:rsid w:val="00816362"/>
    <w:rsid w:val="00816623"/>
    <w:rsid w:val="00816774"/>
    <w:rsid w:val="00817029"/>
    <w:rsid w:val="00817662"/>
    <w:rsid w:val="0081767B"/>
    <w:rsid w:val="00817773"/>
    <w:rsid w:val="008177BD"/>
    <w:rsid w:val="00817D15"/>
    <w:rsid w:val="0082056B"/>
    <w:rsid w:val="00820695"/>
    <w:rsid w:val="008207A9"/>
    <w:rsid w:val="00820AD5"/>
    <w:rsid w:val="00820B8C"/>
    <w:rsid w:val="00820C9E"/>
    <w:rsid w:val="00820E38"/>
    <w:rsid w:val="00820FE9"/>
    <w:rsid w:val="00821B80"/>
    <w:rsid w:val="00821FCA"/>
    <w:rsid w:val="00822858"/>
    <w:rsid w:val="008228A3"/>
    <w:rsid w:val="00822A93"/>
    <w:rsid w:val="00823260"/>
    <w:rsid w:val="0082396E"/>
    <w:rsid w:val="008244BF"/>
    <w:rsid w:val="008244E8"/>
    <w:rsid w:val="00824599"/>
    <w:rsid w:val="00825392"/>
    <w:rsid w:val="008255EC"/>
    <w:rsid w:val="008257FA"/>
    <w:rsid w:val="00825936"/>
    <w:rsid w:val="00825B26"/>
    <w:rsid w:val="008268AD"/>
    <w:rsid w:val="008271D7"/>
    <w:rsid w:val="00827420"/>
    <w:rsid w:val="0082752D"/>
    <w:rsid w:val="00827A23"/>
    <w:rsid w:val="00827B54"/>
    <w:rsid w:val="00827C1F"/>
    <w:rsid w:val="008309AB"/>
    <w:rsid w:val="008309CF"/>
    <w:rsid w:val="00831070"/>
    <w:rsid w:val="00831161"/>
    <w:rsid w:val="00832492"/>
    <w:rsid w:val="008327FE"/>
    <w:rsid w:val="00832D7B"/>
    <w:rsid w:val="00832E0E"/>
    <w:rsid w:val="00833660"/>
    <w:rsid w:val="008340B4"/>
    <w:rsid w:val="00834142"/>
    <w:rsid w:val="0083457E"/>
    <w:rsid w:val="00835A29"/>
    <w:rsid w:val="00836100"/>
    <w:rsid w:val="008362F5"/>
    <w:rsid w:val="00836324"/>
    <w:rsid w:val="0083660F"/>
    <w:rsid w:val="00837472"/>
    <w:rsid w:val="0083748F"/>
    <w:rsid w:val="0083763C"/>
    <w:rsid w:val="0083767E"/>
    <w:rsid w:val="00837961"/>
    <w:rsid w:val="0084067F"/>
    <w:rsid w:val="008415D6"/>
    <w:rsid w:val="0084167B"/>
    <w:rsid w:val="00841689"/>
    <w:rsid w:val="00841A8D"/>
    <w:rsid w:val="00842179"/>
    <w:rsid w:val="008423E0"/>
    <w:rsid w:val="008426D1"/>
    <w:rsid w:val="00842DA0"/>
    <w:rsid w:val="008433C4"/>
    <w:rsid w:val="0084382B"/>
    <w:rsid w:val="00843E43"/>
    <w:rsid w:val="00844D1D"/>
    <w:rsid w:val="00844D6A"/>
    <w:rsid w:val="00845A2A"/>
    <w:rsid w:val="00845C06"/>
    <w:rsid w:val="00845F19"/>
    <w:rsid w:val="0084665E"/>
    <w:rsid w:val="00846E04"/>
    <w:rsid w:val="00846FFE"/>
    <w:rsid w:val="00847C16"/>
    <w:rsid w:val="00847DDC"/>
    <w:rsid w:val="00850447"/>
    <w:rsid w:val="00850E67"/>
    <w:rsid w:val="0085129D"/>
    <w:rsid w:val="00851321"/>
    <w:rsid w:val="00852D80"/>
    <w:rsid w:val="00853221"/>
    <w:rsid w:val="0085322B"/>
    <w:rsid w:val="0085335F"/>
    <w:rsid w:val="008533D9"/>
    <w:rsid w:val="0085384F"/>
    <w:rsid w:val="008539E6"/>
    <w:rsid w:val="00853A9D"/>
    <w:rsid w:val="00854904"/>
    <w:rsid w:val="00854EBF"/>
    <w:rsid w:val="00855073"/>
    <w:rsid w:val="008557DD"/>
    <w:rsid w:val="00855F05"/>
    <w:rsid w:val="0085662D"/>
    <w:rsid w:val="0085688A"/>
    <w:rsid w:val="00856970"/>
    <w:rsid w:val="0085710C"/>
    <w:rsid w:val="008603F1"/>
    <w:rsid w:val="00860CCA"/>
    <w:rsid w:val="008610AD"/>
    <w:rsid w:val="00861498"/>
    <w:rsid w:val="00861585"/>
    <w:rsid w:val="00861612"/>
    <w:rsid w:val="00861886"/>
    <w:rsid w:val="00861D36"/>
    <w:rsid w:val="00861FA0"/>
    <w:rsid w:val="00862B71"/>
    <w:rsid w:val="00863A0B"/>
    <w:rsid w:val="008640FF"/>
    <w:rsid w:val="00864538"/>
    <w:rsid w:val="00864749"/>
    <w:rsid w:val="00864DBC"/>
    <w:rsid w:val="00864DF0"/>
    <w:rsid w:val="00865385"/>
    <w:rsid w:val="008653DA"/>
    <w:rsid w:val="008654B2"/>
    <w:rsid w:val="00866B99"/>
    <w:rsid w:val="00867237"/>
    <w:rsid w:val="0086729A"/>
    <w:rsid w:val="008678E5"/>
    <w:rsid w:val="00867F8D"/>
    <w:rsid w:val="00870D76"/>
    <w:rsid w:val="00871ED9"/>
    <w:rsid w:val="00872131"/>
    <w:rsid w:val="008721AA"/>
    <w:rsid w:val="0087265A"/>
    <w:rsid w:val="00872A5D"/>
    <w:rsid w:val="008736D1"/>
    <w:rsid w:val="00873A8D"/>
    <w:rsid w:val="00873AC5"/>
    <w:rsid w:val="00873DAA"/>
    <w:rsid w:val="00874176"/>
    <w:rsid w:val="0087439E"/>
    <w:rsid w:val="008757B0"/>
    <w:rsid w:val="008757C1"/>
    <w:rsid w:val="00875EE0"/>
    <w:rsid w:val="008761A0"/>
    <w:rsid w:val="008775BA"/>
    <w:rsid w:val="00880928"/>
    <w:rsid w:val="008811F1"/>
    <w:rsid w:val="0088150B"/>
    <w:rsid w:val="0088167A"/>
    <w:rsid w:val="0088173D"/>
    <w:rsid w:val="00881E07"/>
    <w:rsid w:val="00882175"/>
    <w:rsid w:val="00882187"/>
    <w:rsid w:val="008826B8"/>
    <w:rsid w:val="00882D1E"/>
    <w:rsid w:val="00883DBB"/>
    <w:rsid w:val="00884780"/>
    <w:rsid w:val="00885AF3"/>
    <w:rsid w:val="00886C1C"/>
    <w:rsid w:val="00887198"/>
    <w:rsid w:val="0088741A"/>
    <w:rsid w:val="00887490"/>
    <w:rsid w:val="0088755C"/>
    <w:rsid w:val="00887AB8"/>
    <w:rsid w:val="008902D0"/>
    <w:rsid w:val="0089053A"/>
    <w:rsid w:val="0089077B"/>
    <w:rsid w:val="00890CF2"/>
    <w:rsid w:val="00891B93"/>
    <w:rsid w:val="008921C6"/>
    <w:rsid w:val="00892605"/>
    <w:rsid w:val="00892AB6"/>
    <w:rsid w:val="00893283"/>
    <w:rsid w:val="0089400B"/>
    <w:rsid w:val="00894D0D"/>
    <w:rsid w:val="00894FBA"/>
    <w:rsid w:val="00894FCF"/>
    <w:rsid w:val="00895ADB"/>
    <w:rsid w:val="00895BE8"/>
    <w:rsid w:val="00896A89"/>
    <w:rsid w:val="00896BC3"/>
    <w:rsid w:val="00897178"/>
    <w:rsid w:val="00897581"/>
    <w:rsid w:val="00897CB2"/>
    <w:rsid w:val="008A0B60"/>
    <w:rsid w:val="008A0BD6"/>
    <w:rsid w:val="008A1F9D"/>
    <w:rsid w:val="008A209F"/>
    <w:rsid w:val="008A218C"/>
    <w:rsid w:val="008A2461"/>
    <w:rsid w:val="008A312D"/>
    <w:rsid w:val="008A3B96"/>
    <w:rsid w:val="008A3C5D"/>
    <w:rsid w:val="008A3D0F"/>
    <w:rsid w:val="008A4551"/>
    <w:rsid w:val="008A47EB"/>
    <w:rsid w:val="008A4DF2"/>
    <w:rsid w:val="008A4FA3"/>
    <w:rsid w:val="008A5189"/>
    <w:rsid w:val="008A520E"/>
    <w:rsid w:val="008A522D"/>
    <w:rsid w:val="008A5AFB"/>
    <w:rsid w:val="008A618C"/>
    <w:rsid w:val="008A6430"/>
    <w:rsid w:val="008A66A2"/>
    <w:rsid w:val="008A792B"/>
    <w:rsid w:val="008B050F"/>
    <w:rsid w:val="008B0846"/>
    <w:rsid w:val="008B09BA"/>
    <w:rsid w:val="008B16F2"/>
    <w:rsid w:val="008B1CDB"/>
    <w:rsid w:val="008B2BC3"/>
    <w:rsid w:val="008B329D"/>
    <w:rsid w:val="008B333F"/>
    <w:rsid w:val="008B3391"/>
    <w:rsid w:val="008B3AFD"/>
    <w:rsid w:val="008B42BB"/>
    <w:rsid w:val="008B517B"/>
    <w:rsid w:val="008B5433"/>
    <w:rsid w:val="008B597F"/>
    <w:rsid w:val="008B601F"/>
    <w:rsid w:val="008B62F6"/>
    <w:rsid w:val="008B651B"/>
    <w:rsid w:val="008B6795"/>
    <w:rsid w:val="008B68EF"/>
    <w:rsid w:val="008B70F1"/>
    <w:rsid w:val="008B7106"/>
    <w:rsid w:val="008B7761"/>
    <w:rsid w:val="008B7E79"/>
    <w:rsid w:val="008C019C"/>
    <w:rsid w:val="008C0767"/>
    <w:rsid w:val="008C0999"/>
    <w:rsid w:val="008C0F71"/>
    <w:rsid w:val="008C1A7B"/>
    <w:rsid w:val="008C1EAE"/>
    <w:rsid w:val="008C26F5"/>
    <w:rsid w:val="008C2F5C"/>
    <w:rsid w:val="008C4084"/>
    <w:rsid w:val="008C4C0A"/>
    <w:rsid w:val="008C5A8B"/>
    <w:rsid w:val="008C5CB3"/>
    <w:rsid w:val="008C5DF0"/>
    <w:rsid w:val="008C6609"/>
    <w:rsid w:val="008C7DA4"/>
    <w:rsid w:val="008D042B"/>
    <w:rsid w:val="008D04AC"/>
    <w:rsid w:val="008D060B"/>
    <w:rsid w:val="008D0685"/>
    <w:rsid w:val="008D1006"/>
    <w:rsid w:val="008D1C64"/>
    <w:rsid w:val="008D1D9E"/>
    <w:rsid w:val="008D2929"/>
    <w:rsid w:val="008D3156"/>
    <w:rsid w:val="008D3259"/>
    <w:rsid w:val="008D3497"/>
    <w:rsid w:val="008D3D76"/>
    <w:rsid w:val="008D4727"/>
    <w:rsid w:val="008D52DE"/>
    <w:rsid w:val="008D55BE"/>
    <w:rsid w:val="008D68BC"/>
    <w:rsid w:val="008D6B77"/>
    <w:rsid w:val="008D7748"/>
    <w:rsid w:val="008E0959"/>
    <w:rsid w:val="008E2155"/>
    <w:rsid w:val="008E36FF"/>
    <w:rsid w:val="008E3F31"/>
    <w:rsid w:val="008E3FC5"/>
    <w:rsid w:val="008E4575"/>
    <w:rsid w:val="008E483A"/>
    <w:rsid w:val="008E4997"/>
    <w:rsid w:val="008E5059"/>
    <w:rsid w:val="008E5D2D"/>
    <w:rsid w:val="008E5FFF"/>
    <w:rsid w:val="008E60B1"/>
    <w:rsid w:val="008E6375"/>
    <w:rsid w:val="008E6E88"/>
    <w:rsid w:val="008E77BC"/>
    <w:rsid w:val="008E7F4A"/>
    <w:rsid w:val="008F031C"/>
    <w:rsid w:val="008F0780"/>
    <w:rsid w:val="008F0C59"/>
    <w:rsid w:val="008F0D71"/>
    <w:rsid w:val="008F122D"/>
    <w:rsid w:val="008F13DB"/>
    <w:rsid w:val="008F181C"/>
    <w:rsid w:val="008F1D9F"/>
    <w:rsid w:val="008F2070"/>
    <w:rsid w:val="008F2E04"/>
    <w:rsid w:val="008F400A"/>
    <w:rsid w:val="008F4903"/>
    <w:rsid w:val="008F5C9E"/>
    <w:rsid w:val="008F67A7"/>
    <w:rsid w:val="008F6811"/>
    <w:rsid w:val="008F7549"/>
    <w:rsid w:val="008F75CA"/>
    <w:rsid w:val="008F76FA"/>
    <w:rsid w:val="008F7AB0"/>
    <w:rsid w:val="008F7F73"/>
    <w:rsid w:val="0090009C"/>
    <w:rsid w:val="00900635"/>
    <w:rsid w:val="009010C4"/>
    <w:rsid w:val="00901993"/>
    <w:rsid w:val="00901F7B"/>
    <w:rsid w:val="00902622"/>
    <w:rsid w:val="0090265F"/>
    <w:rsid w:val="00902B03"/>
    <w:rsid w:val="00902DBD"/>
    <w:rsid w:val="009034AA"/>
    <w:rsid w:val="009039EF"/>
    <w:rsid w:val="009044DC"/>
    <w:rsid w:val="00905E6C"/>
    <w:rsid w:val="00905EC7"/>
    <w:rsid w:val="00906150"/>
    <w:rsid w:val="0090637E"/>
    <w:rsid w:val="00906CB4"/>
    <w:rsid w:val="0090715B"/>
    <w:rsid w:val="0090798C"/>
    <w:rsid w:val="00907EF4"/>
    <w:rsid w:val="009100B8"/>
    <w:rsid w:val="0091045E"/>
    <w:rsid w:val="0091067A"/>
    <w:rsid w:val="0091073C"/>
    <w:rsid w:val="00910BDA"/>
    <w:rsid w:val="00910EA6"/>
    <w:rsid w:val="00911363"/>
    <w:rsid w:val="00911676"/>
    <w:rsid w:val="00911ED7"/>
    <w:rsid w:val="009121DC"/>
    <w:rsid w:val="00913BDE"/>
    <w:rsid w:val="00915154"/>
    <w:rsid w:val="00915314"/>
    <w:rsid w:val="009154C3"/>
    <w:rsid w:val="009154DF"/>
    <w:rsid w:val="00915A59"/>
    <w:rsid w:val="00915DF5"/>
    <w:rsid w:val="00915ECD"/>
    <w:rsid w:val="00915F8B"/>
    <w:rsid w:val="009162E2"/>
    <w:rsid w:val="00916639"/>
    <w:rsid w:val="00916AA4"/>
    <w:rsid w:val="009170A2"/>
    <w:rsid w:val="0091748A"/>
    <w:rsid w:val="00917609"/>
    <w:rsid w:val="009202CD"/>
    <w:rsid w:val="009203C2"/>
    <w:rsid w:val="00920A85"/>
    <w:rsid w:val="00920E84"/>
    <w:rsid w:val="00921C0A"/>
    <w:rsid w:val="00922BD5"/>
    <w:rsid w:val="00922E7A"/>
    <w:rsid w:val="0092315B"/>
    <w:rsid w:val="00923D7B"/>
    <w:rsid w:val="00924607"/>
    <w:rsid w:val="009253EE"/>
    <w:rsid w:val="00925AE0"/>
    <w:rsid w:val="00925BC3"/>
    <w:rsid w:val="00925D12"/>
    <w:rsid w:val="009263C8"/>
    <w:rsid w:val="0092661A"/>
    <w:rsid w:val="009268F8"/>
    <w:rsid w:val="00927961"/>
    <w:rsid w:val="00927C20"/>
    <w:rsid w:val="00927CEC"/>
    <w:rsid w:val="00927FEC"/>
    <w:rsid w:val="00930327"/>
    <w:rsid w:val="00930447"/>
    <w:rsid w:val="00930CE0"/>
    <w:rsid w:val="00930F39"/>
    <w:rsid w:val="009312AD"/>
    <w:rsid w:val="0093133B"/>
    <w:rsid w:val="0093154A"/>
    <w:rsid w:val="00932416"/>
    <w:rsid w:val="009326AC"/>
    <w:rsid w:val="00932A23"/>
    <w:rsid w:val="00932DAA"/>
    <w:rsid w:val="00932F6E"/>
    <w:rsid w:val="009337EB"/>
    <w:rsid w:val="009338B6"/>
    <w:rsid w:val="00933B5B"/>
    <w:rsid w:val="009346BD"/>
    <w:rsid w:val="009346D2"/>
    <w:rsid w:val="009350A2"/>
    <w:rsid w:val="009351EB"/>
    <w:rsid w:val="0093584F"/>
    <w:rsid w:val="00935C31"/>
    <w:rsid w:val="00936455"/>
    <w:rsid w:val="009365F8"/>
    <w:rsid w:val="00936628"/>
    <w:rsid w:val="00937023"/>
    <w:rsid w:val="009372C8"/>
    <w:rsid w:val="0093734B"/>
    <w:rsid w:val="0094052F"/>
    <w:rsid w:val="0094191E"/>
    <w:rsid w:val="00941C65"/>
    <w:rsid w:val="00941EA1"/>
    <w:rsid w:val="00941F4D"/>
    <w:rsid w:val="00942055"/>
    <w:rsid w:val="009426CD"/>
    <w:rsid w:val="00942E14"/>
    <w:rsid w:val="00943280"/>
    <w:rsid w:val="009446E5"/>
    <w:rsid w:val="0094509B"/>
    <w:rsid w:val="00945115"/>
    <w:rsid w:val="00946707"/>
    <w:rsid w:val="0094695F"/>
    <w:rsid w:val="00947326"/>
    <w:rsid w:val="00947BA0"/>
    <w:rsid w:val="009505DA"/>
    <w:rsid w:val="009508F5"/>
    <w:rsid w:val="00950907"/>
    <w:rsid w:val="00950EA4"/>
    <w:rsid w:val="009514E8"/>
    <w:rsid w:val="009515E0"/>
    <w:rsid w:val="00951696"/>
    <w:rsid w:val="00951ABB"/>
    <w:rsid w:val="00951AEC"/>
    <w:rsid w:val="00951DAF"/>
    <w:rsid w:val="00951DEE"/>
    <w:rsid w:val="00952BFD"/>
    <w:rsid w:val="00952E15"/>
    <w:rsid w:val="00954CE3"/>
    <w:rsid w:val="00954F97"/>
    <w:rsid w:val="009558CD"/>
    <w:rsid w:val="00955A22"/>
    <w:rsid w:val="00955D6C"/>
    <w:rsid w:val="00956341"/>
    <w:rsid w:val="00956EEE"/>
    <w:rsid w:val="0095730E"/>
    <w:rsid w:val="00957B87"/>
    <w:rsid w:val="0096072F"/>
    <w:rsid w:val="009607A5"/>
    <w:rsid w:val="00960BF7"/>
    <w:rsid w:val="00961322"/>
    <w:rsid w:val="00961A13"/>
    <w:rsid w:val="00961C1C"/>
    <w:rsid w:val="00961F1D"/>
    <w:rsid w:val="00962800"/>
    <w:rsid w:val="00962A3E"/>
    <w:rsid w:val="00962F68"/>
    <w:rsid w:val="009631B2"/>
    <w:rsid w:val="00963460"/>
    <w:rsid w:val="00963943"/>
    <w:rsid w:val="00964B16"/>
    <w:rsid w:val="009653C9"/>
    <w:rsid w:val="009659B2"/>
    <w:rsid w:val="0096641B"/>
    <w:rsid w:val="009667E2"/>
    <w:rsid w:val="00966E47"/>
    <w:rsid w:val="009672A4"/>
    <w:rsid w:val="0096789D"/>
    <w:rsid w:val="00967EA3"/>
    <w:rsid w:val="00967FDA"/>
    <w:rsid w:val="00970458"/>
    <w:rsid w:val="00970880"/>
    <w:rsid w:val="0097156C"/>
    <w:rsid w:val="00971F5F"/>
    <w:rsid w:val="00971F75"/>
    <w:rsid w:val="00972596"/>
    <w:rsid w:val="00972BE5"/>
    <w:rsid w:val="00972DAF"/>
    <w:rsid w:val="009737AC"/>
    <w:rsid w:val="00973909"/>
    <w:rsid w:val="00973E2E"/>
    <w:rsid w:val="00973ECB"/>
    <w:rsid w:val="00974247"/>
    <w:rsid w:val="00974804"/>
    <w:rsid w:val="009751E0"/>
    <w:rsid w:val="009756FD"/>
    <w:rsid w:val="009759BE"/>
    <w:rsid w:val="00975AB0"/>
    <w:rsid w:val="00975BEB"/>
    <w:rsid w:val="00976AC1"/>
    <w:rsid w:val="00976F71"/>
    <w:rsid w:val="00976FBE"/>
    <w:rsid w:val="0097714A"/>
    <w:rsid w:val="00977A93"/>
    <w:rsid w:val="00980297"/>
    <w:rsid w:val="00980303"/>
    <w:rsid w:val="00980529"/>
    <w:rsid w:val="00980531"/>
    <w:rsid w:val="00980936"/>
    <w:rsid w:val="00981C50"/>
    <w:rsid w:val="00982D7E"/>
    <w:rsid w:val="009831E2"/>
    <w:rsid w:val="00983251"/>
    <w:rsid w:val="0098367C"/>
    <w:rsid w:val="00983968"/>
    <w:rsid w:val="009839F0"/>
    <w:rsid w:val="00984123"/>
    <w:rsid w:val="009842C1"/>
    <w:rsid w:val="00984763"/>
    <w:rsid w:val="00984BB8"/>
    <w:rsid w:val="00984D62"/>
    <w:rsid w:val="0098556C"/>
    <w:rsid w:val="009855DD"/>
    <w:rsid w:val="0098602F"/>
    <w:rsid w:val="0098615C"/>
    <w:rsid w:val="009861F1"/>
    <w:rsid w:val="00986A14"/>
    <w:rsid w:val="00986A40"/>
    <w:rsid w:val="0099040F"/>
    <w:rsid w:val="00990432"/>
    <w:rsid w:val="00990A46"/>
    <w:rsid w:val="00991224"/>
    <w:rsid w:val="009917A2"/>
    <w:rsid w:val="0099188F"/>
    <w:rsid w:val="00991BDC"/>
    <w:rsid w:val="009925BA"/>
    <w:rsid w:val="009927EF"/>
    <w:rsid w:val="00992ECE"/>
    <w:rsid w:val="009939DC"/>
    <w:rsid w:val="00993FA7"/>
    <w:rsid w:val="00994264"/>
    <w:rsid w:val="009946B6"/>
    <w:rsid w:val="00994BF0"/>
    <w:rsid w:val="009952F8"/>
    <w:rsid w:val="00995AAC"/>
    <w:rsid w:val="00995AF7"/>
    <w:rsid w:val="00996A3E"/>
    <w:rsid w:val="00996D23"/>
    <w:rsid w:val="00997013"/>
    <w:rsid w:val="00997AD1"/>
    <w:rsid w:val="00997E85"/>
    <w:rsid w:val="00997E96"/>
    <w:rsid w:val="00997F6A"/>
    <w:rsid w:val="009A0342"/>
    <w:rsid w:val="009A1ABE"/>
    <w:rsid w:val="009A1B9A"/>
    <w:rsid w:val="009A2725"/>
    <w:rsid w:val="009A29E2"/>
    <w:rsid w:val="009A2FE7"/>
    <w:rsid w:val="009A4618"/>
    <w:rsid w:val="009A536C"/>
    <w:rsid w:val="009A5521"/>
    <w:rsid w:val="009A5EB8"/>
    <w:rsid w:val="009A61A0"/>
    <w:rsid w:val="009A676E"/>
    <w:rsid w:val="009A68B1"/>
    <w:rsid w:val="009A69D7"/>
    <w:rsid w:val="009A6F29"/>
    <w:rsid w:val="009A75BF"/>
    <w:rsid w:val="009B045D"/>
    <w:rsid w:val="009B059C"/>
    <w:rsid w:val="009B0E43"/>
    <w:rsid w:val="009B1473"/>
    <w:rsid w:val="009B1DB3"/>
    <w:rsid w:val="009B2265"/>
    <w:rsid w:val="009B26F1"/>
    <w:rsid w:val="009B28E4"/>
    <w:rsid w:val="009B2D39"/>
    <w:rsid w:val="009B2D3D"/>
    <w:rsid w:val="009B36DB"/>
    <w:rsid w:val="009B405B"/>
    <w:rsid w:val="009B4920"/>
    <w:rsid w:val="009B5136"/>
    <w:rsid w:val="009B5308"/>
    <w:rsid w:val="009B55C4"/>
    <w:rsid w:val="009B5628"/>
    <w:rsid w:val="009B571B"/>
    <w:rsid w:val="009B58B5"/>
    <w:rsid w:val="009B5B9D"/>
    <w:rsid w:val="009B5D15"/>
    <w:rsid w:val="009B5E1F"/>
    <w:rsid w:val="009B64CA"/>
    <w:rsid w:val="009B6EB1"/>
    <w:rsid w:val="009B73C3"/>
    <w:rsid w:val="009B75FE"/>
    <w:rsid w:val="009C018C"/>
    <w:rsid w:val="009C0F3F"/>
    <w:rsid w:val="009C13B0"/>
    <w:rsid w:val="009C176A"/>
    <w:rsid w:val="009C1C8A"/>
    <w:rsid w:val="009C2427"/>
    <w:rsid w:val="009C257F"/>
    <w:rsid w:val="009C2826"/>
    <w:rsid w:val="009C33C8"/>
    <w:rsid w:val="009C35DD"/>
    <w:rsid w:val="009C3922"/>
    <w:rsid w:val="009C4F2A"/>
    <w:rsid w:val="009C62B8"/>
    <w:rsid w:val="009C6602"/>
    <w:rsid w:val="009C6C0A"/>
    <w:rsid w:val="009C6FA0"/>
    <w:rsid w:val="009C7186"/>
    <w:rsid w:val="009C72C6"/>
    <w:rsid w:val="009C7316"/>
    <w:rsid w:val="009C74B9"/>
    <w:rsid w:val="009D09A8"/>
    <w:rsid w:val="009D0AC3"/>
    <w:rsid w:val="009D0B4E"/>
    <w:rsid w:val="009D0BE9"/>
    <w:rsid w:val="009D27C2"/>
    <w:rsid w:val="009D27EF"/>
    <w:rsid w:val="009D29F1"/>
    <w:rsid w:val="009D3187"/>
    <w:rsid w:val="009D3198"/>
    <w:rsid w:val="009D324B"/>
    <w:rsid w:val="009D35BF"/>
    <w:rsid w:val="009D3EC2"/>
    <w:rsid w:val="009D537A"/>
    <w:rsid w:val="009D55AF"/>
    <w:rsid w:val="009D5BCB"/>
    <w:rsid w:val="009D60FF"/>
    <w:rsid w:val="009D709E"/>
    <w:rsid w:val="009D70CC"/>
    <w:rsid w:val="009D7214"/>
    <w:rsid w:val="009D755F"/>
    <w:rsid w:val="009D75A6"/>
    <w:rsid w:val="009D7A98"/>
    <w:rsid w:val="009D7CCA"/>
    <w:rsid w:val="009D7FD0"/>
    <w:rsid w:val="009E0ABB"/>
    <w:rsid w:val="009E11F6"/>
    <w:rsid w:val="009E1358"/>
    <w:rsid w:val="009E159C"/>
    <w:rsid w:val="009E23B4"/>
    <w:rsid w:val="009E37F4"/>
    <w:rsid w:val="009E3999"/>
    <w:rsid w:val="009E39E7"/>
    <w:rsid w:val="009E3C8A"/>
    <w:rsid w:val="009E3FB4"/>
    <w:rsid w:val="009E42B2"/>
    <w:rsid w:val="009E4789"/>
    <w:rsid w:val="009E5A7E"/>
    <w:rsid w:val="009E5D2A"/>
    <w:rsid w:val="009E5E67"/>
    <w:rsid w:val="009E6686"/>
    <w:rsid w:val="009E6738"/>
    <w:rsid w:val="009E6B05"/>
    <w:rsid w:val="009E77C2"/>
    <w:rsid w:val="009E7A29"/>
    <w:rsid w:val="009E7C59"/>
    <w:rsid w:val="009E7DA2"/>
    <w:rsid w:val="009F030A"/>
    <w:rsid w:val="009F08AC"/>
    <w:rsid w:val="009F0B5E"/>
    <w:rsid w:val="009F1312"/>
    <w:rsid w:val="009F17C0"/>
    <w:rsid w:val="009F1DAE"/>
    <w:rsid w:val="009F2296"/>
    <w:rsid w:val="009F2A96"/>
    <w:rsid w:val="009F2F96"/>
    <w:rsid w:val="009F36B2"/>
    <w:rsid w:val="009F373F"/>
    <w:rsid w:val="009F38A5"/>
    <w:rsid w:val="009F3D18"/>
    <w:rsid w:val="009F4700"/>
    <w:rsid w:val="009F5AD9"/>
    <w:rsid w:val="009F5F8E"/>
    <w:rsid w:val="009F6EDE"/>
    <w:rsid w:val="009F6FC0"/>
    <w:rsid w:val="009F7047"/>
    <w:rsid w:val="009F70C1"/>
    <w:rsid w:val="009F7943"/>
    <w:rsid w:val="00A01040"/>
    <w:rsid w:val="00A0135E"/>
    <w:rsid w:val="00A015A7"/>
    <w:rsid w:val="00A01AAE"/>
    <w:rsid w:val="00A01C27"/>
    <w:rsid w:val="00A01E9A"/>
    <w:rsid w:val="00A024CC"/>
    <w:rsid w:val="00A02D92"/>
    <w:rsid w:val="00A02FCC"/>
    <w:rsid w:val="00A034AF"/>
    <w:rsid w:val="00A035AE"/>
    <w:rsid w:val="00A03868"/>
    <w:rsid w:val="00A03A25"/>
    <w:rsid w:val="00A03B34"/>
    <w:rsid w:val="00A03D78"/>
    <w:rsid w:val="00A041AA"/>
    <w:rsid w:val="00A04E2D"/>
    <w:rsid w:val="00A04E7E"/>
    <w:rsid w:val="00A04F56"/>
    <w:rsid w:val="00A055A4"/>
    <w:rsid w:val="00A05835"/>
    <w:rsid w:val="00A05BCB"/>
    <w:rsid w:val="00A06013"/>
    <w:rsid w:val="00A06A3D"/>
    <w:rsid w:val="00A06E27"/>
    <w:rsid w:val="00A10CD9"/>
    <w:rsid w:val="00A10EBB"/>
    <w:rsid w:val="00A11913"/>
    <w:rsid w:val="00A11AA8"/>
    <w:rsid w:val="00A11C9B"/>
    <w:rsid w:val="00A123E6"/>
    <w:rsid w:val="00A12678"/>
    <w:rsid w:val="00A12CB7"/>
    <w:rsid w:val="00A139C1"/>
    <w:rsid w:val="00A13FD4"/>
    <w:rsid w:val="00A140E4"/>
    <w:rsid w:val="00A141E4"/>
    <w:rsid w:val="00A146A9"/>
    <w:rsid w:val="00A14A58"/>
    <w:rsid w:val="00A15883"/>
    <w:rsid w:val="00A15934"/>
    <w:rsid w:val="00A1601F"/>
    <w:rsid w:val="00A160C7"/>
    <w:rsid w:val="00A167C2"/>
    <w:rsid w:val="00A17161"/>
    <w:rsid w:val="00A172CE"/>
    <w:rsid w:val="00A1774A"/>
    <w:rsid w:val="00A17840"/>
    <w:rsid w:val="00A17F21"/>
    <w:rsid w:val="00A2044E"/>
    <w:rsid w:val="00A20821"/>
    <w:rsid w:val="00A2086E"/>
    <w:rsid w:val="00A2153A"/>
    <w:rsid w:val="00A21EDA"/>
    <w:rsid w:val="00A228B4"/>
    <w:rsid w:val="00A22A62"/>
    <w:rsid w:val="00A22D6D"/>
    <w:rsid w:val="00A23284"/>
    <w:rsid w:val="00A23492"/>
    <w:rsid w:val="00A236C5"/>
    <w:rsid w:val="00A23C1F"/>
    <w:rsid w:val="00A23ED6"/>
    <w:rsid w:val="00A24147"/>
    <w:rsid w:val="00A24802"/>
    <w:rsid w:val="00A25109"/>
    <w:rsid w:val="00A256A3"/>
    <w:rsid w:val="00A25EF9"/>
    <w:rsid w:val="00A25FAC"/>
    <w:rsid w:val="00A2644D"/>
    <w:rsid w:val="00A26734"/>
    <w:rsid w:val="00A26C38"/>
    <w:rsid w:val="00A26FE7"/>
    <w:rsid w:val="00A27111"/>
    <w:rsid w:val="00A274CB"/>
    <w:rsid w:val="00A274D4"/>
    <w:rsid w:val="00A27D9B"/>
    <w:rsid w:val="00A31CB0"/>
    <w:rsid w:val="00A32B2B"/>
    <w:rsid w:val="00A32D31"/>
    <w:rsid w:val="00A332D3"/>
    <w:rsid w:val="00A33535"/>
    <w:rsid w:val="00A3412D"/>
    <w:rsid w:val="00A344DC"/>
    <w:rsid w:val="00A34D31"/>
    <w:rsid w:val="00A35D16"/>
    <w:rsid w:val="00A366F8"/>
    <w:rsid w:val="00A37A74"/>
    <w:rsid w:val="00A37AE7"/>
    <w:rsid w:val="00A403D4"/>
    <w:rsid w:val="00A4077B"/>
    <w:rsid w:val="00A407F8"/>
    <w:rsid w:val="00A40C40"/>
    <w:rsid w:val="00A40DF9"/>
    <w:rsid w:val="00A41049"/>
    <w:rsid w:val="00A41409"/>
    <w:rsid w:val="00A417B6"/>
    <w:rsid w:val="00A419C8"/>
    <w:rsid w:val="00A42B41"/>
    <w:rsid w:val="00A42D34"/>
    <w:rsid w:val="00A43014"/>
    <w:rsid w:val="00A4329F"/>
    <w:rsid w:val="00A43A68"/>
    <w:rsid w:val="00A43B73"/>
    <w:rsid w:val="00A4438F"/>
    <w:rsid w:val="00A443E0"/>
    <w:rsid w:val="00A44A25"/>
    <w:rsid w:val="00A44BFA"/>
    <w:rsid w:val="00A44CA0"/>
    <w:rsid w:val="00A44F6D"/>
    <w:rsid w:val="00A451D8"/>
    <w:rsid w:val="00A458CB"/>
    <w:rsid w:val="00A45AF8"/>
    <w:rsid w:val="00A45EEE"/>
    <w:rsid w:val="00A4613F"/>
    <w:rsid w:val="00A468D4"/>
    <w:rsid w:val="00A47541"/>
    <w:rsid w:val="00A47D86"/>
    <w:rsid w:val="00A47E81"/>
    <w:rsid w:val="00A506AB"/>
    <w:rsid w:val="00A50B92"/>
    <w:rsid w:val="00A51E7E"/>
    <w:rsid w:val="00A52738"/>
    <w:rsid w:val="00A52BF4"/>
    <w:rsid w:val="00A53426"/>
    <w:rsid w:val="00A5346C"/>
    <w:rsid w:val="00A540B8"/>
    <w:rsid w:val="00A5476A"/>
    <w:rsid w:val="00A54B9A"/>
    <w:rsid w:val="00A55554"/>
    <w:rsid w:val="00A55941"/>
    <w:rsid w:val="00A5612A"/>
    <w:rsid w:val="00A561E8"/>
    <w:rsid w:val="00A563CE"/>
    <w:rsid w:val="00A57367"/>
    <w:rsid w:val="00A574D2"/>
    <w:rsid w:val="00A57ABC"/>
    <w:rsid w:val="00A600E5"/>
    <w:rsid w:val="00A607AC"/>
    <w:rsid w:val="00A60BBA"/>
    <w:rsid w:val="00A60DA9"/>
    <w:rsid w:val="00A616C6"/>
    <w:rsid w:val="00A62155"/>
    <w:rsid w:val="00A62523"/>
    <w:rsid w:val="00A629C3"/>
    <w:rsid w:val="00A62EFF"/>
    <w:rsid w:val="00A6381D"/>
    <w:rsid w:val="00A639E9"/>
    <w:rsid w:val="00A63A09"/>
    <w:rsid w:val="00A64A21"/>
    <w:rsid w:val="00A64BD7"/>
    <w:rsid w:val="00A64C70"/>
    <w:rsid w:val="00A65183"/>
    <w:rsid w:val="00A65201"/>
    <w:rsid w:val="00A66323"/>
    <w:rsid w:val="00A66598"/>
    <w:rsid w:val="00A66F1F"/>
    <w:rsid w:val="00A674AC"/>
    <w:rsid w:val="00A678CB"/>
    <w:rsid w:val="00A67D81"/>
    <w:rsid w:val="00A70118"/>
    <w:rsid w:val="00A701EA"/>
    <w:rsid w:val="00A7083A"/>
    <w:rsid w:val="00A70E8A"/>
    <w:rsid w:val="00A70E8E"/>
    <w:rsid w:val="00A7122C"/>
    <w:rsid w:val="00A71DC5"/>
    <w:rsid w:val="00A722D4"/>
    <w:rsid w:val="00A72C91"/>
    <w:rsid w:val="00A732FD"/>
    <w:rsid w:val="00A73763"/>
    <w:rsid w:val="00A744DE"/>
    <w:rsid w:val="00A74918"/>
    <w:rsid w:val="00A749D8"/>
    <w:rsid w:val="00A75D19"/>
    <w:rsid w:val="00A76727"/>
    <w:rsid w:val="00A76969"/>
    <w:rsid w:val="00A76B4B"/>
    <w:rsid w:val="00A76DCF"/>
    <w:rsid w:val="00A7704E"/>
    <w:rsid w:val="00A772CF"/>
    <w:rsid w:val="00A7741E"/>
    <w:rsid w:val="00A774BD"/>
    <w:rsid w:val="00A8026A"/>
    <w:rsid w:val="00A80444"/>
    <w:rsid w:val="00A8047C"/>
    <w:rsid w:val="00A80A52"/>
    <w:rsid w:val="00A80A5D"/>
    <w:rsid w:val="00A813E8"/>
    <w:rsid w:val="00A8149D"/>
    <w:rsid w:val="00A81524"/>
    <w:rsid w:val="00A81AE2"/>
    <w:rsid w:val="00A8226D"/>
    <w:rsid w:val="00A8260C"/>
    <w:rsid w:val="00A826F9"/>
    <w:rsid w:val="00A829BD"/>
    <w:rsid w:val="00A832B9"/>
    <w:rsid w:val="00A83311"/>
    <w:rsid w:val="00A835EC"/>
    <w:rsid w:val="00A854A7"/>
    <w:rsid w:val="00A8562A"/>
    <w:rsid w:val="00A857B2"/>
    <w:rsid w:val="00A85835"/>
    <w:rsid w:val="00A85B37"/>
    <w:rsid w:val="00A869EF"/>
    <w:rsid w:val="00A878D9"/>
    <w:rsid w:val="00A87945"/>
    <w:rsid w:val="00A879F6"/>
    <w:rsid w:val="00A87A65"/>
    <w:rsid w:val="00A9089D"/>
    <w:rsid w:val="00A90B8F"/>
    <w:rsid w:val="00A90E7F"/>
    <w:rsid w:val="00A9171B"/>
    <w:rsid w:val="00A9177C"/>
    <w:rsid w:val="00A91C66"/>
    <w:rsid w:val="00A93FF9"/>
    <w:rsid w:val="00A94564"/>
    <w:rsid w:val="00A94B7F"/>
    <w:rsid w:val="00A94F30"/>
    <w:rsid w:val="00A94F80"/>
    <w:rsid w:val="00A95309"/>
    <w:rsid w:val="00A964F2"/>
    <w:rsid w:val="00A973C7"/>
    <w:rsid w:val="00A97F18"/>
    <w:rsid w:val="00AA0105"/>
    <w:rsid w:val="00AA02F7"/>
    <w:rsid w:val="00AA075F"/>
    <w:rsid w:val="00AA07D1"/>
    <w:rsid w:val="00AA0DE8"/>
    <w:rsid w:val="00AA1286"/>
    <w:rsid w:val="00AA135F"/>
    <w:rsid w:val="00AA1E00"/>
    <w:rsid w:val="00AA26CA"/>
    <w:rsid w:val="00AA2A60"/>
    <w:rsid w:val="00AA32EA"/>
    <w:rsid w:val="00AA3535"/>
    <w:rsid w:val="00AA3913"/>
    <w:rsid w:val="00AA3978"/>
    <w:rsid w:val="00AA3AA9"/>
    <w:rsid w:val="00AA44C5"/>
    <w:rsid w:val="00AA4A86"/>
    <w:rsid w:val="00AA4B72"/>
    <w:rsid w:val="00AA4CC3"/>
    <w:rsid w:val="00AA4CDF"/>
    <w:rsid w:val="00AA4E66"/>
    <w:rsid w:val="00AA5163"/>
    <w:rsid w:val="00AA523F"/>
    <w:rsid w:val="00AA5295"/>
    <w:rsid w:val="00AA54BD"/>
    <w:rsid w:val="00AA5C7D"/>
    <w:rsid w:val="00AA5D30"/>
    <w:rsid w:val="00AA6F8E"/>
    <w:rsid w:val="00AB050C"/>
    <w:rsid w:val="00AB180D"/>
    <w:rsid w:val="00AB1BD8"/>
    <w:rsid w:val="00AB1C5D"/>
    <w:rsid w:val="00AB1D06"/>
    <w:rsid w:val="00AB2B0F"/>
    <w:rsid w:val="00AB3165"/>
    <w:rsid w:val="00AB32F8"/>
    <w:rsid w:val="00AB3820"/>
    <w:rsid w:val="00AB3E2F"/>
    <w:rsid w:val="00AB402C"/>
    <w:rsid w:val="00AB4158"/>
    <w:rsid w:val="00AB4621"/>
    <w:rsid w:val="00AB4A7A"/>
    <w:rsid w:val="00AB4C5D"/>
    <w:rsid w:val="00AB510D"/>
    <w:rsid w:val="00AB5353"/>
    <w:rsid w:val="00AB5851"/>
    <w:rsid w:val="00AB5DEE"/>
    <w:rsid w:val="00AB624E"/>
    <w:rsid w:val="00AB67D3"/>
    <w:rsid w:val="00AB726F"/>
    <w:rsid w:val="00AB73D4"/>
    <w:rsid w:val="00AB7AB9"/>
    <w:rsid w:val="00AB7B2C"/>
    <w:rsid w:val="00AC07CA"/>
    <w:rsid w:val="00AC0A0A"/>
    <w:rsid w:val="00AC0DB8"/>
    <w:rsid w:val="00AC13D3"/>
    <w:rsid w:val="00AC1523"/>
    <w:rsid w:val="00AC179E"/>
    <w:rsid w:val="00AC1C06"/>
    <w:rsid w:val="00AC212D"/>
    <w:rsid w:val="00AC21E5"/>
    <w:rsid w:val="00AC255C"/>
    <w:rsid w:val="00AC473E"/>
    <w:rsid w:val="00AC49C3"/>
    <w:rsid w:val="00AC4B3F"/>
    <w:rsid w:val="00AC4DAB"/>
    <w:rsid w:val="00AC4F8A"/>
    <w:rsid w:val="00AC540E"/>
    <w:rsid w:val="00AC5957"/>
    <w:rsid w:val="00AC5A36"/>
    <w:rsid w:val="00AC5AC0"/>
    <w:rsid w:val="00AC5F7B"/>
    <w:rsid w:val="00AC61D4"/>
    <w:rsid w:val="00AC6B82"/>
    <w:rsid w:val="00AC6E70"/>
    <w:rsid w:val="00AC710A"/>
    <w:rsid w:val="00AC75F0"/>
    <w:rsid w:val="00AC77A8"/>
    <w:rsid w:val="00AC7890"/>
    <w:rsid w:val="00AC7DA1"/>
    <w:rsid w:val="00AD06CC"/>
    <w:rsid w:val="00AD085D"/>
    <w:rsid w:val="00AD0993"/>
    <w:rsid w:val="00AD157E"/>
    <w:rsid w:val="00AD2346"/>
    <w:rsid w:val="00AD251B"/>
    <w:rsid w:val="00AD2A00"/>
    <w:rsid w:val="00AD2B03"/>
    <w:rsid w:val="00AD2CED"/>
    <w:rsid w:val="00AD2E06"/>
    <w:rsid w:val="00AD3FDC"/>
    <w:rsid w:val="00AD4739"/>
    <w:rsid w:val="00AD4D70"/>
    <w:rsid w:val="00AD5983"/>
    <w:rsid w:val="00AD5B38"/>
    <w:rsid w:val="00AD5BCF"/>
    <w:rsid w:val="00AD6151"/>
    <w:rsid w:val="00AD6328"/>
    <w:rsid w:val="00AD6451"/>
    <w:rsid w:val="00AD68B2"/>
    <w:rsid w:val="00AD69C5"/>
    <w:rsid w:val="00AD769B"/>
    <w:rsid w:val="00AD7DAC"/>
    <w:rsid w:val="00AD7EC4"/>
    <w:rsid w:val="00AE0701"/>
    <w:rsid w:val="00AE0C89"/>
    <w:rsid w:val="00AE1359"/>
    <w:rsid w:val="00AE14B5"/>
    <w:rsid w:val="00AE20AD"/>
    <w:rsid w:val="00AE22C0"/>
    <w:rsid w:val="00AE2DF0"/>
    <w:rsid w:val="00AE2E4C"/>
    <w:rsid w:val="00AE3212"/>
    <w:rsid w:val="00AE3DB6"/>
    <w:rsid w:val="00AE3F8D"/>
    <w:rsid w:val="00AE40C5"/>
    <w:rsid w:val="00AE5180"/>
    <w:rsid w:val="00AE5452"/>
    <w:rsid w:val="00AE5C38"/>
    <w:rsid w:val="00AE5E7F"/>
    <w:rsid w:val="00AE6D5C"/>
    <w:rsid w:val="00AE6FE6"/>
    <w:rsid w:val="00AE72DA"/>
    <w:rsid w:val="00AE7E82"/>
    <w:rsid w:val="00AF010E"/>
    <w:rsid w:val="00AF0293"/>
    <w:rsid w:val="00AF0557"/>
    <w:rsid w:val="00AF0D59"/>
    <w:rsid w:val="00AF2031"/>
    <w:rsid w:val="00AF2A4E"/>
    <w:rsid w:val="00AF3135"/>
    <w:rsid w:val="00AF3575"/>
    <w:rsid w:val="00AF39B7"/>
    <w:rsid w:val="00AF3C7F"/>
    <w:rsid w:val="00AF3CFD"/>
    <w:rsid w:val="00AF518D"/>
    <w:rsid w:val="00AF51B3"/>
    <w:rsid w:val="00AF5915"/>
    <w:rsid w:val="00AF6081"/>
    <w:rsid w:val="00AF615C"/>
    <w:rsid w:val="00AF6953"/>
    <w:rsid w:val="00AF7ADE"/>
    <w:rsid w:val="00B015B8"/>
    <w:rsid w:val="00B018AB"/>
    <w:rsid w:val="00B01D41"/>
    <w:rsid w:val="00B020AA"/>
    <w:rsid w:val="00B02260"/>
    <w:rsid w:val="00B0378E"/>
    <w:rsid w:val="00B037DE"/>
    <w:rsid w:val="00B0423D"/>
    <w:rsid w:val="00B05468"/>
    <w:rsid w:val="00B06874"/>
    <w:rsid w:val="00B06D9D"/>
    <w:rsid w:val="00B06E1F"/>
    <w:rsid w:val="00B0765B"/>
    <w:rsid w:val="00B076AB"/>
    <w:rsid w:val="00B077AD"/>
    <w:rsid w:val="00B07C61"/>
    <w:rsid w:val="00B10AFF"/>
    <w:rsid w:val="00B10CB3"/>
    <w:rsid w:val="00B11643"/>
    <w:rsid w:val="00B12413"/>
    <w:rsid w:val="00B1277C"/>
    <w:rsid w:val="00B129C9"/>
    <w:rsid w:val="00B12CC7"/>
    <w:rsid w:val="00B13F04"/>
    <w:rsid w:val="00B151F9"/>
    <w:rsid w:val="00B1598B"/>
    <w:rsid w:val="00B15FEF"/>
    <w:rsid w:val="00B1628D"/>
    <w:rsid w:val="00B16A23"/>
    <w:rsid w:val="00B17255"/>
    <w:rsid w:val="00B17266"/>
    <w:rsid w:val="00B1763B"/>
    <w:rsid w:val="00B17975"/>
    <w:rsid w:val="00B200AF"/>
    <w:rsid w:val="00B20FF2"/>
    <w:rsid w:val="00B21568"/>
    <w:rsid w:val="00B2186E"/>
    <w:rsid w:val="00B22178"/>
    <w:rsid w:val="00B2344E"/>
    <w:rsid w:val="00B23C1E"/>
    <w:rsid w:val="00B23C3D"/>
    <w:rsid w:val="00B24E51"/>
    <w:rsid w:val="00B25692"/>
    <w:rsid w:val="00B25911"/>
    <w:rsid w:val="00B25FA9"/>
    <w:rsid w:val="00B270A3"/>
    <w:rsid w:val="00B27488"/>
    <w:rsid w:val="00B3072D"/>
    <w:rsid w:val="00B3089A"/>
    <w:rsid w:val="00B3158E"/>
    <w:rsid w:val="00B31724"/>
    <w:rsid w:val="00B31CE7"/>
    <w:rsid w:val="00B32865"/>
    <w:rsid w:val="00B32EDB"/>
    <w:rsid w:val="00B33040"/>
    <w:rsid w:val="00B33CC5"/>
    <w:rsid w:val="00B343A9"/>
    <w:rsid w:val="00B345DC"/>
    <w:rsid w:val="00B35188"/>
    <w:rsid w:val="00B3539F"/>
    <w:rsid w:val="00B35492"/>
    <w:rsid w:val="00B355D4"/>
    <w:rsid w:val="00B35E84"/>
    <w:rsid w:val="00B3676B"/>
    <w:rsid w:val="00B36A42"/>
    <w:rsid w:val="00B36F8E"/>
    <w:rsid w:val="00B37236"/>
    <w:rsid w:val="00B37463"/>
    <w:rsid w:val="00B37682"/>
    <w:rsid w:val="00B377E8"/>
    <w:rsid w:val="00B40C72"/>
    <w:rsid w:val="00B414EF"/>
    <w:rsid w:val="00B41A79"/>
    <w:rsid w:val="00B41C1E"/>
    <w:rsid w:val="00B41C34"/>
    <w:rsid w:val="00B42111"/>
    <w:rsid w:val="00B423AD"/>
    <w:rsid w:val="00B4274F"/>
    <w:rsid w:val="00B4294E"/>
    <w:rsid w:val="00B42B23"/>
    <w:rsid w:val="00B42F74"/>
    <w:rsid w:val="00B4328D"/>
    <w:rsid w:val="00B4338F"/>
    <w:rsid w:val="00B440CD"/>
    <w:rsid w:val="00B44C0E"/>
    <w:rsid w:val="00B45072"/>
    <w:rsid w:val="00B450F0"/>
    <w:rsid w:val="00B4567A"/>
    <w:rsid w:val="00B4580F"/>
    <w:rsid w:val="00B45BAE"/>
    <w:rsid w:val="00B466F3"/>
    <w:rsid w:val="00B46B40"/>
    <w:rsid w:val="00B46F39"/>
    <w:rsid w:val="00B46FC7"/>
    <w:rsid w:val="00B472C8"/>
    <w:rsid w:val="00B474F0"/>
    <w:rsid w:val="00B4753E"/>
    <w:rsid w:val="00B4789C"/>
    <w:rsid w:val="00B500B4"/>
    <w:rsid w:val="00B50317"/>
    <w:rsid w:val="00B5154D"/>
    <w:rsid w:val="00B520E9"/>
    <w:rsid w:val="00B52E71"/>
    <w:rsid w:val="00B53397"/>
    <w:rsid w:val="00B53BF9"/>
    <w:rsid w:val="00B53FB9"/>
    <w:rsid w:val="00B54AD1"/>
    <w:rsid w:val="00B54EED"/>
    <w:rsid w:val="00B5505C"/>
    <w:rsid w:val="00B55369"/>
    <w:rsid w:val="00B555E7"/>
    <w:rsid w:val="00B556DF"/>
    <w:rsid w:val="00B5596B"/>
    <w:rsid w:val="00B55C51"/>
    <w:rsid w:val="00B5649D"/>
    <w:rsid w:val="00B5656B"/>
    <w:rsid w:val="00B569B8"/>
    <w:rsid w:val="00B569D8"/>
    <w:rsid w:val="00B56E0D"/>
    <w:rsid w:val="00B56FF8"/>
    <w:rsid w:val="00B6077B"/>
    <w:rsid w:val="00B60D95"/>
    <w:rsid w:val="00B6130E"/>
    <w:rsid w:val="00B61936"/>
    <w:rsid w:val="00B61D63"/>
    <w:rsid w:val="00B6216D"/>
    <w:rsid w:val="00B62265"/>
    <w:rsid w:val="00B62501"/>
    <w:rsid w:val="00B62B0A"/>
    <w:rsid w:val="00B631B6"/>
    <w:rsid w:val="00B6354F"/>
    <w:rsid w:val="00B639DC"/>
    <w:rsid w:val="00B64A1B"/>
    <w:rsid w:val="00B64C8E"/>
    <w:rsid w:val="00B64EB4"/>
    <w:rsid w:val="00B65678"/>
    <w:rsid w:val="00B65D62"/>
    <w:rsid w:val="00B66173"/>
    <w:rsid w:val="00B66FF8"/>
    <w:rsid w:val="00B67154"/>
    <w:rsid w:val="00B674F5"/>
    <w:rsid w:val="00B6783C"/>
    <w:rsid w:val="00B700A0"/>
    <w:rsid w:val="00B70F51"/>
    <w:rsid w:val="00B712B0"/>
    <w:rsid w:val="00B71451"/>
    <w:rsid w:val="00B7172C"/>
    <w:rsid w:val="00B71DED"/>
    <w:rsid w:val="00B7249F"/>
    <w:rsid w:val="00B73086"/>
    <w:rsid w:val="00B73586"/>
    <w:rsid w:val="00B73652"/>
    <w:rsid w:val="00B73748"/>
    <w:rsid w:val="00B73E9E"/>
    <w:rsid w:val="00B745F5"/>
    <w:rsid w:val="00B74F76"/>
    <w:rsid w:val="00B758C4"/>
    <w:rsid w:val="00B759E8"/>
    <w:rsid w:val="00B76C63"/>
    <w:rsid w:val="00B76E2E"/>
    <w:rsid w:val="00B8022B"/>
    <w:rsid w:val="00B8039C"/>
    <w:rsid w:val="00B80646"/>
    <w:rsid w:val="00B818C4"/>
    <w:rsid w:val="00B81F1B"/>
    <w:rsid w:val="00B825D1"/>
    <w:rsid w:val="00B82F61"/>
    <w:rsid w:val="00B8323F"/>
    <w:rsid w:val="00B834A4"/>
    <w:rsid w:val="00B83792"/>
    <w:rsid w:val="00B83D51"/>
    <w:rsid w:val="00B83F09"/>
    <w:rsid w:val="00B84291"/>
    <w:rsid w:val="00B84D0D"/>
    <w:rsid w:val="00B8500B"/>
    <w:rsid w:val="00B869F6"/>
    <w:rsid w:val="00B86C86"/>
    <w:rsid w:val="00B90299"/>
    <w:rsid w:val="00B90D01"/>
    <w:rsid w:val="00B90D2D"/>
    <w:rsid w:val="00B90D42"/>
    <w:rsid w:val="00B911E6"/>
    <w:rsid w:val="00B92687"/>
    <w:rsid w:val="00B933C0"/>
    <w:rsid w:val="00B93DFC"/>
    <w:rsid w:val="00B94089"/>
    <w:rsid w:val="00B945EB"/>
    <w:rsid w:val="00B94F01"/>
    <w:rsid w:val="00B94F26"/>
    <w:rsid w:val="00B95176"/>
    <w:rsid w:val="00B951B2"/>
    <w:rsid w:val="00B9523E"/>
    <w:rsid w:val="00B95C4C"/>
    <w:rsid w:val="00B95D36"/>
    <w:rsid w:val="00B960B8"/>
    <w:rsid w:val="00B96422"/>
    <w:rsid w:val="00B96D23"/>
    <w:rsid w:val="00B97AC3"/>
    <w:rsid w:val="00BA04EB"/>
    <w:rsid w:val="00BA0AB0"/>
    <w:rsid w:val="00BA0B71"/>
    <w:rsid w:val="00BA1C27"/>
    <w:rsid w:val="00BA1C39"/>
    <w:rsid w:val="00BA1F45"/>
    <w:rsid w:val="00BA2BEC"/>
    <w:rsid w:val="00BA3182"/>
    <w:rsid w:val="00BA3636"/>
    <w:rsid w:val="00BA491B"/>
    <w:rsid w:val="00BA49C0"/>
    <w:rsid w:val="00BA49E8"/>
    <w:rsid w:val="00BA55E4"/>
    <w:rsid w:val="00BA5A5E"/>
    <w:rsid w:val="00BA658E"/>
    <w:rsid w:val="00BA67A2"/>
    <w:rsid w:val="00BA7064"/>
    <w:rsid w:val="00BA726A"/>
    <w:rsid w:val="00BA7AE5"/>
    <w:rsid w:val="00BB0B36"/>
    <w:rsid w:val="00BB0D7B"/>
    <w:rsid w:val="00BB11D8"/>
    <w:rsid w:val="00BB1D2A"/>
    <w:rsid w:val="00BB2011"/>
    <w:rsid w:val="00BB2433"/>
    <w:rsid w:val="00BB28A5"/>
    <w:rsid w:val="00BB2E0F"/>
    <w:rsid w:val="00BB344D"/>
    <w:rsid w:val="00BB3AD3"/>
    <w:rsid w:val="00BB3B60"/>
    <w:rsid w:val="00BB3D86"/>
    <w:rsid w:val="00BB3F55"/>
    <w:rsid w:val="00BB3FEA"/>
    <w:rsid w:val="00BB403B"/>
    <w:rsid w:val="00BB4126"/>
    <w:rsid w:val="00BB494C"/>
    <w:rsid w:val="00BB4E76"/>
    <w:rsid w:val="00BB5D5B"/>
    <w:rsid w:val="00BB68EF"/>
    <w:rsid w:val="00BB6E60"/>
    <w:rsid w:val="00BB78AF"/>
    <w:rsid w:val="00BB7D87"/>
    <w:rsid w:val="00BC048F"/>
    <w:rsid w:val="00BC04CC"/>
    <w:rsid w:val="00BC1A00"/>
    <w:rsid w:val="00BC1B82"/>
    <w:rsid w:val="00BC1BDD"/>
    <w:rsid w:val="00BC1E0C"/>
    <w:rsid w:val="00BC1FDE"/>
    <w:rsid w:val="00BC22A6"/>
    <w:rsid w:val="00BC2B41"/>
    <w:rsid w:val="00BC2F89"/>
    <w:rsid w:val="00BC462C"/>
    <w:rsid w:val="00BC48B3"/>
    <w:rsid w:val="00BC4C52"/>
    <w:rsid w:val="00BC4DC2"/>
    <w:rsid w:val="00BC5951"/>
    <w:rsid w:val="00BC6165"/>
    <w:rsid w:val="00BC62D7"/>
    <w:rsid w:val="00BC63D2"/>
    <w:rsid w:val="00BC684E"/>
    <w:rsid w:val="00BC69FD"/>
    <w:rsid w:val="00BC7488"/>
    <w:rsid w:val="00BC7881"/>
    <w:rsid w:val="00BC7AA8"/>
    <w:rsid w:val="00BD0250"/>
    <w:rsid w:val="00BD1391"/>
    <w:rsid w:val="00BD2033"/>
    <w:rsid w:val="00BD2436"/>
    <w:rsid w:val="00BD314B"/>
    <w:rsid w:val="00BD3336"/>
    <w:rsid w:val="00BD3A04"/>
    <w:rsid w:val="00BD3A96"/>
    <w:rsid w:val="00BD3CA0"/>
    <w:rsid w:val="00BD428A"/>
    <w:rsid w:val="00BD52EA"/>
    <w:rsid w:val="00BD58B9"/>
    <w:rsid w:val="00BD67B6"/>
    <w:rsid w:val="00BD75F2"/>
    <w:rsid w:val="00BD7719"/>
    <w:rsid w:val="00BD7AE9"/>
    <w:rsid w:val="00BE05D2"/>
    <w:rsid w:val="00BE0BA7"/>
    <w:rsid w:val="00BE0E12"/>
    <w:rsid w:val="00BE136B"/>
    <w:rsid w:val="00BE20B7"/>
    <w:rsid w:val="00BE2843"/>
    <w:rsid w:val="00BE345B"/>
    <w:rsid w:val="00BE3472"/>
    <w:rsid w:val="00BE485C"/>
    <w:rsid w:val="00BE502F"/>
    <w:rsid w:val="00BE5245"/>
    <w:rsid w:val="00BE6755"/>
    <w:rsid w:val="00BE703D"/>
    <w:rsid w:val="00BE74AD"/>
    <w:rsid w:val="00BF068D"/>
    <w:rsid w:val="00BF11B0"/>
    <w:rsid w:val="00BF2AEA"/>
    <w:rsid w:val="00BF2D15"/>
    <w:rsid w:val="00BF3179"/>
    <w:rsid w:val="00BF3940"/>
    <w:rsid w:val="00BF398C"/>
    <w:rsid w:val="00BF3B35"/>
    <w:rsid w:val="00BF3D6C"/>
    <w:rsid w:val="00BF3E94"/>
    <w:rsid w:val="00BF41A6"/>
    <w:rsid w:val="00BF464B"/>
    <w:rsid w:val="00BF47B1"/>
    <w:rsid w:val="00BF4AAD"/>
    <w:rsid w:val="00BF56EC"/>
    <w:rsid w:val="00BF5784"/>
    <w:rsid w:val="00BF5C0A"/>
    <w:rsid w:val="00BF62A1"/>
    <w:rsid w:val="00BF6480"/>
    <w:rsid w:val="00BF662D"/>
    <w:rsid w:val="00BF6BEA"/>
    <w:rsid w:val="00BF6C76"/>
    <w:rsid w:val="00BF7D1C"/>
    <w:rsid w:val="00C0077B"/>
    <w:rsid w:val="00C00B3F"/>
    <w:rsid w:val="00C00C39"/>
    <w:rsid w:val="00C01CA0"/>
    <w:rsid w:val="00C029FB"/>
    <w:rsid w:val="00C02CC5"/>
    <w:rsid w:val="00C02D8A"/>
    <w:rsid w:val="00C0353A"/>
    <w:rsid w:val="00C03C97"/>
    <w:rsid w:val="00C03DCE"/>
    <w:rsid w:val="00C04516"/>
    <w:rsid w:val="00C04891"/>
    <w:rsid w:val="00C049DB"/>
    <w:rsid w:val="00C04A6A"/>
    <w:rsid w:val="00C050BD"/>
    <w:rsid w:val="00C054F5"/>
    <w:rsid w:val="00C05ED1"/>
    <w:rsid w:val="00C063A7"/>
    <w:rsid w:val="00C0665B"/>
    <w:rsid w:val="00C0683B"/>
    <w:rsid w:val="00C0739B"/>
    <w:rsid w:val="00C073D0"/>
    <w:rsid w:val="00C07513"/>
    <w:rsid w:val="00C07B42"/>
    <w:rsid w:val="00C07D09"/>
    <w:rsid w:val="00C1001F"/>
    <w:rsid w:val="00C10EA0"/>
    <w:rsid w:val="00C1120A"/>
    <w:rsid w:val="00C11296"/>
    <w:rsid w:val="00C116EB"/>
    <w:rsid w:val="00C11731"/>
    <w:rsid w:val="00C11D9A"/>
    <w:rsid w:val="00C11F13"/>
    <w:rsid w:val="00C11F73"/>
    <w:rsid w:val="00C12438"/>
    <w:rsid w:val="00C12917"/>
    <w:rsid w:val="00C13330"/>
    <w:rsid w:val="00C13BCE"/>
    <w:rsid w:val="00C13D16"/>
    <w:rsid w:val="00C147BD"/>
    <w:rsid w:val="00C14A6D"/>
    <w:rsid w:val="00C14D37"/>
    <w:rsid w:val="00C14DEE"/>
    <w:rsid w:val="00C15655"/>
    <w:rsid w:val="00C15D4F"/>
    <w:rsid w:val="00C16029"/>
    <w:rsid w:val="00C166E0"/>
    <w:rsid w:val="00C16AB5"/>
    <w:rsid w:val="00C16F21"/>
    <w:rsid w:val="00C171CF"/>
    <w:rsid w:val="00C1722E"/>
    <w:rsid w:val="00C1733A"/>
    <w:rsid w:val="00C17E80"/>
    <w:rsid w:val="00C20078"/>
    <w:rsid w:val="00C20365"/>
    <w:rsid w:val="00C20445"/>
    <w:rsid w:val="00C22842"/>
    <w:rsid w:val="00C22A9D"/>
    <w:rsid w:val="00C22D72"/>
    <w:rsid w:val="00C2361E"/>
    <w:rsid w:val="00C23F22"/>
    <w:rsid w:val="00C2489B"/>
    <w:rsid w:val="00C24D94"/>
    <w:rsid w:val="00C25B3A"/>
    <w:rsid w:val="00C26229"/>
    <w:rsid w:val="00C2659E"/>
    <w:rsid w:val="00C27061"/>
    <w:rsid w:val="00C275CB"/>
    <w:rsid w:val="00C2779F"/>
    <w:rsid w:val="00C302A3"/>
    <w:rsid w:val="00C302FC"/>
    <w:rsid w:val="00C30D46"/>
    <w:rsid w:val="00C30F2C"/>
    <w:rsid w:val="00C3172F"/>
    <w:rsid w:val="00C31B74"/>
    <w:rsid w:val="00C32112"/>
    <w:rsid w:val="00C3245D"/>
    <w:rsid w:val="00C32813"/>
    <w:rsid w:val="00C3352A"/>
    <w:rsid w:val="00C33721"/>
    <w:rsid w:val="00C337AD"/>
    <w:rsid w:val="00C33BE1"/>
    <w:rsid w:val="00C33D3C"/>
    <w:rsid w:val="00C34EDF"/>
    <w:rsid w:val="00C3513B"/>
    <w:rsid w:val="00C351A3"/>
    <w:rsid w:val="00C357B5"/>
    <w:rsid w:val="00C35A17"/>
    <w:rsid w:val="00C35D35"/>
    <w:rsid w:val="00C35E15"/>
    <w:rsid w:val="00C36109"/>
    <w:rsid w:val="00C361F2"/>
    <w:rsid w:val="00C36342"/>
    <w:rsid w:val="00C365AA"/>
    <w:rsid w:val="00C36B5B"/>
    <w:rsid w:val="00C36B98"/>
    <w:rsid w:val="00C37D38"/>
    <w:rsid w:val="00C401B8"/>
    <w:rsid w:val="00C40778"/>
    <w:rsid w:val="00C40C07"/>
    <w:rsid w:val="00C4129F"/>
    <w:rsid w:val="00C417F7"/>
    <w:rsid w:val="00C41B3E"/>
    <w:rsid w:val="00C41EE3"/>
    <w:rsid w:val="00C42153"/>
    <w:rsid w:val="00C423CA"/>
    <w:rsid w:val="00C42E27"/>
    <w:rsid w:val="00C43CDA"/>
    <w:rsid w:val="00C443B5"/>
    <w:rsid w:val="00C44473"/>
    <w:rsid w:val="00C447D7"/>
    <w:rsid w:val="00C448D8"/>
    <w:rsid w:val="00C44948"/>
    <w:rsid w:val="00C45819"/>
    <w:rsid w:val="00C45C06"/>
    <w:rsid w:val="00C45EBB"/>
    <w:rsid w:val="00C46602"/>
    <w:rsid w:val="00C46AD2"/>
    <w:rsid w:val="00C46CA5"/>
    <w:rsid w:val="00C47166"/>
    <w:rsid w:val="00C47DA8"/>
    <w:rsid w:val="00C47DDC"/>
    <w:rsid w:val="00C47ED3"/>
    <w:rsid w:val="00C5026A"/>
    <w:rsid w:val="00C51428"/>
    <w:rsid w:val="00C5168C"/>
    <w:rsid w:val="00C51E2C"/>
    <w:rsid w:val="00C51EC9"/>
    <w:rsid w:val="00C527B4"/>
    <w:rsid w:val="00C52A3A"/>
    <w:rsid w:val="00C52BE6"/>
    <w:rsid w:val="00C52EDC"/>
    <w:rsid w:val="00C53793"/>
    <w:rsid w:val="00C547A7"/>
    <w:rsid w:val="00C54981"/>
    <w:rsid w:val="00C54BE7"/>
    <w:rsid w:val="00C55542"/>
    <w:rsid w:val="00C556BC"/>
    <w:rsid w:val="00C5660D"/>
    <w:rsid w:val="00C56898"/>
    <w:rsid w:val="00C57056"/>
    <w:rsid w:val="00C602C3"/>
    <w:rsid w:val="00C6042C"/>
    <w:rsid w:val="00C60A0D"/>
    <w:rsid w:val="00C60DE0"/>
    <w:rsid w:val="00C60E59"/>
    <w:rsid w:val="00C610F4"/>
    <w:rsid w:val="00C615EC"/>
    <w:rsid w:val="00C61604"/>
    <w:rsid w:val="00C61FD1"/>
    <w:rsid w:val="00C627BD"/>
    <w:rsid w:val="00C63477"/>
    <w:rsid w:val="00C638C0"/>
    <w:rsid w:val="00C63F97"/>
    <w:rsid w:val="00C64665"/>
    <w:rsid w:val="00C64814"/>
    <w:rsid w:val="00C64A3E"/>
    <w:rsid w:val="00C64C6B"/>
    <w:rsid w:val="00C64DC6"/>
    <w:rsid w:val="00C6504A"/>
    <w:rsid w:val="00C65084"/>
    <w:rsid w:val="00C65098"/>
    <w:rsid w:val="00C65219"/>
    <w:rsid w:val="00C66896"/>
    <w:rsid w:val="00C7042B"/>
    <w:rsid w:val="00C7103F"/>
    <w:rsid w:val="00C731DD"/>
    <w:rsid w:val="00C7331E"/>
    <w:rsid w:val="00C73454"/>
    <w:rsid w:val="00C7399C"/>
    <w:rsid w:val="00C73AB0"/>
    <w:rsid w:val="00C74192"/>
    <w:rsid w:val="00C7449E"/>
    <w:rsid w:val="00C7453B"/>
    <w:rsid w:val="00C74652"/>
    <w:rsid w:val="00C74B64"/>
    <w:rsid w:val="00C7540E"/>
    <w:rsid w:val="00C75AA3"/>
    <w:rsid w:val="00C76096"/>
    <w:rsid w:val="00C767FB"/>
    <w:rsid w:val="00C76C86"/>
    <w:rsid w:val="00C779BF"/>
    <w:rsid w:val="00C77B46"/>
    <w:rsid w:val="00C77B78"/>
    <w:rsid w:val="00C77EF8"/>
    <w:rsid w:val="00C80604"/>
    <w:rsid w:val="00C8070D"/>
    <w:rsid w:val="00C809DF"/>
    <w:rsid w:val="00C80AC6"/>
    <w:rsid w:val="00C80CCC"/>
    <w:rsid w:val="00C814C3"/>
    <w:rsid w:val="00C815B0"/>
    <w:rsid w:val="00C81D90"/>
    <w:rsid w:val="00C83878"/>
    <w:rsid w:val="00C83A3F"/>
    <w:rsid w:val="00C83ADA"/>
    <w:rsid w:val="00C83D8A"/>
    <w:rsid w:val="00C8429D"/>
    <w:rsid w:val="00C84F14"/>
    <w:rsid w:val="00C8588C"/>
    <w:rsid w:val="00C85AE0"/>
    <w:rsid w:val="00C86051"/>
    <w:rsid w:val="00C867FF"/>
    <w:rsid w:val="00C868B9"/>
    <w:rsid w:val="00C86FBC"/>
    <w:rsid w:val="00C8712F"/>
    <w:rsid w:val="00C87478"/>
    <w:rsid w:val="00C87FAC"/>
    <w:rsid w:val="00C90091"/>
    <w:rsid w:val="00C90123"/>
    <w:rsid w:val="00C90673"/>
    <w:rsid w:val="00C921EE"/>
    <w:rsid w:val="00C92A0D"/>
    <w:rsid w:val="00C92C78"/>
    <w:rsid w:val="00C92C97"/>
    <w:rsid w:val="00C92CA2"/>
    <w:rsid w:val="00C942E0"/>
    <w:rsid w:val="00C94BD2"/>
    <w:rsid w:val="00C94E54"/>
    <w:rsid w:val="00C94F99"/>
    <w:rsid w:val="00C9559A"/>
    <w:rsid w:val="00C9563B"/>
    <w:rsid w:val="00C95AB7"/>
    <w:rsid w:val="00C95DDE"/>
    <w:rsid w:val="00C95FD4"/>
    <w:rsid w:val="00C96260"/>
    <w:rsid w:val="00C966F3"/>
    <w:rsid w:val="00C9753B"/>
    <w:rsid w:val="00C97AA3"/>
    <w:rsid w:val="00C97F7F"/>
    <w:rsid w:val="00CA0030"/>
    <w:rsid w:val="00CA03B6"/>
    <w:rsid w:val="00CA1306"/>
    <w:rsid w:val="00CA1448"/>
    <w:rsid w:val="00CA163A"/>
    <w:rsid w:val="00CA1E54"/>
    <w:rsid w:val="00CA2741"/>
    <w:rsid w:val="00CA287A"/>
    <w:rsid w:val="00CA29FC"/>
    <w:rsid w:val="00CA2A22"/>
    <w:rsid w:val="00CA2B00"/>
    <w:rsid w:val="00CA2CB8"/>
    <w:rsid w:val="00CA303C"/>
    <w:rsid w:val="00CA3FEB"/>
    <w:rsid w:val="00CA5427"/>
    <w:rsid w:val="00CA5574"/>
    <w:rsid w:val="00CA565A"/>
    <w:rsid w:val="00CA569D"/>
    <w:rsid w:val="00CA6009"/>
    <w:rsid w:val="00CA75CE"/>
    <w:rsid w:val="00CB0C29"/>
    <w:rsid w:val="00CB2219"/>
    <w:rsid w:val="00CB295B"/>
    <w:rsid w:val="00CB2D02"/>
    <w:rsid w:val="00CB3351"/>
    <w:rsid w:val="00CB3748"/>
    <w:rsid w:val="00CB4BB5"/>
    <w:rsid w:val="00CB5F9D"/>
    <w:rsid w:val="00CB62DC"/>
    <w:rsid w:val="00CB6722"/>
    <w:rsid w:val="00CB6737"/>
    <w:rsid w:val="00CB6946"/>
    <w:rsid w:val="00CB6DE2"/>
    <w:rsid w:val="00CC10EA"/>
    <w:rsid w:val="00CC142F"/>
    <w:rsid w:val="00CC1912"/>
    <w:rsid w:val="00CC191C"/>
    <w:rsid w:val="00CC3447"/>
    <w:rsid w:val="00CC36BE"/>
    <w:rsid w:val="00CC385F"/>
    <w:rsid w:val="00CC4012"/>
    <w:rsid w:val="00CC456B"/>
    <w:rsid w:val="00CC4A06"/>
    <w:rsid w:val="00CC4CE0"/>
    <w:rsid w:val="00CC66A5"/>
    <w:rsid w:val="00CC7711"/>
    <w:rsid w:val="00CC7A09"/>
    <w:rsid w:val="00CC7B89"/>
    <w:rsid w:val="00CD016E"/>
    <w:rsid w:val="00CD1A63"/>
    <w:rsid w:val="00CD1AA4"/>
    <w:rsid w:val="00CD2469"/>
    <w:rsid w:val="00CD29D4"/>
    <w:rsid w:val="00CD35B9"/>
    <w:rsid w:val="00CD4256"/>
    <w:rsid w:val="00CD4646"/>
    <w:rsid w:val="00CD4ABE"/>
    <w:rsid w:val="00CD4C6B"/>
    <w:rsid w:val="00CD4F6C"/>
    <w:rsid w:val="00CD5490"/>
    <w:rsid w:val="00CD5968"/>
    <w:rsid w:val="00CD654B"/>
    <w:rsid w:val="00CD66CD"/>
    <w:rsid w:val="00CD79BF"/>
    <w:rsid w:val="00CE00A4"/>
    <w:rsid w:val="00CE0E0E"/>
    <w:rsid w:val="00CE0FAA"/>
    <w:rsid w:val="00CE21D4"/>
    <w:rsid w:val="00CE22FA"/>
    <w:rsid w:val="00CE2306"/>
    <w:rsid w:val="00CE29F3"/>
    <w:rsid w:val="00CE365D"/>
    <w:rsid w:val="00CE381E"/>
    <w:rsid w:val="00CE4554"/>
    <w:rsid w:val="00CE4630"/>
    <w:rsid w:val="00CE5165"/>
    <w:rsid w:val="00CE5C59"/>
    <w:rsid w:val="00CE5D91"/>
    <w:rsid w:val="00CE5E02"/>
    <w:rsid w:val="00CE6161"/>
    <w:rsid w:val="00CE66FA"/>
    <w:rsid w:val="00CE738E"/>
    <w:rsid w:val="00CE7462"/>
    <w:rsid w:val="00CE78BA"/>
    <w:rsid w:val="00CF08A2"/>
    <w:rsid w:val="00CF0B39"/>
    <w:rsid w:val="00CF0E13"/>
    <w:rsid w:val="00CF1050"/>
    <w:rsid w:val="00CF187F"/>
    <w:rsid w:val="00CF18E6"/>
    <w:rsid w:val="00CF1944"/>
    <w:rsid w:val="00CF19C4"/>
    <w:rsid w:val="00CF1BA9"/>
    <w:rsid w:val="00CF1F39"/>
    <w:rsid w:val="00CF2411"/>
    <w:rsid w:val="00CF29F5"/>
    <w:rsid w:val="00CF328B"/>
    <w:rsid w:val="00CF37B2"/>
    <w:rsid w:val="00CF3D87"/>
    <w:rsid w:val="00CF441E"/>
    <w:rsid w:val="00CF49EE"/>
    <w:rsid w:val="00CF51B9"/>
    <w:rsid w:val="00CF58E5"/>
    <w:rsid w:val="00CF59CE"/>
    <w:rsid w:val="00CF5C07"/>
    <w:rsid w:val="00CF607A"/>
    <w:rsid w:val="00CF7399"/>
    <w:rsid w:val="00CF7871"/>
    <w:rsid w:val="00D00A45"/>
    <w:rsid w:val="00D0126F"/>
    <w:rsid w:val="00D01F0A"/>
    <w:rsid w:val="00D022E1"/>
    <w:rsid w:val="00D02965"/>
    <w:rsid w:val="00D033E5"/>
    <w:rsid w:val="00D03400"/>
    <w:rsid w:val="00D03728"/>
    <w:rsid w:val="00D039A2"/>
    <w:rsid w:val="00D03F0D"/>
    <w:rsid w:val="00D04790"/>
    <w:rsid w:val="00D05327"/>
    <w:rsid w:val="00D053FB"/>
    <w:rsid w:val="00D05F00"/>
    <w:rsid w:val="00D064B6"/>
    <w:rsid w:val="00D06E65"/>
    <w:rsid w:val="00D0702F"/>
    <w:rsid w:val="00D071AE"/>
    <w:rsid w:val="00D076FA"/>
    <w:rsid w:val="00D0787D"/>
    <w:rsid w:val="00D07997"/>
    <w:rsid w:val="00D10681"/>
    <w:rsid w:val="00D10976"/>
    <w:rsid w:val="00D111DF"/>
    <w:rsid w:val="00D11893"/>
    <w:rsid w:val="00D126BE"/>
    <w:rsid w:val="00D12A9F"/>
    <w:rsid w:val="00D1339F"/>
    <w:rsid w:val="00D13EE5"/>
    <w:rsid w:val="00D140C4"/>
    <w:rsid w:val="00D141C9"/>
    <w:rsid w:val="00D14BA8"/>
    <w:rsid w:val="00D14DC4"/>
    <w:rsid w:val="00D1572D"/>
    <w:rsid w:val="00D1590F"/>
    <w:rsid w:val="00D15CA4"/>
    <w:rsid w:val="00D15DF1"/>
    <w:rsid w:val="00D16A65"/>
    <w:rsid w:val="00D16D43"/>
    <w:rsid w:val="00D16F4E"/>
    <w:rsid w:val="00D2025B"/>
    <w:rsid w:val="00D203B5"/>
    <w:rsid w:val="00D217B0"/>
    <w:rsid w:val="00D22286"/>
    <w:rsid w:val="00D22431"/>
    <w:rsid w:val="00D2247C"/>
    <w:rsid w:val="00D2264C"/>
    <w:rsid w:val="00D24BD7"/>
    <w:rsid w:val="00D24D1E"/>
    <w:rsid w:val="00D24E0B"/>
    <w:rsid w:val="00D25047"/>
    <w:rsid w:val="00D25EF1"/>
    <w:rsid w:val="00D2660A"/>
    <w:rsid w:val="00D26E78"/>
    <w:rsid w:val="00D26FBE"/>
    <w:rsid w:val="00D2799B"/>
    <w:rsid w:val="00D27AE9"/>
    <w:rsid w:val="00D300F7"/>
    <w:rsid w:val="00D30429"/>
    <w:rsid w:val="00D30BF4"/>
    <w:rsid w:val="00D30CA6"/>
    <w:rsid w:val="00D31E88"/>
    <w:rsid w:val="00D32AE5"/>
    <w:rsid w:val="00D32D32"/>
    <w:rsid w:val="00D332DC"/>
    <w:rsid w:val="00D336C6"/>
    <w:rsid w:val="00D33C4C"/>
    <w:rsid w:val="00D33EAB"/>
    <w:rsid w:val="00D343B8"/>
    <w:rsid w:val="00D34D4C"/>
    <w:rsid w:val="00D3507D"/>
    <w:rsid w:val="00D35133"/>
    <w:rsid w:val="00D35B19"/>
    <w:rsid w:val="00D366FB"/>
    <w:rsid w:val="00D36861"/>
    <w:rsid w:val="00D36D61"/>
    <w:rsid w:val="00D36D90"/>
    <w:rsid w:val="00D36DD5"/>
    <w:rsid w:val="00D3723B"/>
    <w:rsid w:val="00D37BC8"/>
    <w:rsid w:val="00D40191"/>
    <w:rsid w:val="00D4045B"/>
    <w:rsid w:val="00D40F5F"/>
    <w:rsid w:val="00D410A1"/>
    <w:rsid w:val="00D41481"/>
    <w:rsid w:val="00D42594"/>
    <w:rsid w:val="00D42C10"/>
    <w:rsid w:val="00D4308F"/>
    <w:rsid w:val="00D43470"/>
    <w:rsid w:val="00D43894"/>
    <w:rsid w:val="00D43A47"/>
    <w:rsid w:val="00D43B9A"/>
    <w:rsid w:val="00D43DFD"/>
    <w:rsid w:val="00D450C8"/>
    <w:rsid w:val="00D4560D"/>
    <w:rsid w:val="00D4687A"/>
    <w:rsid w:val="00D46CF6"/>
    <w:rsid w:val="00D506B8"/>
    <w:rsid w:val="00D52199"/>
    <w:rsid w:val="00D5264A"/>
    <w:rsid w:val="00D52F69"/>
    <w:rsid w:val="00D54E23"/>
    <w:rsid w:val="00D55FCA"/>
    <w:rsid w:val="00D56507"/>
    <w:rsid w:val="00D56645"/>
    <w:rsid w:val="00D5749B"/>
    <w:rsid w:val="00D574BC"/>
    <w:rsid w:val="00D6010C"/>
    <w:rsid w:val="00D609B2"/>
    <w:rsid w:val="00D61729"/>
    <w:rsid w:val="00D61889"/>
    <w:rsid w:val="00D61A7E"/>
    <w:rsid w:val="00D61E41"/>
    <w:rsid w:val="00D61E97"/>
    <w:rsid w:val="00D62483"/>
    <w:rsid w:val="00D6255E"/>
    <w:rsid w:val="00D626EE"/>
    <w:rsid w:val="00D62DDF"/>
    <w:rsid w:val="00D6351C"/>
    <w:rsid w:val="00D63794"/>
    <w:rsid w:val="00D652C5"/>
    <w:rsid w:val="00D6587E"/>
    <w:rsid w:val="00D65CCB"/>
    <w:rsid w:val="00D65EFD"/>
    <w:rsid w:val="00D66215"/>
    <w:rsid w:val="00D66785"/>
    <w:rsid w:val="00D673F2"/>
    <w:rsid w:val="00D67E70"/>
    <w:rsid w:val="00D701F2"/>
    <w:rsid w:val="00D70293"/>
    <w:rsid w:val="00D7054F"/>
    <w:rsid w:val="00D71D53"/>
    <w:rsid w:val="00D71D94"/>
    <w:rsid w:val="00D725C4"/>
    <w:rsid w:val="00D72D88"/>
    <w:rsid w:val="00D73004"/>
    <w:rsid w:val="00D731F9"/>
    <w:rsid w:val="00D7357D"/>
    <w:rsid w:val="00D73627"/>
    <w:rsid w:val="00D7373C"/>
    <w:rsid w:val="00D7376E"/>
    <w:rsid w:val="00D73A72"/>
    <w:rsid w:val="00D741CB"/>
    <w:rsid w:val="00D74910"/>
    <w:rsid w:val="00D74F7F"/>
    <w:rsid w:val="00D75D88"/>
    <w:rsid w:val="00D75F76"/>
    <w:rsid w:val="00D761A1"/>
    <w:rsid w:val="00D762C4"/>
    <w:rsid w:val="00D7641C"/>
    <w:rsid w:val="00D76668"/>
    <w:rsid w:val="00D7703D"/>
    <w:rsid w:val="00D77506"/>
    <w:rsid w:val="00D779CE"/>
    <w:rsid w:val="00D80597"/>
    <w:rsid w:val="00D806E4"/>
    <w:rsid w:val="00D80852"/>
    <w:rsid w:val="00D80D73"/>
    <w:rsid w:val="00D81058"/>
    <w:rsid w:val="00D81282"/>
    <w:rsid w:val="00D81484"/>
    <w:rsid w:val="00D82486"/>
    <w:rsid w:val="00D827B3"/>
    <w:rsid w:val="00D82995"/>
    <w:rsid w:val="00D82AA3"/>
    <w:rsid w:val="00D82B0B"/>
    <w:rsid w:val="00D82E8B"/>
    <w:rsid w:val="00D839E1"/>
    <w:rsid w:val="00D83BF3"/>
    <w:rsid w:val="00D83DAA"/>
    <w:rsid w:val="00D842D3"/>
    <w:rsid w:val="00D848E0"/>
    <w:rsid w:val="00D85A65"/>
    <w:rsid w:val="00D862ED"/>
    <w:rsid w:val="00D865D6"/>
    <w:rsid w:val="00D867BE"/>
    <w:rsid w:val="00D86932"/>
    <w:rsid w:val="00D86A6F"/>
    <w:rsid w:val="00D86B32"/>
    <w:rsid w:val="00D86B4C"/>
    <w:rsid w:val="00D87861"/>
    <w:rsid w:val="00D87A21"/>
    <w:rsid w:val="00D9007D"/>
    <w:rsid w:val="00D905FD"/>
    <w:rsid w:val="00D90ACF"/>
    <w:rsid w:val="00D911A3"/>
    <w:rsid w:val="00D9195B"/>
    <w:rsid w:val="00D92376"/>
    <w:rsid w:val="00D92B0B"/>
    <w:rsid w:val="00D92CF4"/>
    <w:rsid w:val="00D93539"/>
    <w:rsid w:val="00D93A70"/>
    <w:rsid w:val="00D93A72"/>
    <w:rsid w:val="00D93CEC"/>
    <w:rsid w:val="00D94755"/>
    <w:rsid w:val="00D94860"/>
    <w:rsid w:val="00D94934"/>
    <w:rsid w:val="00D95204"/>
    <w:rsid w:val="00D955A3"/>
    <w:rsid w:val="00D95C1A"/>
    <w:rsid w:val="00D96206"/>
    <w:rsid w:val="00D962F9"/>
    <w:rsid w:val="00D96342"/>
    <w:rsid w:val="00D964F1"/>
    <w:rsid w:val="00D965F1"/>
    <w:rsid w:val="00D96837"/>
    <w:rsid w:val="00D96D28"/>
    <w:rsid w:val="00D9752B"/>
    <w:rsid w:val="00D97885"/>
    <w:rsid w:val="00D9792A"/>
    <w:rsid w:val="00DA01A3"/>
    <w:rsid w:val="00DA04B2"/>
    <w:rsid w:val="00DA04BB"/>
    <w:rsid w:val="00DA055A"/>
    <w:rsid w:val="00DA05C7"/>
    <w:rsid w:val="00DA0CC8"/>
    <w:rsid w:val="00DA159D"/>
    <w:rsid w:val="00DA1609"/>
    <w:rsid w:val="00DA3151"/>
    <w:rsid w:val="00DA35A6"/>
    <w:rsid w:val="00DA3728"/>
    <w:rsid w:val="00DA3FA5"/>
    <w:rsid w:val="00DA457E"/>
    <w:rsid w:val="00DA45C4"/>
    <w:rsid w:val="00DA4731"/>
    <w:rsid w:val="00DA4938"/>
    <w:rsid w:val="00DA4BB4"/>
    <w:rsid w:val="00DA542F"/>
    <w:rsid w:val="00DA55E0"/>
    <w:rsid w:val="00DA5F2E"/>
    <w:rsid w:val="00DA65CC"/>
    <w:rsid w:val="00DA6E8F"/>
    <w:rsid w:val="00DA72C0"/>
    <w:rsid w:val="00DA7358"/>
    <w:rsid w:val="00DB02B0"/>
    <w:rsid w:val="00DB0602"/>
    <w:rsid w:val="00DB0CF0"/>
    <w:rsid w:val="00DB1277"/>
    <w:rsid w:val="00DB21AC"/>
    <w:rsid w:val="00DB2EA7"/>
    <w:rsid w:val="00DB354C"/>
    <w:rsid w:val="00DB38DE"/>
    <w:rsid w:val="00DB3EBC"/>
    <w:rsid w:val="00DB405E"/>
    <w:rsid w:val="00DB4811"/>
    <w:rsid w:val="00DB481F"/>
    <w:rsid w:val="00DB4F42"/>
    <w:rsid w:val="00DB519B"/>
    <w:rsid w:val="00DB5E4D"/>
    <w:rsid w:val="00DB5F65"/>
    <w:rsid w:val="00DB61CF"/>
    <w:rsid w:val="00DB6228"/>
    <w:rsid w:val="00DB6B2A"/>
    <w:rsid w:val="00DB6DAB"/>
    <w:rsid w:val="00DB715A"/>
    <w:rsid w:val="00DB7A78"/>
    <w:rsid w:val="00DB7CD3"/>
    <w:rsid w:val="00DC0205"/>
    <w:rsid w:val="00DC02E1"/>
    <w:rsid w:val="00DC03EF"/>
    <w:rsid w:val="00DC0695"/>
    <w:rsid w:val="00DC146D"/>
    <w:rsid w:val="00DC1C95"/>
    <w:rsid w:val="00DC2839"/>
    <w:rsid w:val="00DC3353"/>
    <w:rsid w:val="00DC3518"/>
    <w:rsid w:val="00DC37B7"/>
    <w:rsid w:val="00DC3844"/>
    <w:rsid w:val="00DC3860"/>
    <w:rsid w:val="00DC4334"/>
    <w:rsid w:val="00DC4C85"/>
    <w:rsid w:val="00DC518C"/>
    <w:rsid w:val="00DC5C1D"/>
    <w:rsid w:val="00DC5DBB"/>
    <w:rsid w:val="00DC5F52"/>
    <w:rsid w:val="00DC6042"/>
    <w:rsid w:val="00DC6833"/>
    <w:rsid w:val="00DC6B31"/>
    <w:rsid w:val="00DC7189"/>
    <w:rsid w:val="00DC72FB"/>
    <w:rsid w:val="00DC7A77"/>
    <w:rsid w:val="00DC7CA3"/>
    <w:rsid w:val="00DD046F"/>
    <w:rsid w:val="00DD047D"/>
    <w:rsid w:val="00DD101B"/>
    <w:rsid w:val="00DD1556"/>
    <w:rsid w:val="00DD15EE"/>
    <w:rsid w:val="00DD2126"/>
    <w:rsid w:val="00DD373C"/>
    <w:rsid w:val="00DD38F6"/>
    <w:rsid w:val="00DD4D0E"/>
    <w:rsid w:val="00DD4E76"/>
    <w:rsid w:val="00DD5277"/>
    <w:rsid w:val="00DD5A54"/>
    <w:rsid w:val="00DD5D9F"/>
    <w:rsid w:val="00DD5EF2"/>
    <w:rsid w:val="00DD6EE3"/>
    <w:rsid w:val="00DD789B"/>
    <w:rsid w:val="00DD78B7"/>
    <w:rsid w:val="00DD7F99"/>
    <w:rsid w:val="00DE01E2"/>
    <w:rsid w:val="00DE08C1"/>
    <w:rsid w:val="00DE09B0"/>
    <w:rsid w:val="00DE1C96"/>
    <w:rsid w:val="00DE1DDC"/>
    <w:rsid w:val="00DE1F40"/>
    <w:rsid w:val="00DE2206"/>
    <w:rsid w:val="00DE289F"/>
    <w:rsid w:val="00DE2FE2"/>
    <w:rsid w:val="00DE31CB"/>
    <w:rsid w:val="00DE341F"/>
    <w:rsid w:val="00DE3691"/>
    <w:rsid w:val="00DE4065"/>
    <w:rsid w:val="00DE408F"/>
    <w:rsid w:val="00DE413E"/>
    <w:rsid w:val="00DE4793"/>
    <w:rsid w:val="00DE4FCB"/>
    <w:rsid w:val="00DE5151"/>
    <w:rsid w:val="00DE610E"/>
    <w:rsid w:val="00DE61AE"/>
    <w:rsid w:val="00DE6721"/>
    <w:rsid w:val="00DE6E25"/>
    <w:rsid w:val="00DE73C7"/>
    <w:rsid w:val="00DE7410"/>
    <w:rsid w:val="00DE79C3"/>
    <w:rsid w:val="00DE7BD0"/>
    <w:rsid w:val="00DF005D"/>
    <w:rsid w:val="00DF0127"/>
    <w:rsid w:val="00DF0333"/>
    <w:rsid w:val="00DF054E"/>
    <w:rsid w:val="00DF099F"/>
    <w:rsid w:val="00DF0B08"/>
    <w:rsid w:val="00DF1194"/>
    <w:rsid w:val="00DF1815"/>
    <w:rsid w:val="00DF1FB8"/>
    <w:rsid w:val="00DF227C"/>
    <w:rsid w:val="00DF2CB0"/>
    <w:rsid w:val="00DF2CB1"/>
    <w:rsid w:val="00DF2EB4"/>
    <w:rsid w:val="00DF2FE0"/>
    <w:rsid w:val="00DF3000"/>
    <w:rsid w:val="00DF33F7"/>
    <w:rsid w:val="00DF35DF"/>
    <w:rsid w:val="00DF3995"/>
    <w:rsid w:val="00DF45F9"/>
    <w:rsid w:val="00DF48A0"/>
    <w:rsid w:val="00DF4A4F"/>
    <w:rsid w:val="00DF4F74"/>
    <w:rsid w:val="00DF557D"/>
    <w:rsid w:val="00DF5C17"/>
    <w:rsid w:val="00DF5EC8"/>
    <w:rsid w:val="00DF6834"/>
    <w:rsid w:val="00DF6EA6"/>
    <w:rsid w:val="00DF7512"/>
    <w:rsid w:val="00DF7ADE"/>
    <w:rsid w:val="00E00219"/>
    <w:rsid w:val="00E008B7"/>
    <w:rsid w:val="00E00D83"/>
    <w:rsid w:val="00E01353"/>
    <w:rsid w:val="00E01367"/>
    <w:rsid w:val="00E01B53"/>
    <w:rsid w:val="00E01B7F"/>
    <w:rsid w:val="00E02F43"/>
    <w:rsid w:val="00E0325A"/>
    <w:rsid w:val="00E03BB9"/>
    <w:rsid w:val="00E04FCD"/>
    <w:rsid w:val="00E05207"/>
    <w:rsid w:val="00E05DB2"/>
    <w:rsid w:val="00E06B93"/>
    <w:rsid w:val="00E06CE1"/>
    <w:rsid w:val="00E06F44"/>
    <w:rsid w:val="00E06F83"/>
    <w:rsid w:val="00E07867"/>
    <w:rsid w:val="00E07987"/>
    <w:rsid w:val="00E07A43"/>
    <w:rsid w:val="00E07B46"/>
    <w:rsid w:val="00E10DA2"/>
    <w:rsid w:val="00E10EDF"/>
    <w:rsid w:val="00E114BC"/>
    <w:rsid w:val="00E11960"/>
    <w:rsid w:val="00E11BBC"/>
    <w:rsid w:val="00E1239A"/>
    <w:rsid w:val="00E127B3"/>
    <w:rsid w:val="00E129E8"/>
    <w:rsid w:val="00E1334C"/>
    <w:rsid w:val="00E13577"/>
    <w:rsid w:val="00E136CF"/>
    <w:rsid w:val="00E1436A"/>
    <w:rsid w:val="00E14576"/>
    <w:rsid w:val="00E147FC"/>
    <w:rsid w:val="00E14BE8"/>
    <w:rsid w:val="00E14D6B"/>
    <w:rsid w:val="00E14DAE"/>
    <w:rsid w:val="00E152B5"/>
    <w:rsid w:val="00E15B11"/>
    <w:rsid w:val="00E15C21"/>
    <w:rsid w:val="00E15C3B"/>
    <w:rsid w:val="00E16056"/>
    <w:rsid w:val="00E16573"/>
    <w:rsid w:val="00E166B3"/>
    <w:rsid w:val="00E17291"/>
    <w:rsid w:val="00E17E0B"/>
    <w:rsid w:val="00E209E0"/>
    <w:rsid w:val="00E21033"/>
    <w:rsid w:val="00E2143C"/>
    <w:rsid w:val="00E21F48"/>
    <w:rsid w:val="00E220CB"/>
    <w:rsid w:val="00E22616"/>
    <w:rsid w:val="00E2286E"/>
    <w:rsid w:val="00E236C4"/>
    <w:rsid w:val="00E23993"/>
    <w:rsid w:val="00E23B05"/>
    <w:rsid w:val="00E243D4"/>
    <w:rsid w:val="00E2458D"/>
    <w:rsid w:val="00E245A7"/>
    <w:rsid w:val="00E2494F"/>
    <w:rsid w:val="00E25161"/>
    <w:rsid w:val="00E254CE"/>
    <w:rsid w:val="00E25C34"/>
    <w:rsid w:val="00E25EB4"/>
    <w:rsid w:val="00E25FA9"/>
    <w:rsid w:val="00E26EAB"/>
    <w:rsid w:val="00E26EFB"/>
    <w:rsid w:val="00E27842"/>
    <w:rsid w:val="00E27EC2"/>
    <w:rsid w:val="00E30659"/>
    <w:rsid w:val="00E3089F"/>
    <w:rsid w:val="00E30B75"/>
    <w:rsid w:val="00E31304"/>
    <w:rsid w:val="00E31328"/>
    <w:rsid w:val="00E31631"/>
    <w:rsid w:val="00E325D4"/>
    <w:rsid w:val="00E327E3"/>
    <w:rsid w:val="00E32807"/>
    <w:rsid w:val="00E32901"/>
    <w:rsid w:val="00E335DB"/>
    <w:rsid w:val="00E33ABB"/>
    <w:rsid w:val="00E33C98"/>
    <w:rsid w:val="00E34D97"/>
    <w:rsid w:val="00E34E16"/>
    <w:rsid w:val="00E35397"/>
    <w:rsid w:val="00E36048"/>
    <w:rsid w:val="00E3606D"/>
    <w:rsid w:val="00E36085"/>
    <w:rsid w:val="00E36583"/>
    <w:rsid w:val="00E365DA"/>
    <w:rsid w:val="00E3674F"/>
    <w:rsid w:val="00E36BA4"/>
    <w:rsid w:val="00E36BF7"/>
    <w:rsid w:val="00E36F32"/>
    <w:rsid w:val="00E36F53"/>
    <w:rsid w:val="00E36F66"/>
    <w:rsid w:val="00E370C7"/>
    <w:rsid w:val="00E3716A"/>
    <w:rsid w:val="00E37344"/>
    <w:rsid w:val="00E37685"/>
    <w:rsid w:val="00E37975"/>
    <w:rsid w:val="00E4037F"/>
    <w:rsid w:val="00E403A4"/>
    <w:rsid w:val="00E40EC8"/>
    <w:rsid w:val="00E41198"/>
    <w:rsid w:val="00E415ED"/>
    <w:rsid w:val="00E41AD4"/>
    <w:rsid w:val="00E42E58"/>
    <w:rsid w:val="00E43DCC"/>
    <w:rsid w:val="00E43E4A"/>
    <w:rsid w:val="00E44349"/>
    <w:rsid w:val="00E4578D"/>
    <w:rsid w:val="00E45BCA"/>
    <w:rsid w:val="00E462A6"/>
    <w:rsid w:val="00E46D6D"/>
    <w:rsid w:val="00E47180"/>
    <w:rsid w:val="00E472B9"/>
    <w:rsid w:val="00E477AE"/>
    <w:rsid w:val="00E47858"/>
    <w:rsid w:val="00E50DA4"/>
    <w:rsid w:val="00E510BA"/>
    <w:rsid w:val="00E5168F"/>
    <w:rsid w:val="00E517BC"/>
    <w:rsid w:val="00E51DFE"/>
    <w:rsid w:val="00E52A64"/>
    <w:rsid w:val="00E52B51"/>
    <w:rsid w:val="00E54841"/>
    <w:rsid w:val="00E567B1"/>
    <w:rsid w:val="00E579D8"/>
    <w:rsid w:val="00E57EE9"/>
    <w:rsid w:val="00E6063E"/>
    <w:rsid w:val="00E60794"/>
    <w:rsid w:val="00E611A2"/>
    <w:rsid w:val="00E61213"/>
    <w:rsid w:val="00E61529"/>
    <w:rsid w:val="00E618B9"/>
    <w:rsid w:val="00E61936"/>
    <w:rsid w:val="00E61CBB"/>
    <w:rsid w:val="00E62053"/>
    <w:rsid w:val="00E6216B"/>
    <w:rsid w:val="00E623BC"/>
    <w:rsid w:val="00E625A1"/>
    <w:rsid w:val="00E62A71"/>
    <w:rsid w:val="00E62B88"/>
    <w:rsid w:val="00E62E8E"/>
    <w:rsid w:val="00E62F97"/>
    <w:rsid w:val="00E6443F"/>
    <w:rsid w:val="00E65096"/>
    <w:rsid w:val="00E653A3"/>
    <w:rsid w:val="00E66D12"/>
    <w:rsid w:val="00E6719F"/>
    <w:rsid w:val="00E678A3"/>
    <w:rsid w:val="00E7041E"/>
    <w:rsid w:val="00E705B0"/>
    <w:rsid w:val="00E70D85"/>
    <w:rsid w:val="00E715FF"/>
    <w:rsid w:val="00E7183E"/>
    <w:rsid w:val="00E71FB4"/>
    <w:rsid w:val="00E730DB"/>
    <w:rsid w:val="00E7368C"/>
    <w:rsid w:val="00E73E76"/>
    <w:rsid w:val="00E73E77"/>
    <w:rsid w:val="00E73E9E"/>
    <w:rsid w:val="00E73F23"/>
    <w:rsid w:val="00E74171"/>
    <w:rsid w:val="00E7439D"/>
    <w:rsid w:val="00E743FB"/>
    <w:rsid w:val="00E74660"/>
    <w:rsid w:val="00E74A2D"/>
    <w:rsid w:val="00E74B66"/>
    <w:rsid w:val="00E74D1A"/>
    <w:rsid w:val="00E75036"/>
    <w:rsid w:val="00E75154"/>
    <w:rsid w:val="00E75DCF"/>
    <w:rsid w:val="00E75F2F"/>
    <w:rsid w:val="00E76202"/>
    <w:rsid w:val="00E764EE"/>
    <w:rsid w:val="00E76A10"/>
    <w:rsid w:val="00E76D09"/>
    <w:rsid w:val="00E770FC"/>
    <w:rsid w:val="00E771F8"/>
    <w:rsid w:val="00E777AF"/>
    <w:rsid w:val="00E77D62"/>
    <w:rsid w:val="00E81947"/>
    <w:rsid w:val="00E81D6C"/>
    <w:rsid w:val="00E826B9"/>
    <w:rsid w:val="00E8285F"/>
    <w:rsid w:val="00E82A2D"/>
    <w:rsid w:val="00E82B60"/>
    <w:rsid w:val="00E82DDD"/>
    <w:rsid w:val="00E83275"/>
    <w:rsid w:val="00E834DA"/>
    <w:rsid w:val="00E83526"/>
    <w:rsid w:val="00E8412E"/>
    <w:rsid w:val="00E84838"/>
    <w:rsid w:val="00E85B93"/>
    <w:rsid w:val="00E86162"/>
    <w:rsid w:val="00E862EF"/>
    <w:rsid w:val="00E866D6"/>
    <w:rsid w:val="00E86D6A"/>
    <w:rsid w:val="00E86EAF"/>
    <w:rsid w:val="00E87235"/>
    <w:rsid w:val="00E87629"/>
    <w:rsid w:val="00E87719"/>
    <w:rsid w:val="00E87B9C"/>
    <w:rsid w:val="00E87FCB"/>
    <w:rsid w:val="00E909C9"/>
    <w:rsid w:val="00E90D01"/>
    <w:rsid w:val="00E90DD0"/>
    <w:rsid w:val="00E90E7D"/>
    <w:rsid w:val="00E91B83"/>
    <w:rsid w:val="00E92403"/>
    <w:rsid w:val="00E928A0"/>
    <w:rsid w:val="00E930C2"/>
    <w:rsid w:val="00E93276"/>
    <w:rsid w:val="00E93456"/>
    <w:rsid w:val="00E93B63"/>
    <w:rsid w:val="00E94A81"/>
    <w:rsid w:val="00E94F99"/>
    <w:rsid w:val="00E966D3"/>
    <w:rsid w:val="00E96786"/>
    <w:rsid w:val="00E96C1D"/>
    <w:rsid w:val="00E97276"/>
    <w:rsid w:val="00E97A5D"/>
    <w:rsid w:val="00E97C7A"/>
    <w:rsid w:val="00E97CEA"/>
    <w:rsid w:val="00EA0071"/>
    <w:rsid w:val="00EA09D0"/>
    <w:rsid w:val="00EA0BBB"/>
    <w:rsid w:val="00EA0FA1"/>
    <w:rsid w:val="00EA1459"/>
    <w:rsid w:val="00EA1E9C"/>
    <w:rsid w:val="00EA1FF7"/>
    <w:rsid w:val="00EA29FD"/>
    <w:rsid w:val="00EA2AB8"/>
    <w:rsid w:val="00EA2DF2"/>
    <w:rsid w:val="00EA3B2E"/>
    <w:rsid w:val="00EA3BC9"/>
    <w:rsid w:val="00EA4366"/>
    <w:rsid w:val="00EA438B"/>
    <w:rsid w:val="00EA43FD"/>
    <w:rsid w:val="00EA48BF"/>
    <w:rsid w:val="00EA55B4"/>
    <w:rsid w:val="00EA57FD"/>
    <w:rsid w:val="00EA705C"/>
    <w:rsid w:val="00EA7B57"/>
    <w:rsid w:val="00EB02EB"/>
    <w:rsid w:val="00EB0B56"/>
    <w:rsid w:val="00EB195E"/>
    <w:rsid w:val="00EB1B1F"/>
    <w:rsid w:val="00EB2487"/>
    <w:rsid w:val="00EB285D"/>
    <w:rsid w:val="00EB28EB"/>
    <w:rsid w:val="00EB37BF"/>
    <w:rsid w:val="00EB37CC"/>
    <w:rsid w:val="00EB3EFC"/>
    <w:rsid w:val="00EB3F41"/>
    <w:rsid w:val="00EB40AC"/>
    <w:rsid w:val="00EB430A"/>
    <w:rsid w:val="00EB46E9"/>
    <w:rsid w:val="00EB54D5"/>
    <w:rsid w:val="00EB64F5"/>
    <w:rsid w:val="00EB6ADD"/>
    <w:rsid w:val="00EB6B7C"/>
    <w:rsid w:val="00EB76B4"/>
    <w:rsid w:val="00EC01E2"/>
    <w:rsid w:val="00EC07E1"/>
    <w:rsid w:val="00EC08A7"/>
    <w:rsid w:val="00EC1241"/>
    <w:rsid w:val="00EC18AF"/>
    <w:rsid w:val="00EC1C5D"/>
    <w:rsid w:val="00EC1CA3"/>
    <w:rsid w:val="00EC2112"/>
    <w:rsid w:val="00EC26ED"/>
    <w:rsid w:val="00EC2894"/>
    <w:rsid w:val="00EC31AE"/>
    <w:rsid w:val="00EC3FCA"/>
    <w:rsid w:val="00EC470A"/>
    <w:rsid w:val="00EC4780"/>
    <w:rsid w:val="00EC5EE2"/>
    <w:rsid w:val="00EC6478"/>
    <w:rsid w:val="00EC64F6"/>
    <w:rsid w:val="00EC6EFC"/>
    <w:rsid w:val="00EC710C"/>
    <w:rsid w:val="00EC7260"/>
    <w:rsid w:val="00EC7B31"/>
    <w:rsid w:val="00EC7BD9"/>
    <w:rsid w:val="00EC7E94"/>
    <w:rsid w:val="00EC7FC4"/>
    <w:rsid w:val="00ED02D5"/>
    <w:rsid w:val="00ED047F"/>
    <w:rsid w:val="00ED0B34"/>
    <w:rsid w:val="00ED0CD6"/>
    <w:rsid w:val="00ED1644"/>
    <w:rsid w:val="00ED1DB6"/>
    <w:rsid w:val="00ED1F51"/>
    <w:rsid w:val="00ED2377"/>
    <w:rsid w:val="00ED26FF"/>
    <w:rsid w:val="00ED2730"/>
    <w:rsid w:val="00ED27AB"/>
    <w:rsid w:val="00ED2945"/>
    <w:rsid w:val="00ED2C83"/>
    <w:rsid w:val="00ED2F21"/>
    <w:rsid w:val="00ED3EDC"/>
    <w:rsid w:val="00ED412A"/>
    <w:rsid w:val="00ED448F"/>
    <w:rsid w:val="00ED5483"/>
    <w:rsid w:val="00ED610A"/>
    <w:rsid w:val="00ED621C"/>
    <w:rsid w:val="00ED642E"/>
    <w:rsid w:val="00ED6802"/>
    <w:rsid w:val="00ED70E1"/>
    <w:rsid w:val="00ED747A"/>
    <w:rsid w:val="00ED766F"/>
    <w:rsid w:val="00ED7BFC"/>
    <w:rsid w:val="00EE040A"/>
    <w:rsid w:val="00EE061C"/>
    <w:rsid w:val="00EE087C"/>
    <w:rsid w:val="00EE12E3"/>
    <w:rsid w:val="00EE165D"/>
    <w:rsid w:val="00EE23BD"/>
    <w:rsid w:val="00EE250B"/>
    <w:rsid w:val="00EE2EAE"/>
    <w:rsid w:val="00EE3230"/>
    <w:rsid w:val="00EE3319"/>
    <w:rsid w:val="00EE34FB"/>
    <w:rsid w:val="00EE38E9"/>
    <w:rsid w:val="00EE3DC6"/>
    <w:rsid w:val="00EE3FE3"/>
    <w:rsid w:val="00EE4BD5"/>
    <w:rsid w:val="00EE51F4"/>
    <w:rsid w:val="00EE5C54"/>
    <w:rsid w:val="00EE5F98"/>
    <w:rsid w:val="00EE6621"/>
    <w:rsid w:val="00EE6E34"/>
    <w:rsid w:val="00EE6F06"/>
    <w:rsid w:val="00EE7FA7"/>
    <w:rsid w:val="00EF0275"/>
    <w:rsid w:val="00EF0AD9"/>
    <w:rsid w:val="00EF0E13"/>
    <w:rsid w:val="00EF0E68"/>
    <w:rsid w:val="00EF10E7"/>
    <w:rsid w:val="00EF11FF"/>
    <w:rsid w:val="00EF27F5"/>
    <w:rsid w:val="00EF2973"/>
    <w:rsid w:val="00EF2FD5"/>
    <w:rsid w:val="00EF3768"/>
    <w:rsid w:val="00EF38F4"/>
    <w:rsid w:val="00EF3A78"/>
    <w:rsid w:val="00EF3B68"/>
    <w:rsid w:val="00EF3E30"/>
    <w:rsid w:val="00EF3F19"/>
    <w:rsid w:val="00EF3FD0"/>
    <w:rsid w:val="00EF45D1"/>
    <w:rsid w:val="00EF462D"/>
    <w:rsid w:val="00EF48A0"/>
    <w:rsid w:val="00EF4DDC"/>
    <w:rsid w:val="00EF4EC9"/>
    <w:rsid w:val="00EF5060"/>
    <w:rsid w:val="00EF5766"/>
    <w:rsid w:val="00EF5F08"/>
    <w:rsid w:val="00EF62F0"/>
    <w:rsid w:val="00EF65FB"/>
    <w:rsid w:val="00EF6B4C"/>
    <w:rsid w:val="00EF6BE8"/>
    <w:rsid w:val="00EF6C1A"/>
    <w:rsid w:val="00EF7A7E"/>
    <w:rsid w:val="00F0019B"/>
    <w:rsid w:val="00F00810"/>
    <w:rsid w:val="00F00D3C"/>
    <w:rsid w:val="00F010CF"/>
    <w:rsid w:val="00F011ED"/>
    <w:rsid w:val="00F016E0"/>
    <w:rsid w:val="00F0209C"/>
    <w:rsid w:val="00F020BD"/>
    <w:rsid w:val="00F02869"/>
    <w:rsid w:val="00F02A35"/>
    <w:rsid w:val="00F031AE"/>
    <w:rsid w:val="00F03FA8"/>
    <w:rsid w:val="00F0415E"/>
    <w:rsid w:val="00F04227"/>
    <w:rsid w:val="00F04846"/>
    <w:rsid w:val="00F04B02"/>
    <w:rsid w:val="00F05A08"/>
    <w:rsid w:val="00F062C1"/>
    <w:rsid w:val="00F06AAA"/>
    <w:rsid w:val="00F06ED2"/>
    <w:rsid w:val="00F10656"/>
    <w:rsid w:val="00F10D7F"/>
    <w:rsid w:val="00F110B3"/>
    <w:rsid w:val="00F11648"/>
    <w:rsid w:val="00F11772"/>
    <w:rsid w:val="00F12424"/>
    <w:rsid w:val="00F12855"/>
    <w:rsid w:val="00F129A5"/>
    <w:rsid w:val="00F1314B"/>
    <w:rsid w:val="00F1344E"/>
    <w:rsid w:val="00F137C5"/>
    <w:rsid w:val="00F137DC"/>
    <w:rsid w:val="00F1386C"/>
    <w:rsid w:val="00F1432F"/>
    <w:rsid w:val="00F15E76"/>
    <w:rsid w:val="00F1611A"/>
    <w:rsid w:val="00F16413"/>
    <w:rsid w:val="00F16695"/>
    <w:rsid w:val="00F16698"/>
    <w:rsid w:val="00F16BB0"/>
    <w:rsid w:val="00F16D1B"/>
    <w:rsid w:val="00F16EC0"/>
    <w:rsid w:val="00F170D4"/>
    <w:rsid w:val="00F208E1"/>
    <w:rsid w:val="00F20B64"/>
    <w:rsid w:val="00F20C98"/>
    <w:rsid w:val="00F210E8"/>
    <w:rsid w:val="00F21783"/>
    <w:rsid w:val="00F2367E"/>
    <w:rsid w:val="00F2402E"/>
    <w:rsid w:val="00F24A40"/>
    <w:rsid w:val="00F24C63"/>
    <w:rsid w:val="00F24EAC"/>
    <w:rsid w:val="00F24EEC"/>
    <w:rsid w:val="00F25C4F"/>
    <w:rsid w:val="00F25DEF"/>
    <w:rsid w:val="00F26138"/>
    <w:rsid w:val="00F262BC"/>
    <w:rsid w:val="00F267D0"/>
    <w:rsid w:val="00F268CC"/>
    <w:rsid w:val="00F2694A"/>
    <w:rsid w:val="00F26F45"/>
    <w:rsid w:val="00F26F5C"/>
    <w:rsid w:val="00F27002"/>
    <w:rsid w:val="00F27026"/>
    <w:rsid w:val="00F2763C"/>
    <w:rsid w:val="00F27B55"/>
    <w:rsid w:val="00F27EE8"/>
    <w:rsid w:val="00F301DA"/>
    <w:rsid w:val="00F302E0"/>
    <w:rsid w:val="00F303AD"/>
    <w:rsid w:val="00F305D7"/>
    <w:rsid w:val="00F3061A"/>
    <w:rsid w:val="00F310F8"/>
    <w:rsid w:val="00F32EA2"/>
    <w:rsid w:val="00F330D3"/>
    <w:rsid w:val="00F332EB"/>
    <w:rsid w:val="00F33388"/>
    <w:rsid w:val="00F335D5"/>
    <w:rsid w:val="00F33F92"/>
    <w:rsid w:val="00F33FCD"/>
    <w:rsid w:val="00F3429A"/>
    <w:rsid w:val="00F34411"/>
    <w:rsid w:val="00F34960"/>
    <w:rsid w:val="00F34EEF"/>
    <w:rsid w:val="00F36074"/>
    <w:rsid w:val="00F36572"/>
    <w:rsid w:val="00F36681"/>
    <w:rsid w:val="00F36BDA"/>
    <w:rsid w:val="00F37444"/>
    <w:rsid w:val="00F37839"/>
    <w:rsid w:val="00F37DB4"/>
    <w:rsid w:val="00F37DBA"/>
    <w:rsid w:val="00F4028A"/>
    <w:rsid w:val="00F4028B"/>
    <w:rsid w:val="00F40F43"/>
    <w:rsid w:val="00F41BB0"/>
    <w:rsid w:val="00F4234F"/>
    <w:rsid w:val="00F427D7"/>
    <w:rsid w:val="00F431F9"/>
    <w:rsid w:val="00F432C5"/>
    <w:rsid w:val="00F4340A"/>
    <w:rsid w:val="00F438E7"/>
    <w:rsid w:val="00F43A1E"/>
    <w:rsid w:val="00F44718"/>
    <w:rsid w:val="00F448A3"/>
    <w:rsid w:val="00F44C7F"/>
    <w:rsid w:val="00F44DD5"/>
    <w:rsid w:val="00F44F76"/>
    <w:rsid w:val="00F45372"/>
    <w:rsid w:val="00F45586"/>
    <w:rsid w:val="00F45DA0"/>
    <w:rsid w:val="00F45FEC"/>
    <w:rsid w:val="00F46024"/>
    <w:rsid w:val="00F46062"/>
    <w:rsid w:val="00F4621B"/>
    <w:rsid w:val="00F463AF"/>
    <w:rsid w:val="00F466A6"/>
    <w:rsid w:val="00F46FC6"/>
    <w:rsid w:val="00F47513"/>
    <w:rsid w:val="00F47680"/>
    <w:rsid w:val="00F47DC6"/>
    <w:rsid w:val="00F50FFD"/>
    <w:rsid w:val="00F5178C"/>
    <w:rsid w:val="00F51E01"/>
    <w:rsid w:val="00F51FCB"/>
    <w:rsid w:val="00F52570"/>
    <w:rsid w:val="00F52AFB"/>
    <w:rsid w:val="00F52B96"/>
    <w:rsid w:val="00F53040"/>
    <w:rsid w:val="00F5384F"/>
    <w:rsid w:val="00F53AB6"/>
    <w:rsid w:val="00F53D3D"/>
    <w:rsid w:val="00F5454B"/>
    <w:rsid w:val="00F54E9E"/>
    <w:rsid w:val="00F55D22"/>
    <w:rsid w:val="00F56A58"/>
    <w:rsid w:val="00F56B52"/>
    <w:rsid w:val="00F56BB1"/>
    <w:rsid w:val="00F573BC"/>
    <w:rsid w:val="00F578ED"/>
    <w:rsid w:val="00F57DDC"/>
    <w:rsid w:val="00F602F0"/>
    <w:rsid w:val="00F608F3"/>
    <w:rsid w:val="00F61296"/>
    <w:rsid w:val="00F61A2F"/>
    <w:rsid w:val="00F621FA"/>
    <w:rsid w:val="00F637A7"/>
    <w:rsid w:val="00F638E7"/>
    <w:rsid w:val="00F63C94"/>
    <w:rsid w:val="00F64261"/>
    <w:rsid w:val="00F647A9"/>
    <w:rsid w:val="00F64833"/>
    <w:rsid w:val="00F6541A"/>
    <w:rsid w:val="00F6594E"/>
    <w:rsid w:val="00F65E72"/>
    <w:rsid w:val="00F65EE8"/>
    <w:rsid w:val="00F6659F"/>
    <w:rsid w:val="00F66980"/>
    <w:rsid w:val="00F6728F"/>
    <w:rsid w:val="00F67CDE"/>
    <w:rsid w:val="00F706B8"/>
    <w:rsid w:val="00F709A6"/>
    <w:rsid w:val="00F70D82"/>
    <w:rsid w:val="00F710A3"/>
    <w:rsid w:val="00F71509"/>
    <w:rsid w:val="00F7206A"/>
    <w:rsid w:val="00F72157"/>
    <w:rsid w:val="00F72388"/>
    <w:rsid w:val="00F72F7D"/>
    <w:rsid w:val="00F7387D"/>
    <w:rsid w:val="00F738A8"/>
    <w:rsid w:val="00F73C35"/>
    <w:rsid w:val="00F73EF7"/>
    <w:rsid w:val="00F742C7"/>
    <w:rsid w:val="00F743D5"/>
    <w:rsid w:val="00F74FA9"/>
    <w:rsid w:val="00F75D02"/>
    <w:rsid w:val="00F76B1B"/>
    <w:rsid w:val="00F77B14"/>
    <w:rsid w:val="00F77F68"/>
    <w:rsid w:val="00F80316"/>
    <w:rsid w:val="00F80327"/>
    <w:rsid w:val="00F81273"/>
    <w:rsid w:val="00F815F9"/>
    <w:rsid w:val="00F81E7C"/>
    <w:rsid w:val="00F83462"/>
    <w:rsid w:val="00F83B71"/>
    <w:rsid w:val="00F83E8F"/>
    <w:rsid w:val="00F8512B"/>
    <w:rsid w:val="00F861E0"/>
    <w:rsid w:val="00F862F2"/>
    <w:rsid w:val="00F86BEB"/>
    <w:rsid w:val="00F8723D"/>
    <w:rsid w:val="00F878A8"/>
    <w:rsid w:val="00F87B41"/>
    <w:rsid w:val="00F9018D"/>
    <w:rsid w:val="00F901C9"/>
    <w:rsid w:val="00F90204"/>
    <w:rsid w:val="00F90714"/>
    <w:rsid w:val="00F90FBA"/>
    <w:rsid w:val="00F911CD"/>
    <w:rsid w:val="00F9149C"/>
    <w:rsid w:val="00F9164A"/>
    <w:rsid w:val="00F92118"/>
    <w:rsid w:val="00F922BD"/>
    <w:rsid w:val="00F9233A"/>
    <w:rsid w:val="00F92563"/>
    <w:rsid w:val="00F92777"/>
    <w:rsid w:val="00F92AEE"/>
    <w:rsid w:val="00F9311E"/>
    <w:rsid w:val="00F945E7"/>
    <w:rsid w:val="00F95949"/>
    <w:rsid w:val="00F95C83"/>
    <w:rsid w:val="00F95E4A"/>
    <w:rsid w:val="00F96274"/>
    <w:rsid w:val="00F97169"/>
    <w:rsid w:val="00F974AF"/>
    <w:rsid w:val="00F9787C"/>
    <w:rsid w:val="00F97991"/>
    <w:rsid w:val="00F97B39"/>
    <w:rsid w:val="00F97CF7"/>
    <w:rsid w:val="00FA0164"/>
    <w:rsid w:val="00FA0201"/>
    <w:rsid w:val="00FA035F"/>
    <w:rsid w:val="00FA11F8"/>
    <w:rsid w:val="00FA12DB"/>
    <w:rsid w:val="00FA178A"/>
    <w:rsid w:val="00FA1AF0"/>
    <w:rsid w:val="00FA1DA8"/>
    <w:rsid w:val="00FA2589"/>
    <w:rsid w:val="00FA35A7"/>
    <w:rsid w:val="00FA4512"/>
    <w:rsid w:val="00FA4833"/>
    <w:rsid w:val="00FA4A04"/>
    <w:rsid w:val="00FA4C79"/>
    <w:rsid w:val="00FA5252"/>
    <w:rsid w:val="00FA5BB4"/>
    <w:rsid w:val="00FA66DB"/>
    <w:rsid w:val="00FA67E1"/>
    <w:rsid w:val="00FA7C59"/>
    <w:rsid w:val="00FA7D60"/>
    <w:rsid w:val="00FA7E92"/>
    <w:rsid w:val="00FA7EB7"/>
    <w:rsid w:val="00FA7FF1"/>
    <w:rsid w:val="00FB0109"/>
    <w:rsid w:val="00FB0219"/>
    <w:rsid w:val="00FB0554"/>
    <w:rsid w:val="00FB094A"/>
    <w:rsid w:val="00FB0D6A"/>
    <w:rsid w:val="00FB1084"/>
    <w:rsid w:val="00FB294C"/>
    <w:rsid w:val="00FB2F22"/>
    <w:rsid w:val="00FB3008"/>
    <w:rsid w:val="00FB35C5"/>
    <w:rsid w:val="00FB366C"/>
    <w:rsid w:val="00FB3727"/>
    <w:rsid w:val="00FB381F"/>
    <w:rsid w:val="00FB4246"/>
    <w:rsid w:val="00FB4547"/>
    <w:rsid w:val="00FB46D7"/>
    <w:rsid w:val="00FB470F"/>
    <w:rsid w:val="00FB51B1"/>
    <w:rsid w:val="00FB5BD2"/>
    <w:rsid w:val="00FB6BFA"/>
    <w:rsid w:val="00FB7106"/>
    <w:rsid w:val="00FC0555"/>
    <w:rsid w:val="00FC06E5"/>
    <w:rsid w:val="00FC0E5E"/>
    <w:rsid w:val="00FC0EB6"/>
    <w:rsid w:val="00FC0EDA"/>
    <w:rsid w:val="00FC1346"/>
    <w:rsid w:val="00FC1AD8"/>
    <w:rsid w:val="00FC1BA9"/>
    <w:rsid w:val="00FC2B4F"/>
    <w:rsid w:val="00FC33CC"/>
    <w:rsid w:val="00FC3432"/>
    <w:rsid w:val="00FC3BC6"/>
    <w:rsid w:val="00FC439E"/>
    <w:rsid w:val="00FC4865"/>
    <w:rsid w:val="00FC57DF"/>
    <w:rsid w:val="00FC6381"/>
    <w:rsid w:val="00FC6ACB"/>
    <w:rsid w:val="00FC6C7A"/>
    <w:rsid w:val="00FC6E1C"/>
    <w:rsid w:val="00FC71B7"/>
    <w:rsid w:val="00FC7F10"/>
    <w:rsid w:val="00FD003C"/>
    <w:rsid w:val="00FD03E7"/>
    <w:rsid w:val="00FD0FBA"/>
    <w:rsid w:val="00FD12E4"/>
    <w:rsid w:val="00FD141D"/>
    <w:rsid w:val="00FD17C8"/>
    <w:rsid w:val="00FD1B4D"/>
    <w:rsid w:val="00FD20C4"/>
    <w:rsid w:val="00FD24D2"/>
    <w:rsid w:val="00FD30CB"/>
    <w:rsid w:val="00FD31AC"/>
    <w:rsid w:val="00FD3228"/>
    <w:rsid w:val="00FD324C"/>
    <w:rsid w:val="00FD354B"/>
    <w:rsid w:val="00FD3D89"/>
    <w:rsid w:val="00FD48DB"/>
    <w:rsid w:val="00FD4AA3"/>
    <w:rsid w:val="00FD4AEB"/>
    <w:rsid w:val="00FD4ED3"/>
    <w:rsid w:val="00FD558F"/>
    <w:rsid w:val="00FD6026"/>
    <w:rsid w:val="00FD60FC"/>
    <w:rsid w:val="00FD68D5"/>
    <w:rsid w:val="00FD6CE9"/>
    <w:rsid w:val="00FD736D"/>
    <w:rsid w:val="00FD78D7"/>
    <w:rsid w:val="00FD7F09"/>
    <w:rsid w:val="00FE010C"/>
    <w:rsid w:val="00FE076D"/>
    <w:rsid w:val="00FE170D"/>
    <w:rsid w:val="00FE181E"/>
    <w:rsid w:val="00FE22D2"/>
    <w:rsid w:val="00FE3271"/>
    <w:rsid w:val="00FE3650"/>
    <w:rsid w:val="00FE3826"/>
    <w:rsid w:val="00FE3986"/>
    <w:rsid w:val="00FE3AE7"/>
    <w:rsid w:val="00FE3FC2"/>
    <w:rsid w:val="00FE40F4"/>
    <w:rsid w:val="00FE45F2"/>
    <w:rsid w:val="00FE4694"/>
    <w:rsid w:val="00FE46A9"/>
    <w:rsid w:val="00FE5484"/>
    <w:rsid w:val="00FE5E78"/>
    <w:rsid w:val="00FE6569"/>
    <w:rsid w:val="00FE6601"/>
    <w:rsid w:val="00FE668C"/>
    <w:rsid w:val="00FE6912"/>
    <w:rsid w:val="00FE69B7"/>
    <w:rsid w:val="00FE6F8D"/>
    <w:rsid w:val="00FE7279"/>
    <w:rsid w:val="00FE79DF"/>
    <w:rsid w:val="00FF0053"/>
    <w:rsid w:val="00FF05FE"/>
    <w:rsid w:val="00FF0710"/>
    <w:rsid w:val="00FF0EC7"/>
    <w:rsid w:val="00FF1209"/>
    <w:rsid w:val="00FF1DE1"/>
    <w:rsid w:val="00FF20A6"/>
    <w:rsid w:val="00FF22B0"/>
    <w:rsid w:val="00FF22BC"/>
    <w:rsid w:val="00FF263D"/>
    <w:rsid w:val="00FF3129"/>
    <w:rsid w:val="00FF3466"/>
    <w:rsid w:val="00FF3967"/>
    <w:rsid w:val="00FF3E82"/>
    <w:rsid w:val="00FF41C9"/>
    <w:rsid w:val="00FF45A6"/>
    <w:rsid w:val="00FF4EDC"/>
    <w:rsid w:val="00FF515A"/>
    <w:rsid w:val="00FF5484"/>
    <w:rsid w:val="00FF5817"/>
    <w:rsid w:val="00FF583A"/>
    <w:rsid w:val="00FF59DA"/>
    <w:rsid w:val="00FF618C"/>
    <w:rsid w:val="00FF6983"/>
    <w:rsid w:val="00FF727E"/>
    <w:rsid w:val="00FF7713"/>
    <w:rsid w:val="00FF7AAB"/>
    <w:rsid w:val="00FF7C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74C7B7"/>
  <w15:docId w15:val="{AE12FAB2-58AE-4078-92C9-630B87B1C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51B"/>
    <w:pPr>
      <w:spacing w:line="360" w:lineRule="auto"/>
      <w:jc w:val="both"/>
    </w:pPr>
    <w:rPr>
      <w:rFonts w:ascii="Times New Roman" w:eastAsia="Times New Roman" w:hAnsi="Times New Roman" w:cs="Times New Roman"/>
      <w:lang w:val="en-US" w:eastAsia="de-DE"/>
    </w:rPr>
  </w:style>
  <w:style w:type="paragraph" w:styleId="Heading1">
    <w:name w:val="heading 1"/>
    <w:basedOn w:val="Normal"/>
    <w:next w:val="Normal"/>
    <w:link w:val="Heading1Char"/>
    <w:uiPriority w:val="9"/>
    <w:qFormat/>
    <w:rsid w:val="00A66598"/>
    <w:pPr>
      <w:keepNext/>
      <w:keepLines/>
      <w:numPr>
        <w:numId w:val="2"/>
      </w:numP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A66598"/>
    <w:pPr>
      <w:keepNext/>
      <w:keepLines/>
      <w:numPr>
        <w:ilvl w:val="1"/>
        <w:numId w:val="2"/>
      </w:numPr>
      <w:spacing w:before="120" w:after="120"/>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9426CD"/>
    <w:pPr>
      <w:keepNext/>
      <w:keepLines/>
      <w:numPr>
        <w:ilvl w:val="2"/>
        <w:numId w:val="2"/>
      </w:numPr>
      <w:spacing w:before="120" w:after="120"/>
      <w:outlineLvl w:val="2"/>
    </w:pPr>
    <w:rPr>
      <w:rFonts w:eastAsiaTheme="majorEastAsia" w:cstheme="majorBidi"/>
      <w:b/>
      <w:color w:val="000000" w:themeColor="text1"/>
    </w:rPr>
  </w:style>
  <w:style w:type="paragraph" w:styleId="Heading4">
    <w:name w:val="heading 4"/>
    <w:basedOn w:val="Normal"/>
    <w:next w:val="Normal"/>
    <w:link w:val="Heading4Char"/>
    <w:uiPriority w:val="9"/>
    <w:unhideWhenUsed/>
    <w:qFormat/>
    <w:rsid w:val="00F47680"/>
    <w:pPr>
      <w:keepNext/>
      <w:keepLines/>
      <w:numPr>
        <w:ilvl w:val="3"/>
        <w:numId w:val="2"/>
      </w:numPr>
      <w:spacing w:before="40"/>
      <w:outlineLvl w:val="3"/>
    </w:pPr>
    <w:rPr>
      <w:rFonts w:eastAsiaTheme="majorEastAsia" w:cstheme="majorBidi"/>
      <w:b/>
      <w:iCs/>
      <w:color w:val="000000" w:themeColor="text1"/>
    </w:rPr>
  </w:style>
  <w:style w:type="paragraph" w:styleId="Heading5">
    <w:name w:val="heading 5"/>
    <w:basedOn w:val="Normal"/>
    <w:next w:val="Normal"/>
    <w:link w:val="Heading5Char"/>
    <w:uiPriority w:val="9"/>
    <w:unhideWhenUsed/>
    <w:qFormat/>
    <w:rsid w:val="000B2CCE"/>
    <w:pPr>
      <w:keepNext/>
      <w:keepLines/>
      <w:numPr>
        <w:ilvl w:val="4"/>
        <w:numId w:val="2"/>
      </w:numPr>
      <w:spacing w:before="40"/>
      <w:outlineLvl w:val="4"/>
    </w:pPr>
    <w:rPr>
      <w:rFonts w:eastAsiaTheme="majorEastAsia" w:cstheme="majorBidi"/>
      <w:b/>
      <w:color w:val="000000" w:themeColor="text1"/>
    </w:rPr>
  </w:style>
  <w:style w:type="paragraph" w:styleId="Heading6">
    <w:name w:val="heading 6"/>
    <w:basedOn w:val="Normal"/>
    <w:next w:val="Normal"/>
    <w:link w:val="Heading6Char"/>
    <w:uiPriority w:val="9"/>
    <w:unhideWhenUsed/>
    <w:qFormat/>
    <w:rsid w:val="002811F9"/>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811F9"/>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811F9"/>
    <w:pPr>
      <w:keepNext/>
      <w:keepLines/>
      <w:numPr>
        <w:ilvl w:val="7"/>
        <w:numId w:val="2"/>
      </w:numPr>
      <w:tabs>
        <w:tab w:val="num" w:pos="36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811F9"/>
    <w:pPr>
      <w:keepNext/>
      <w:keepLines/>
      <w:numPr>
        <w:ilvl w:val="8"/>
        <w:numId w:val="2"/>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598"/>
    <w:rPr>
      <w:rFonts w:ascii="Times New Roman" w:eastAsiaTheme="majorEastAsia" w:hAnsi="Times New Roman" w:cstheme="majorBidi"/>
      <w:b/>
      <w:color w:val="000000" w:themeColor="text1"/>
      <w:sz w:val="32"/>
      <w:szCs w:val="32"/>
    </w:rPr>
  </w:style>
  <w:style w:type="paragraph" w:styleId="TOCHeading">
    <w:name w:val="TOC Heading"/>
    <w:basedOn w:val="Heading1"/>
    <w:next w:val="Normal"/>
    <w:uiPriority w:val="39"/>
    <w:unhideWhenUsed/>
    <w:qFormat/>
    <w:rsid w:val="001035A0"/>
    <w:pPr>
      <w:spacing w:before="480" w:line="276" w:lineRule="auto"/>
      <w:outlineLvl w:val="9"/>
    </w:pPr>
    <w:rPr>
      <w:b w:val="0"/>
      <w:bCs/>
      <w:color w:val="2F5496" w:themeColor="accent1" w:themeShade="BF"/>
      <w:sz w:val="28"/>
      <w:szCs w:val="28"/>
    </w:rPr>
  </w:style>
  <w:style w:type="paragraph" w:styleId="TOC1">
    <w:name w:val="toc 1"/>
    <w:basedOn w:val="Normal"/>
    <w:next w:val="Normal"/>
    <w:autoRedefine/>
    <w:uiPriority w:val="39"/>
    <w:unhideWhenUsed/>
    <w:rsid w:val="004E42B2"/>
    <w:pPr>
      <w:tabs>
        <w:tab w:val="left" w:pos="350"/>
        <w:tab w:val="right" w:leader="dot" w:pos="8493"/>
      </w:tabs>
      <w:spacing w:before="120" w:after="120"/>
    </w:pPr>
    <w:rPr>
      <w:rFonts w:cstheme="minorHAnsi"/>
      <w:bCs/>
      <w:caps/>
      <w:sz w:val="22"/>
      <w:szCs w:val="22"/>
    </w:rPr>
  </w:style>
  <w:style w:type="character" w:styleId="Hyperlink">
    <w:name w:val="Hyperlink"/>
    <w:basedOn w:val="DefaultParagraphFont"/>
    <w:uiPriority w:val="99"/>
    <w:unhideWhenUsed/>
    <w:rsid w:val="001035A0"/>
    <w:rPr>
      <w:color w:val="0563C1" w:themeColor="hyperlink"/>
      <w:u w:val="single"/>
    </w:rPr>
  </w:style>
  <w:style w:type="paragraph" w:styleId="TOC2">
    <w:name w:val="toc 2"/>
    <w:basedOn w:val="Normal"/>
    <w:next w:val="Normal"/>
    <w:autoRedefine/>
    <w:uiPriority w:val="39"/>
    <w:unhideWhenUsed/>
    <w:rsid w:val="00CC4012"/>
    <w:rPr>
      <w:rFonts w:cstheme="minorHAnsi"/>
      <w:bCs/>
      <w:smallCaps/>
      <w:sz w:val="22"/>
      <w:szCs w:val="22"/>
    </w:rPr>
  </w:style>
  <w:style w:type="paragraph" w:styleId="TOC3">
    <w:name w:val="toc 3"/>
    <w:basedOn w:val="Normal"/>
    <w:next w:val="Normal"/>
    <w:autoRedefine/>
    <w:uiPriority w:val="39"/>
    <w:unhideWhenUsed/>
    <w:rsid w:val="001035A0"/>
    <w:rPr>
      <w:rFonts w:cstheme="minorHAnsi"/>
      <w:smallCaps/>
      <w:sz w:val="22"/>
      <w:szCs w:val="22"/>
    </w:rPr>
  </w:style>
  <w:style w:type="paragraph" w:styleId="TOC4">
    <w:name w:val="toc 4"/>
    <w:basedOn w:val="Normal"/>
    <w:next w:val="Normal"/>
    <w:autoRedefine/>
    <w:uiPriority w:val="39"/>
    <w:unhideWhenUsed/>
    <w:rsid w:val="00CC4012"/>
    <w:rPr>
      <w:rFonts w:cstheme="minorHAnsi"/>
      <w:smallCaps/>
      <w:sz w:val="22"/>
      <w:szCs w:val="22"/>
    </w:rPr>
  </w:style>
  <w:style w:type="paragraph" w:styleId="TOC5">
    <w:name w:val="toc 5"/>
    <w:basedOn w:val="Normal"/>
    <w:next w:val="Normal"/>
    <w:autoRedefine/>
    <w:uiPriority w:val="39"/>
    <w:unhideWhenUsed/>
    <w:rsid w:val="00CC4012"/>
    <w:rPr>
      <w:rFonts w:cstheme="minorHAnsi"/>
      <w:smallCaps/>
      <w:sz w:val="22"/>
      <w:szCs w:val="22"/>
    </w:rPr>
  </w:style>
  <w:style w:type="paragraph" w:styleId="TOC6">
    <w:name w:val="toc 6"/>
    <w:basedOn w:val="Normal"/>
    <w:next w:val="Normal"/>
    <w:autoRedefine/>
    <w:uiPriority w:val="39"/>
    <w:semiHidden/>
    <w:unhideWhenUsed/>
    <w:rsid w:val="001035A0"/>
    <w:rPr>
      <w:rFonts w:cstheme="minorHAnsi"/>
      <w:sz w:val="22"/>
      <w:szCs w:val="22"/>
    </w:rPr>
  </w:style>
  <w:style w:type="paragraph" w:styleId="TOC7">
    <w:name w:val="toc 7"/>
    <w:basedOn w:val="Normal"/>
    <w:next w:val="Normal"/>
    <w:autoRedefine/>
    <w:uiPriority w:val="39"/>
    <w:semiHidden/>
    <w:unhideWhenUsed/>
    <w:rsid w:val="001035A0"/>
    <w:rPr>
      <w:rFonts w:cstheme="minorHAnsi"/>
      <w:sz w:val="22"/>
      <w:szCs w:val="22"/>
    </w:rPr>
  </w:style>
  <w:style w:type="paragraph" w:styleId="TOC8">
    <w:name w:val="toc 8"/>
    <w:basedOn w:val="Normal"/>
    <w:next w:val="Normal"/>
    <w:autoRedefine/>
    <w:uiPriority w:val="39"/>
    <w:semiHidden/>
    <w:unhideWhenUsed/>
    <w:rsid w:val="001035A0"/>
    <w:rPr>
      <w:rFonts w:cstheme="minorHAnsi"/>
      <w:sz w:val="22"/>
      <w:szCs w:val="22"/>
    </w:rPr>
  </w:style>
  <w:style w:type="paragraph" w:styleId="TOC9">
    <w:name w:val="toc 9"/>
    <w:basedOn w:val="Normal"/>
    <w:next w:val="Normal"/>
    <w:autoRedefine/>
    <w:uiPriority w:val="39"/>
    <w:semiHidden/>
    <w:unhideWhenUsed/>
    <w:rsid w:val="001035A0"/>
    <w:rPr>
      <w:rFonts w:cstheme="minorHAnsi"/>
      <w:sz w:val="22"/>
      <w:szCs w:val="22"/>
    </w:rPr>
  </w:style>
  <w:style w:type="table" w:styleId="TableGrid">
    <w:name w:val="Table Grid"/>
    <w:basedOn w:val="TableNormal"/>
    <w:uiPriority w:val="39"/>
    <w:rsid w:val="001035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035A0"/>
    <w:pPr>
      <w:ind w:left="720"/>
      <w:contextualSpacing/>
    </w:pPr>
  </w:style>
  <w:style w:type="character" w:customStyle="1" w:styleId="Heading2Char">
    <w:name w:val="Heading 2 Char"/>
    <w:basedOn w:val="DefaultParagraphFont"/>
    <w:link w:val="Heading2"/>
    <w:uiPriority w:val="9"/>
    <w:rsid w:val="00A66598"/>
    <w:rPr>
      <w:rFonts w:ascii="Times New Roman" w:eastAsiaTheme="majorEastAsia" w:hAnsi="Times New Roman" w:cstheme="majorBidi"/>
      <w:b/>
      <w:color w:val="000000" w:themeColor="text1"/>
      <w:sz w:val="26"/>
      <w:szCs w:val="26"/>
    </w:rPr>
  </w:style>
  <w:style w:type="paragraph" w:styleId="NormalWeb">
    <w:name w:val="Normal (Web)"/>
    <w:basedOn w:val="Normal"/>
    <w:uiPriority w:val="99"/>
    <w:unhideWhenUsed/>
    <w:rsid w:val="002F70F8"/>
    <w:pPr>
      <w:spacing w:before="100" w:beforeAutospacing="1" w:after="100" w:afterAutospacing="1"/>
      <w:jc w:val="left"/>
    </w:pPr>
  </w:style>
  <w:style w:type="paragraph" w:styleId="FootnoteText">
    <w:name w:val="footnote text"/>
    <w:basedOn w:val="Normal"/>
    <w:link w:val="FootnoteTextChar"/>
    <w:uiPriority w:val="99"/>
    <w:semiHidden/>
    <w:unhideWhenUsed/>
    <w:rsid w:val="00B1598B"/>
    <w:pPr>
      <w:suppressAutoHyphens/>
      <w:autoSpaceDN w:val="0"/>
      <w:jc w:val="left"/>
    </w:pPr>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B1598B"/>
    <w:rPr>
      <w:rFonts w:ascii="Calibri" w:eastAsia="Calibri" w:hAnsi="Calibri" w:cs="Arial"/>
      <w:sz w:val="20"/>
      <w:szCs w:val="20"/>
    </w:rPr>
  </w:style>
  <w:style w:type="character" w:styleId="FootnoteReference">
    <w:name w:val="footnote reference"/>
    <w:basedOn w:val="DefaultParagraphFont"/>
    <w:uiPriority w:val="99"/>
    <w:semiHidden/>
    <w:unhideWhenUsed/>
    <w:rsid w:val="00B1598B"/>
    <w:rPr>
      <w:vertAlign w:val="superscript"/>
    </w:rPr>
  </w:style>
  <w:style w:type="paragraph" w:customStyle="1" w:styleId="Literaturverzeichnis1">
    <w:name w:val="Literaturverzeichnis1"/>
    <w:basedOn w:val="Normal"/>
    <w:link w:val="BibliographyZchn"/>
    <w:rsid w:val="00B1598B"/>
    <w:pPr>
      <w:suppressAutoHyphens/>
      <w:autoSpaceDN w:val="0"/>
      <w:ind w:left="720" w:hanging="720"/>
      <w:jc w:val="left"/>
    </w:pPr>
    <w:rPr>
      <w:rFonts w:ascii="Calibri" w:eastAsia="Calibri" w:hAnsi="Calibri" w:cs="Arial"/>
      <w:sz w:val="20"/>
      <w:szCs w:val="20"/>
    </w:rPr>
  </w:style>
  <w:style w:type="character" w:customStyle="1" w:styleId="BibliographyZchn">
    <w:name w:val="Bibliography Zchn"/>
    <w:basedOn w:val="FootnoteTextChar"/>
    <w:link w:val="Literaturverzeichnis1"/>
    <w:rsid w:val="00B1598B"/>
    <w:rPr>
      <w:rFonts w:ascii="Calibri" w:eastAsia="Calibri" w:hAnsi="Calibri" w:cs="Arial"/>
      <w:sz w:val="20"/>
      <w:szCs w:val="20"/>
    </w:rPr>
  </w:style>
  <w:style w:type="character" w:customStyle="1" w:styleId="Heading3Char">
    <w:name w:val="Heading 3 Char"/>
    <w:basedOn w:val="DefaultParagraphFont"/>
    <w:link w:val="Heading3"/>
    <w:uiPriority w:val="9"/>
    <w:rsid w:val="009426CD"/>
    <w:rPr>
      <w:rFonts w:ascii="Times New Roman" w:eastAsiaTheme="majorEastAsia" w:hAnsi="Times New Roman" w:cstheme="majorBidi"/>
      <w:b/>
      <w:color w:val="000000" w:themeColor="text1"/>
    </w:rPr>
  </w:style>
  <w:style w:type="character" w:customStyle="1" w:styleId="Heading4Char">
    <w:name w:val="Heading 4 Char"/>
    <w:basedOn w:val="DefaultParagraphFont"/>
    <w:link w:val="Heading4"/>
    <w:uiPriority w:val="9"/>
    <w:rsid w:val="00F47680"/>
    <w:rPr>
      <w:rFonts w:ascii="Times New Roman" w:eastAsiaTheme="majorEastAsia" w:hAnsi="Times New Roman" w:cstheme="majorBidi"/>
      <w:b/>
      <w:iCs/>
      <w:color w:val="000000" w:themeColor="text1"/>
      <w:lang w:eastAsia="de-DE"/>
    </w:rPr>
  </w:style>
  <w:style w:type="character" w:customStyle="1" w:styleId="Heading5Char">
    <w:name w:val="Heading 5 Char"/>
    <w:basedOn w:val="DefaultParagraphFont"/>
    <w:link w:val="Heading5"/>
    <w:uiPriority w:val="9"/>
    <w:rsid w:val="000B2CCE"/>
    <w:rPr>
      <w:rFonts w:ascii="Times New Roman" w:eastAsiaTheme="majorEastAsia" w:hAnsi="Times New Roman" w:cstheme="majorBidi"/>
      <w:b/>
      <w:color w:val="000000" w:themeColor="text1"/>
      <w:lang w:eastAsia="de-DE"/>
    </w:rPr>
  </w:style>
  <w:style w:type="character" w:customStyle="1" w:styleId="Heading6Char">
    <w:name w:val="Heading 6 Char"/>
    <w:basedOn w:val="DefaultParagraphFont"/>
    <w:link w:val="Heading6"/>
    <w:uiPriority w:val="9"/>
    <w:rsid w:val="002811F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2811F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2811F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811F9"/>
    <w:rPr>
      <w:rFonts w:asciiTheme="majorHAnsi" w:eastAsiaTheme="majorEastAsia" w:hAnsiTheme="majorHAnsi" w:cstheme="majorBidi"/>
      <w:i/>
      <w:iCs/>
      <w:color w:val="272727" w:themeColor="text1" w:themeTint="D8"/>
      <w:sz w:val="21"/>
      <w:szCs w:val="21"/>
    </w:rPr>
  </w:style>
  <w:style w:type="paragraph" w:customStyle="1" w:styleId="Literaturverzeichnis2">
    <w:name w:val="Literaturverzeichnis2"/>
    <w:basedOn w:val="Normal"/>
    <w:link w:val="BibliographyZchn1"/>
    <w:rsid w:val="002811F9"/>
    <w:pPr>
      <w:ind w:left="720" w:hanging="720"/>
    </w:pPr>
    <w:rPr>
      <w:rFonts w:asciiTheme="majorHAnsi" w:eastAsiaTheme="majorEastAsia" w:hAnsiTheme="majorHAnsi" w:cstheme="majorBidi"/>
      <w:color w:val="000000" w:themeColor="text1"/>
      <w:sz w:val="32"/>
      <w:szCs w:val="32"/>
    </w:rPr>
  </w:style>
  <w:style w:type="character" w:customStyle="1" w:styleId="BibliographyZchn1">
    <w:name w:val="Bibliography Zchn1"/>
    <w:basedOn w:val="Heading1Char"/>
    <w:link w:val="Literaturverzeichnis2"/>
    <w:rsid w:val="002811F9"/>
    <w:rPr>
      <w:rFonts w:asciiTheme="majorHAnsi" w:eastAsiaTheme="majorEastAsia" w:hAnsiTheme="majorHAnsi" w:cstheme="majorBidi"/>
      <w:b/>
      <w:color w:val="000000" w:themeColor="text1"/>
      <w:sz w:val="32"/>
      <w:szCs w:val="32"/>
    </w:rPr>
  </w:style>
  <w:style w:type="paragraph" w:styleId="EndnoteText">
    <w:name w:val="endnote text"/>
    <w:basedOn w:val="Normal"/>
    <w:link w:val="EndnoteTextChar"/>
    <w:uiPriority w:val="99"/>
    <w:semiHidden/>
    <w:unhideWhenUsed/>
    <w:rsid w:val="00FE668C"/>
    <w:rPr>
      <w:sz w:val="20"/>
      <w:szCs w:val="20"/>
    </w:rPr>
  </w:style>
  <w:style w:type="character" w:customStyle="1" w:styleId="EndnoteTextChar">
    <w:name w:val="Endnote Text Char"/>
    <w:basedOn w:val="DefaultParagraphFont"/>
    <w:link w:val="EndnoteText"/>
    <w:uiPriority w:val="99"/>
    <w:semiHidden/>
    <w:rsid w:val="00FE668C"/>
    <w:rPr>
      <w:sz w:val="20"/>
      <w:szCs w:val="20"/>
    </w:rPr>
  </w:style>
  <w:style w:type="character" w:styleId="EndnoteReference">
    <w:name w:val="endnote reference"/>
    <w:basedOn w:val="DefaultParagraphFont"/>
    <w:uiPriority w:val="99"/>
    <w:semiHidden/>
    <w:unhideWhenUsed/>
    <w:rsid w:val="00FE668C"/>
    <w:rPr>
      <w:vertAlign w:val="superscript"/>
    </w:rPr>
  </w:style>
  <w:style w:type="character" w:styleId="CommentReference">
    <w:name w:val="annotation reference"/>
    <w:basedOn w:val="DefaultParagraphFont"/>
    <w:uiPriority w:val="99"/>
    <w:semiHidden/>
    <w:unhideWhenUsed/>
    <w:rsid w:val="00DB61CF"/>
    <w:rPr>
      <w:sz w:val="16"/>
      <w:szCs w:val="16"/>
    </w:rPr>
  </w:style>
  <w:style w:type="paragraph" w:styleId="CommentText">
    <w:name w:val="annotation text"/>
    <w:basedOn w:val="Normal"/>
    <w:link w:val="CommentTextChar"/>
    <w:uiPriority w:val="99"/>
    <w:unhideWhenUsed/>
    <w:rsid w:val="00DB61CF"/>
    <w:rPr>
      <w:sz w:val="20"/>
      <w:szCs w:val="20"/>
    </w:rPr>
  </w:style>
  <w:style w:type="character" w:customStyle="1" w:styleId="CommentTextChar">
    <w:name w:val="Comment Text Char"/>
    <w:basedOn w:val="DefaultParagraphFont"/>
    <w:link w:val="CommentText"/>
    <w:uiPriority w:val="99"/>
    <w:rsid w:val="00DB61CF"/>
    <w:rPr>
      <w:sz w:val="20"/>
      <w:szCs w:val="20"/>
    </w:rPr>
  </w:style>
  <w:style w:type="paragraph" w:styleId="CommentSubject">
    <w:name w:val="annotation subject"/>
    <w:basedOn w:val="CommentText"/>
    <w:next w:val="CommentText"/>
    <w:link w:val="CommentSubjectChar"/>
    <w:uiPriority w:val="99"/>
    <w:semiHidden/>
    <w:unhideWhenUsed/>
    <w:rsid w:val="00DB61CF"/>
    <w:rPr>
      <w:b/>
      <w:bCs/>
    </w:rPr>
  </w:style>
  <w:style w:type="character" w:customStyle="1" w:styleId="CommentSubjectChar">
    <w:name w:val="Comment Subject Char"/>
    <w:basedOn w:val="CommentTextChar"/>
    <w:link w:val="CommentSubject"/>
    <w:uiPriority w:val="99"/>
    <w:semiHidden/>
    <w:rsid w:val="00DB61CF"/>
    <w:rPr>
      <w:b/>
      <w:bCs/>
      <w:sz w:val="20"/>
      <w:szCs w:val="20"/>
    </w:rPr>
  </w:style>
  <w:style w:type="paragraph" w:styleId="Caption">
    <w:name w:val="caption"/>
    <w:basedOn w:val="Normal"/>
    <w:next w:val="Normal"/>
    <w:uiPriority w:val="35"/>
    <w:unhideWhenUsed/>
    <w:qFormat/>
    <w:rsid w:val="000C07D8"/>
    <w:pPr>
      <w:spacing w:after="200"/>
    </w:pPr>
    <w:rPr>
      <w:i/>
      <w:iCs/>
      <w:color w:val="44546A" w:themeColor="text2"/>
      <w:sz w:val="18"/>
      <w:szCs w:val="18"/>
    </w:rPr>
  </w:style>
  <w:style w:type="paragraph" w:styleId="TableofFigures">
    <w:name w:val="table of figures"/>
    <w:basedOn w:val="Normal"/>
    <w:next w:val="Normal"/>
    <w:uiPriority w:val="99"/>
    <w:unhideWhenUsed/>
    <w:rsid w:val="000C07D8"/>
  </w:style>
  <w:style w:type="paragraph" w:styleId="NoSpacing">
    <w:name w:val="No Spacing"/>
    <w:uiPriority w:val="1"/>
    <w:qFormat/>
    <w:rsid w:val="000C07D8"/>
    <w:pPr>
      <w:jc w:val="both"/>
    </w:pPr>
  </w:style>
  <w:style w:type="numbering" w:customStyle="1" w:styleId="AktuelleListe1">
    <w:name w:val="Aktuelle Liste1"/>
    <w:uiPriority w:val="99"/>
    <w:rsid w:val="00D141C9"/>
    <w:pPr>
      <w:numPr>
        <w:numId w:val="4"/>
      </w:numPr>
    </w:pPr>
  </w:style>
  <w:style w:type="paragraph" w:customStyle="1" w:styleId="AbstractToLAbbrReferencesAnnex">
    <w:name w:val="Abstract/ToL/Abbr/References/Annex"/>
    <w:basedOn w:val="Heading1"/>
    <w:qFormat/>
    <w:rsid w:val="00D141C9"/>
  </w:style>
  <w:style w:type="numbering" w:customStyle="1" w:styleId="AktuelleListe2">
    <w:name w:val="Aktuelle Liste2"/>
    <w:uiPriority w:val="99"/>
    <w:rsid w:val="00D141C9"/>
    <w:pPr>
      <w:numPr>
        <w:numId w:val="5"/>
      </w:numPr>
    </w:pPr>
  </w:style>
  <w:style w:type="numbering" w:customStyle="1" w:styleId="AktuelleListe3">
    <w:name w:val="Aktuelle Liste3"/>
    <w:uiPriority w:val="99"/>
    <w:rsid w:val="00D141C9"/>
    <w:pPr>
      <w:numPr>
        <w:numId w:val="6"/>
      </w:numPr>
    </w:pPr>
  </w:style>
  <w:style w:type="numbering" w:customStyle="1" w:styleId="AktuelleListe4">
    <w:name w:val="Aktuelle Liste4"/>
    <w:uiPriority w:val="99"/>
    <w:rsid w:val="00D141C9"/>
    <w:pPr>
      <w:numPr>
        <w:numId w:val="7"/>
      </w:numPr>
    </w:pPr>
  </w:style>
  <w:style w:type="paragraph" w:styleId="Header">
    <w:name w:val="header"/>
    <w:basedOn w:val="Normal"/>
    <w:link w:val="HeaderChar"/>
    <w:uiPriority w:val="99"/>
    <w:unhideWhenUsed/>
    <w:rsid w:val="00D141C9"/>
    <w:pPr>
      <w:tabs>
        <w:tab w:val="center" w:pos="4536"/>
        <w:tab w:val="right" w:pos="9072"/>
      </w:tabs>
    </w:pPr>
  </w:style>
  <w:style w:type="character" w:customStyle="1" w:styleId="HeaderChar">
    <w:name w:val="Header Char"/>
    <w:basedOn w:val="DefaultParagraphFont"/>
    <w:link w:val="Header"/>
    <w:uiPriority w:val="99"/>
    <w:rsid w:val="00D141C9"/>
    <w:rPr>
      <w:rFonts w:ascii="Times New Roman" w:hAnsi="Times New Roman"/>
    </w:rPr>
  </w:style>
  <w:style w:type="paragraph" w:styleId="Footer">
    <w:name w:val="footer"/>
    <w:basedOn w:val="Normal"/>
    <w:link w:val="FooterChar"/>
    <w:uiPriority w:val="99"/>
    <w:unhideWhenUsed/>
    <w:rsid w:val="00D141C9"/>
    <w:pPr>
      <w:tabs>
        <w:tab w:val="center" w:pos="4536"/>
        <w:tab w:val="right" w:pos="9072"/>
      </w:tabs>
    </w:pPr>
  </w:style>
  <w:style w:type="character" w:customStyle="1" w:styleId="FooterChar">
    <w:name w:val="Footer Char"/>
    <w:basedOn w:val="DefaultParagraphFont"/>
    <w:link w:val="Footer"/>
    <w:uiPriority w:val="99"/>
    <w:rsid w:val="00D141C9"/>
    <w:rPr>
      <w:rFonts w:ascii="Times New Roman" w:hAnsi="Times New Roman"/>
    </w:rPr>
  </w:style>
  <w:style w:type="character" w:styleId="PageNumber">
    <w:name w:val="page number"/>
    <w:basedOn w:val="DefaultParagraphFont"/>
    <w:uiPriority w:val="99"/>
    <w:semiHidden/>
    <w:unhideWhenUsed/>
    <w:rsid w:val="00D141C9"/>
  </w:style>
  <w:style w:type="numbering" w:customStyle="1" w:styleId="AktuelleListe5">
    <w:name w:val="Aktuelle Liste5"/>
    <w:uiPriority w:val="99"/>
    <w:rsid w:val="00D300F7"/>
    <w:pPr>
      <w:numPr>
        <w:numId w:val="8"/>
      </w:numPr>
    </w:pPr>
  </w:style>
  <w:style w:type="numbering" w:customStyle="1" w:styleId="AktuelleListe6">
    <w:name w:val="Aktuelle Liste6"/>
    <w:uiPriority w:val="99"/>
    <w:rsid w:val="00D300F7"/>
    <w:pPr>
      <w:numPr>
        <w:numId w:val="9"/>
      </w:numPr>
    </w:pPr>
  </w:style>
  <w:style w:type="numbering" w:customStyle="1" w:styleId="AktuelleListe7">
    <w:name w:val="Aktuelle Liste7"/>
    <w:uiPriority w:val="99"/>
    <w:rsid w:val="00D300F7"/>
    <w:pPr>
      <w:numPr>
        <w:numId w:val="10"/>
      </w:numPr>
    </w:pPr>
  </w:style>
  <w:style w:type="character" w:customStyle="1" w:styleId="markedcontent">
    <w:name w:val="markedcontent"/>
    <w:basedOn w:val="DefaultParagraphFont"/>
    <w:rsid w:val="00D15DF1"/>
  </w:style>
  <w:style w:type="paragraph" w:customStyle="1" w:styleId="Literaturverzeichnis3">
    <w:name w:val="Literaturverzeichnis3"/>
    <w:basedOn w:val="Normal"/>
    <w:link w:val="BibliographyZchn2"/>
    <w:rsid w:val="005537AF"/>
    <w:pPr>
      <w:tabs>
        <w:tab w:val="left" w:pos="260"/>
      </w:tabs>
      <w:spacing w:after="240" w:line="240" w:lineRule="auto"/>
      <w:ind w:left="264" w:hanging="264"/>
    </w:pPr>
  </w:style>
  <w:style w:type="character" w:customStyle="1" w:styleId="BibliographyZchn2">
    <w:name w:val="Bibliography Zchn2"/>
    <w:basedOn w:val="DefaultParagraphFont"/>
    <w:link w:val="Literaturverzeichnis3"/>
    <w:rsid w:val="005537AF"/>
    <w:rPr>
      <w:rFonts w:ascii="Times New Roman" w:hAnsi="Times New Roman"/>
    </w:rPr>
  </w:style>
  <w:style w:type="numbering" w:customStyle="1" w:styleId="AktuelleListe8">
    <w:name w:val="Aktuelle Liste8"/>
    <w:uiPriority w:val="99"/>
    <w:rsid w:val="00714EC2"/>
    <w:pPr>
      <w:numPr>
        <w:numId w:val="11"/>
      </w:numPr>
    </w:pPr>
  </w:style>
  <w:style w:type="numbering" w:customStyle="1" w:styleId="AktuelleListe9">
    <w:name w:val="Aktuelle Liste9"/>
    <w:uiPriority w:val="99"/>
    <w:rsid w:val="00714EC2"/>
    <w:pPr>
      <w:numPr>
        <w:numId w:val="12"/>
      </w:numPr>
    </w:pPr>
  </w:style>
  <w:style w:type="numbering" w:customStyle="1" w:styleId="AktuelleListe10">
    <w:name w:val="Aktuelle Liste10"/>
    <w:uiPriority w:val="99"/>
    <w:rsid w:val="00714EC2"/>
    <w:pPr>
      <w:numPr>
        <w:numId w:val="13"/>
      </w:numPr>
    </w:pPr>
  </w:style>
  <w:style w:type="numbering" w:styleId="ArticleSection">
    <w:name w:val="Outline List 3"/>
    <w:basedOn w:val="NoList"/>
    <w:uiPriority w:val="99"/>
    <w:semiHidden/>
    <w:unhideWhenUsed/>
    <w:rsid w:val="00714EC2"/>
    <w:pPr>
      <w:numPr>
        <w:numId w:val="14"/>
      </w:numPr>
    </w:pPr>
  </w:style>
  <w:style w:type="numbering" w:customStyle="1" w:styleId="AktuelleListe11">
    <w:name w:val="Aktuelle Liste11"/>
    <w:uiPriority w:val="99"/>
    <w:rsid w:val="00A66598"/>
    <w:pPr>
      <w:numPr>
        <w:numId w:val="15"/>
      </w:numPr>
    </w:pPr>
  </w:style>
  <w:style w:type="character" w:customStyle="1" w:styleId="ListParagraphChar">
    <w:name w:val="List Paragraph Char"/>
    <w:basedOn w:val="DefaultParagraphFont"/>
    <w:link w:val="ListParagraph"/>
    <w:uiPriority w:val="34"/>
    <w:rsid w:val="00351161"/>
    <w:rPr>
      <w:rFonts w:ascii="Times New Roman" w:hAnsi="Times New Roman"/>
    </w:rPr>
  </w:style>
  <w:style w:type="character" w:customStyle="1" w:styleId="label">
    <w:name w:val="label"/>
    <w:basedOn w:val="DefaultParagraphFont"/>
    <w:rsid w:val="008921C6"/>
  </w:style>
  <w:style w:type="paragraph" w:customStyle="1" w:styleId="h6">
    <w:name w:val="h6"/>
    <w:basedOn w:val="Normal"/>
    <w:rsid w:val="008921C6"/>
    <w:pPr>
      <w:spacing w:before="100" w:beforeAutospacing="1" w:after="100" w:afterAutospacing="1" w:line="240" w:lineRule="auto"/>
      <w:jc w:val="left"/>
    </w:pPr>
  </w:style>
  <w:style w:type="character" w:customStyle="1" w:styleId="dbname">
    <w:name w:val="dbname"/>
    <w:basedOn w:val="DefaultParagraphFont"/>
    <w:rsid w:val="009426CD"/>
  </w:style>
  <w:style w:type="character" w:customStyle="1" w:styleId="dbdate">
    <w:name w:val="dbdate"/>
    <w:basedOn w:val="DefaultParagraphFont"/>
    <w:rsid w:val="009426CD"/>
  </w:style>
  <w:style w:type="character" w:styleId="Strong">
    <w:name w:val="Strong"/>
    <w:basedOn w:val="DefaultParagraphFont"/>
    <w:uiPriority w:val="22"/>
    <w:qFormat/>
    <w:rsid w:val="00894FCF"/>
    <w:rPr>
      <w:b/>
      <w:bCs/>
    </w:rPr>
  </w:style>
  <w:style w:type="character" w:customStyle="1" w:styleId="UnresolvedMention">
    <w:name w:val="Unresolved Mention"/>
    <w:basedOn w:val="DefaultParagraphFont"/>
    <w:uiPriority w:val="99"/>
    <w:semiHidden/>
    <w:unhideWhenUsed/>
    <w:rsid w:val="00665953"/>
    <w:rPr>
      <w:color w:val="605E5C"/>
      <w:shd w:val="clear" w:color="auto" w:fill="E1DFDD"/>
    </w:rPr>
  </w:style>
  <w:style w:type="paragraph" w:customStyle="1" w:styleId="Default">
    <w:name w:val="Default"/>
    <w:rsid w:val="006E0BA9"/>
    <w:pPr>
      <w:widowControl w:val="0"/>
      <w:autoSpaceDE w:val="0"/>
      <w:autoSpaceDN w:val="0"/>
      <w:adjustRightInd w:val="0"/>
    </w:pPr>
    <w:rPr>
      <w:rFonts w:ascii="Calibri" w:eastAsia="Times New Roman" w:hAnsi="Calibri" w:cs="Calibri"/>
      <w:color w:val="000000"/>
      <w:lang w:val="en-CA" w:eastAsia="en-CA"/>
    </w:rPr>
  </w:style>
  <w:style w:type="character" w:styleId="FollowedHyperlink">
    <w:name w:val="FollowedHyperlink"/>
    <w:basedOn w:val="DefaultParagraphFont"/>
    <w:uiPriority w:val="99"/>
    <w:semiHidden/>
    <w:unhideWhenUsed/>
    <w:rsid w:val="00C7449E"/>
    <w:rPr>
      <w:color w:val="954F72" w:themeColor="followedHyperlink"/>
      <w:u w:val="single"/>
    </w:rPr>
  </w:style>
  <w:style w:type="paragraph" w:customStyle="1" w:styleId="msonormal0">
    <w:name w:val="msonormal"/>
    <w:basedOn w:val="Normal"/>
    <w:rsid w:val="00D80852"/>
    <w:pPr>
      <w:spacing w:before="100" w:beforeAutospacing="1" w:after="100" w:afterAutospacing="1" w:line="240" w:lineRule="auto"/>
      <w:jc w:val="left"/>
    </w:pPr>
  </w:style>
  <w:style w:type="paragraph" w:customStyle="1" w:styleId="xl65">
    <w:name w:val="xl65"/>
    <w:basedOn w:val="Normal"/>
    <w:rsid w:val="00D80852"/>
    <w:pPr>
      <w:spacing w:before="100" w:beforeAutospacing="1" w:after="100" w:afterAutospacing="1" w:line="240" w:lineRule="auto"/>
      <w:jc w:val="center"/>
    </w:pPr>
  </w:style>
  <w:style w:type="paragraph" w:customStyle="1" w:styleId="xl66">
    <w:name w:val="xl66"/>
    <w:basedOn w:val="Normal"/>
    <w:rsid w:val="00D80852"/>
    <w:pPr>
      <w:spacing w:before="100" w:beforeAutospacing="1" w:after="100" w:afterAutospacing="1" w:line="240" w:lineRule="auto"/>
      <w:textAlignment w:val="center"/>
    </w:pPr>
  </w:style>
  <w:style w:type="paragraph" w:customStyle="1" w:styleId="xl67">
    <w:name w:val="xl67"/>
    <w:basedOn w:val="Normal"/>
    <w:rsid w:val="00D80852"/>
    <w:pPr>
      <w:spacing w:before="100" w:beforeAutospacing="1" w:after="100" w:afterAutospacing="1" w:line="240" w:lineRule="auto"/>
      <w:jc w:val="left"/>
    </w:pPr>
  </w:style>
  <w:style w:type="paragraph" w:customStyle="1" w:styleId="xl68">
    <w:name w:val="xl68"/>
    <w:basedOn w:val="Normal"/>
    <w:rsid w:val="00D80852"/>
    <w:pPr>
      <w:spacing w:before="100" w:beforeAutospacing="1" w:after="100" w:afterAutospacing="1" w:line="240" w:lineRule="auto"/>
      <w:textAlignment w:val="center"/>
    </w:pPr>
    <w:rPr>
      <w:color w:val="000000"/>
    </w:rPr>
  </w:style>
  <w:style w:type="paragraph" w:customStyle="1" w:styleId="xl69">
    <w:name w:val="xl69"/>
    <w:basedOn w:val="Normal"/>
    <w:rsid w:val="00D80852"/>
    <w:pPr>
      <w:pBdr>
        <w:bottom w:val="single" w:sz="4" w:space="0" w:color="auto"/>
      </w:pBdr>
      <w:spacing w:before="100" w:beforeAutospacing="1" w:after="100" w:afterAutospacing="1" w:line="240" w:lineRule="auto"/>
      <w:jc w:val="center"/>
    </w:pPr>
  </w:style>
  <w:style w:type="paragraph" w:customStyle="1" w:styleId="xl70">
    <w:name w:val="xl70"/>
    <w:basedOn w:val="Normal"/>
    <w:rsid w:val="00D80852"/>
    <w:pPr>
      <w:pBdr>
        <w:bottom w:val="single" w:sz="4" w:space="0" w:color="auto"/>
      </w:pBdr>
      <w:spacing w:before="100" w:beforeAutospacing="1" w:after="100" w:afterAutospacing="1" w:line="240" w:lineRule="auto"/>
      <w:jc w:val="left"/>
    </w:pPr>
  </w:style>
  <w:style w:type="paragraph" w:customStyle="1" w:styleId="xl71">
    <w:name w:val="xl71"/>
    <w:basedOn w:val="Normal"/>
    <w:rsid w:val="00D80852"/>
    <w:pPr>
      <w:pBdr>
        <w:bottom w:val="single" w:sz="4" w:space="0" w:color="auto"/>
      </w:pBdr>
      <w:spacing w:before="100" w:beforeAutospacing="1" w:after="100" w:afterAutospacing="1" w:line="240" w:lineRule="auto"/>
      <w:jc w:val="center"/>
      <w:textAlignment w:val="center"/>
    </w:pPr>
  </w:style>
  <w:style w:type="paragraph" w:customStyle="1" w:styleId="xl72">
    <w:name w:val="xl72"/>
    <w:basedOn w:val="Normal"/>
    <w:rsid w:val="00D80852"/>
    <w:pPr>
      <w:pBdr>
        <w:bottom w:val="single" w:sz="4" w:space="0" w:color="auto"/>
      </w:pBdr>
      <w:spacing w:before="100" w:beforeAutospacing="1" w:after="100" w:afterAutospacing="1" w:line="240" w:lineRule="auto"/>
      <w:textAlignment w:val="center"/>
    </w:pPr>
  </w:style>
  <w:style w:type="paragraph" w:customStyle="1" w:styleId="xl73">
    <w:name w:val="xl73"/>
    <w:basedOn w:val="Normal"/>
    <w:rsid w:val="00D80852"/>
    <w:pPr>
      <w:spacing w:before="100" w:beforeAutospacing="1" w:after="100" w:afterAutospacing="1" w:line="240" w:lineRule="auto"/>
      <w:jc w:val="center"/>
    </w:pPr>
    <w:rPr>
      <w:color w:val="000000"/>
    </w:rPr>
  </w:style>
  <w:style w:type="paragraph" w:customStyle="1" w:styleId="xl74">
    <w:name w:val="xl74"/>
    <w:basedOn w:val="Normal"/>
    <w:rsid w:val="00D80852"/>
    <w:pPr>
      <w:spacing w:before="100" w:beforeAutospacing="1" w:after="100" w:afterAutospacing="1" w:line="240" w:lineRule="auto"/>
      <w:jc w:val="left"/>
      <w:textAlignment w:val="center"/>
    </w:pPr>
    <w:rPr>
      <w:color w:val="000000"/>
    </w:rPr>
  </w:style>
  <w:style w:type="paragraph" w:customStyle="1" w:styleId="xl75">
    <w:name w:val="xl75"/>
    <w:basedOn w:val="Normal"/>
    <w:rsid w:val="00D80852"/>
    <w:pPr>
      <w:pBdr>
        <w:bottom w:val="single" w:sz="4" w:space="0" w:color="auto"/>
      </w:pBdr>
      <w:spacing w:before="100" w:beforeAutospacing="1" w:after="100" w:afterAutospacing="1" w:line="240" w:lineRule="auto"/>
      <w:textAlignment w:val="center"/>
    </w:pPr>
    <w:rPr>
      <w:color w:val="000000"/>
    </w:rPr>
  </w:style>
  <w:style w:type="paragraph" w:customStyle="1" w:styleId="xl76">
    <w:name w:val="xl76"/>
    <w:basedOn w:val="Normal"/>
    <w:rsid w:val="00D80852"/>
    <w:pPr>
      <w:pBdr>
        <w:bottom w:val="single" w:sz="4" w:space="0" w:color="auto"/>
      </w:pBdr>
      <w:spacing w:before="100" w:beforeAutospacing="1" w:after="100" w:afterAutospacing="1" w:line="240" w:lineRule="auto"/>
      <w:jc w:val="center"/>
    </w:pPr>
  </w:style>
  <w:style w:type="paragraph" w:customStyle="1" w:styleId="xl77">
    <w:name w:val="xl77"/>
    <w:basedOn w:val="Normal"/>
    <w:rsid w:val="00D80852"/>
    <w:pPr>
      <w:pBdr>
        <w:top w:val="single" w:sz="4" w:space="0" w:color="auto"/>
        <w:bottom w:val="single" w:sz="4" w:space="0" w:color="auto"/>
      </w:pBdr>
      <w:spacing w:before="100" w:beforeAutospacing="1" w:after="100" w:afterAutospacing="1" w:line="240" w:lineRule="auto"/>
      <w:textAlignment w:val="center"/>
    </w:pPr>
    <w:rPr>
      <w:color w:val="000000"/>
    </w:rPr>
  </w:style>
  <w:style w:type="paragraph" w:customStyle="1" w:styleId="xl78">
    <w:name w:val="xl78"/>
    <w:basedOn w:val="Normal"/>
    <w:rsid w:val="00D80852"/>
    <w:pPr>
      <w:pBdr>
        <w:top w:val="single" w:sz="4" w:space="0" w:color="auto"/>
        <w:bottom w:val="single" w:sz="4" w:space="0" w:color="auto"/>
      </w:pBdr>
      <w:spacing w:before="100" w:beforeAutospacing="1" w:after="100" w:afterAutospacing="1" w:line="240" w:lineRule="auto"/>
      <w:jc w:val="left"/>
    </w:pPr>
  </w:style>
  <w:style w:type="paragraph" w:customStyle="1" w:styleId="xl79">
    <w:name w:val="xl79"/>
    <w:basedOn w:val="Normal"/>
    <w:rsid w:val="00D80852"/>
    <w:pPr>
      <w:pBdr>
        <w:left w:val="single" w:sz="4" w:space="0" w:color="auto"/>
        <w:bottom w:val="single" w:sz="4" w:space="0" w:color="auto"/>
      </w:pBdr>
      <w:spacing w:before="100" w:beforeAutospacing="1" w:after="100" w:afterAutospacing="1" w:line="240" w:lineRule="auto"/>
      <w:textAlignment w:val="center"/>
    </w:pPr>
  </w:style>
  <w:style w:type="paragraph" w:customStyle="1" w:styleId="xl80">
    <w:name w:val="xl80"/>
    <w:basedOn w:val="Normal"/>
    <w:rsid w:val="00D80852"/>
    <w:pPr>
      <w:pBdr>
        <w:left w:val="single" w:sz="4" w:space="0" w:color="auto"/>
      </w:pBdr>
      <w:spacing w:before="100" w:beforeAutospacing="1" w:after="100" w:afterAutospacing="1" w:line="240" w:lineRule="auto"/>
      <w:jc w:val="center"/>
    </w:pPr>
  </w:style>
  <w:style w:type="paragraph" w:customStyle="1" w:styleId="xl81">
    <w:name w:val="xl81"/>
    <w:basedOn w:val="Normal"/>
    <w:rsid w:val="00D80852"/>
    <w:pPr>
      <w:pBdr>
        <w:left w:val="single" w:sz="4" w:space="0" w:color="auto"/>
        <w:bottom w:val="single" w:sz="4" w:space="0" w:color="auto"/>
      </w:pBdr>
      <w:spacing w:before="100" w:beforeAutospacing="1" w:after="100" w:afterAutospacing="1" w:line="240" w:lineRule="auto"/>
      <w:jc w:val="center"/>
    </w:pPr>
  </w:style>
  <w:style w:type="paragraph" w:customStyle="1" w:styleId="xl82">
    <w:name w:val="xl82"/>
    <w:basedOn w:val="Normal"/>
    <w:rsid w:val="00D80852"/>
    <w:pPr>
      <w:pBdr>
        <w:top w:val="single" w:sz="4" w:space="0" w:color="auto"/>
        <w:left w:val="single" w:sz="4" w:space="0" w:color="auto"/>
        <w:bottom w:val="single" w:sz="4" w:space="0" w:color="auto"/>
      </w:pBdr>
      <w:spacing w:before="100" w:beforeAutospacing="1" w:after="100" w:afterAutospacing="1" w:line="240" w:lineRule="auto"/>
      <w:jc w:val="left"/>
    </w:pPr>
  </w:style>
  <w:style w:type="paragraph" w:customStyle="1" w:styleId="xl83">
    <w:name w:val="xl83"/>
    <w:basedOn w:val="Normal"/>
    <w:rsid w:val="00D80852"/>
    <w:pPr>
      <w:pBdr>
        <w:left w:val="single" w:sz="4" w:space="0" w:color="auto"/>
      </w:pBdr>
      <w:spacing w:before="100" w:beforeAutospacing="1" w:after="100" w:afterAutospacing="1" w:line="240" w:lineRule="auto"/>
      <w:jc w:val="left"/>
    </w:pPr>
  </w:style>
  <w:style w:type="paragraph" w:customStyle="1" w:styleId="xl84">
    <w:name w:val="xl84"/>
    <w:basedOn w:val="Normal"/>
    <w:rsid w:val="00D80852"/>
    <w:pPr>
      <w:pBdr>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85">
    <w:name w:val="xl85"/>
    <w:basedOn w:val="Normal"/>
    <w:rsid w:val="00D80852"/>
    <w:pPr>
      <w:pBdr>
        <w:right w:val="single" w:sz="4" w:space="0" w:color="auto"/>
      </w:pBdr>
      <w:spacing w:before="100" w:beforeAutospacing="1" w:after="100" w:afterAutospacing="1" w:line="240" w:lineRule="auto"/>
      <w:jc w:val="center"/>
    </w:pPr>
  </w:style>
  <w:style w:type="paragraph" w:customStyle="1" w:styleId="xl86">
    <w:name w:val="xl86"/>
    <w:basedOn w:val="Normal"/>
    <w:rsid w:val="00D80852"/>
    <w:pPr>
      <w:pBdr>
        <w:bottom w:val="single" w:sz="4" w:space="0" w:color="auto"/>
        <w:right w:val="single" w:sz="4" w:space="0" w:color="auto"/>
      </w:pBdr>
      <w:spacing w:before="100" w:beforeAutospacing="1" w:after="100" w:afterAutospacing="1" w:line="240" w:lineRule="auto"/>
      <w:jc w:val="center"/>
    </w:pPr>
  </w:style>
  <w:style w:type="paragraph" w:customStyle="1" w:styleId="xl87">
    <w:name w:val="xl87"/>
    <w:basedOn w:val="Normal"/>
    <w:rsid w:val="00D80852"/>
    <w:pPr>
      <w:pBdr>
        <w:top w:val="single" w:sz="4" w:space="0" w:color="auto"/>
        <w:bottom w:val="single" w:sz="4" w:space="0" w:color="auto"/>
        <w:right w:val="single" w:sz="4" w:space="0" w:color="auto"/>
      </w:pBdr>
      <w:spacing w:before="100" w:beforeAutospacing="1" w:after="100" w:afterAutospacing="1" w:line="240" w:lineRule="auto"/>
      <w:jc w:val="left"/>
    </w:pPr>
  </w:style>
  <w:style w:type="paragraph" w:customStyle="1" w:styleId="xl88">
    <w:name w:val="xl88"/>
    <w:basedOn w:val="Normal"/>
    <w:rsid w:val="00D80852"/>
    <w:pPr>
      <w:pBdr>
        <w:right w:val="single" w:sz="4" w:space="0" w:color="auto"/>
      </w:pBdr>
      <w:spacing w:before="100" w:beforeAutospacing="1" w:after="100" w:afterAutospacing="1" w:line="240" w:lineRule="auto"/>
      <w:jc w:val="left"/>
    </w:pPr>
  </w:style>
  <w:style w:type="paragraph" w:customStyle="1" w:styleId="xl89">
    <w:name w:val="xl89"/>
    <w:basedOn w:val="Normal"/>
    <w:rsid w:val="00D80852"/>
    <w:pPr>
      <w:pBdr>
        <w:bottom w:val="single" w:sz="4" w:space="0" w:color="auto"/>
        <w:right w:val="single" w:sz="4" w:space="0" w:color="auto"/>
      </w:pBdr>
      <w:spacing w:before="100" w:beforeAutospacing="1" w:after="100" w:afterAutospacing="1" w:line="240" w:lineRule="auto"/>
      <w:jc w:val="center"/>
    </w:pPr>
  </w:style>
  <w:style w:type="paragraph" w:customStyle="1" w:styleId="xl90">
    <w:name w:val="xl90"/>
    <w:basedOn w:val="Normal"/>
    <w:rsid w:val="00D80852"/>
    <w:pPr>
      <w:spacing w:before="100" w:beforeAutospacing="1" w:after="100" w:afterAutospacing="1" w:line="240" w:lineRule="auto"/>
      <w:jc w:val="center"/>
    </w:pPr>
  </w:style>
  <w:style w:type="paragraph" w:customStyle="1" w:styleId="xl91">
    <w:name w:val="xl91"/>
    <w:basedOn w:val="Normal"/>
    <w:rsid w:val="00D80852"/>
    <w:pPr>
      <w:pBdr>
        <w:left w:val="single" w:sz="4" w:space="0" w:color="auto"/>
        <w:bottom w:val="single" w:sz="4" w:space="0" w:color="auto"/>
      </w:pBdr>
      <w:spacing w:before="100" w:beforeAutospacing="1" w:after="100" w:afterAutospacing="1" w:line="240" w:lineRule="auto"/>
      <w:jc w:val="center"/>
    </w:pPr>
  </w:style>
  <w:style w:type="paragraph" w:customStyle="1" w:styleId="xl92">
    <w:name w:val="xl92"/>
    <w:basedOn w:val="Normal"/>
    <w:rsid w:val="00352744"/>
    <w:pPr>
      <w:pBdr>
        <w:top w:val="single" w:sz="4" w:space="0" w:color="auto"/>
      </w:pBdr>
      <w:spacing w:before="100" w:beforeAutospacing="1" w:after="100" w:afterAutospacing="1" w:line="240" w:lineRule="auto"/>
      <w:jc w:val="center"/>
    </w:pPr>
    <w:rPr>
      <w:sz w:val="18"/>
      <w:szCs w:val="18"/>
    </w:rPr>
  </w:style>
  <w:style w:type="paragraph" w:customStyle="1" w:styleId="Literaturverzeichnis4">
    <w:name w:val="Literaturverzeichnis4"/>
    <w:basedOn w:val="Normal"/>
    <w:link w:val="BibliographyZchn3"/>
    <w:rsid w:val="00391CE7"/>
    <w:pPr>
      <w:spacing w:line="240" w:lineRule="auto"/>
      <w:ind w:left="720" w:hanging="720"/>
    </w:pPr>
  </w:style>
  <w:style w:type="character" w:customStyle="1" w:styleId="BibliographyZchn3">
    <w:name w:val="Bibliography Zchn3"/>
    <w:basedOn w:val="DefaultParagraphFont"/>
    <w:link w:val="Literaturverzeichnis4"/>
    <w:rsid w:val="00391CE7"/>
    <w:rPr>
      <w:rFonts w:ascii="Times New Roman" w:eastAsia="Times New Roman" w:hAnsi="Times New Roman" w:cs="Times New Roman"/>
      <w:lang w:val="en-US" w:eastAsia="de-DE"/>
    </w:rPr>
  </w:style>
  <w:style w:type="paragraph" w:customStyle="1" w:styleId="Tabellenberschrift">
    <w:name w:val="Tabellenüberschrift"/>
    <w:basedOn w:val="Normal"/>
    <w:next w:val="AbstractToLAbbrReferencesAnnex"/>
    <w:qFormat/>
    <w:rsid w:val="003D607A"/>
    <w:pPr>
      <w:spacing w:before="120" w:after="120"/>
    </w:pPr>
    <w:rPr>
      <w:bCs/>
    </w:rPr>
  </w:style>
  <w:style w:type="character" w:customStyle="1" w:styleId="hgkelc">
    <w:name w:val="hgkelc"/>
    <w:basedOn w:val="DefaultParagraphFont"/>
    <w:rsid w:val="006F2A85"/>
  </w:style>
  <w:style w:type="character" w:styleId="PlaceholderText">
    <w:name w:val="Placeholder Text"/>
    <w:basedOn w:val="DefaultParagraphFont"/>
    <w:uiPriority w:val="99"/>
    <w:semiHidden/>
    <w:rsid w:val="00CD35B9"/>
    <w:rPr>
      <w:color w:val="808080"/>
    </w:rPr>
  </w:style>
  <w:style w:type="character" w:styleId="Emphasis">
    <w:name w:val="Emphasis"/>
    <w:basedOn w:val="DefaultParagraphFont"/>
    <w:uiPriority w:val="20"/>
    <w:qFormat/>
    <w:rsid w:val="00B41C1E"/>
    <w:rPr>
      <w:i/>
      <w:iCs/>
    </w:rPr>
  </w:style>
  <w:style w:type="paragraph" w:customStyle="1" w:styleId="Literaturverzeichnis5">
    <w:name w:val="Literaturverzeichnis5"/>
    <w:basedOn w:val="Normal"/>
    <w:link w:val="BibliographyZchn4"/>
    <w:rsid w:val="005F0C10"/>
    <w:pPr>
      <w:spacing w:before="120" w:after="240" w:line="240" w:lineRule="auto"/>
    </w:pPr>
  </w:style>
  <w:style w:type="character" w:customStyle="1" w:styleId="BibliographyZchn4">
    <w:name w:val="Bibliography Zchn4"/>
    <w:basedOn w:val="DefaultParagraphFont"/>
    <w:link w:val="Literaturverzeichnis5"/>
    <w:rsid w:val="005F0C10"/>
    <w:rPr>
      <w:rFonts w:ascii="Times New Roman" w:eastAsia="Times New Roman" w:hAnsi="Times New Roman" w:cs="Times New Roman"/>
      <w:lang w:val="en-US" w:eastAsia="de-DE"/>
    </w:rPr>
  </w:style>
  <w:style w:type="character" w:styleId="LineNumber">
    <w:name w:val="line number"/>
    <w:basedOn w:val="DefaultParagraphFont"/>
    <w:uiPriority w:val="99"/>
    <w:semiHidden/>
    <w:unhideWhenUsed/>
    <w:rsid w:val="00A041AA"/>
  </w:style>
  <w:style w:type="paragraph" w:styleId="Title">
    <w:name w:val="Title"/>
    <w:basedOn w:val="Normal"/>
    <w:next w:val="Normal"/>
    <w:link w:val="TitleChar"/>
    <w:uiPriority w:val="10"/>
    <w:qFormat/>
    <w:rsid w:val="00A041AA"/>
    <w:pPr>
      <w:spacing w:after="80" w:line="240" w:lineRule="auto"/>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A041AA"/>
    <w:rPr>
      <w:rFonts w:asciiTheme="majorHAnsi" w:eastAsiaTheme="majorEastAsia" w:hAnsiTheme="majorHAnsi" w:cstheme="majorBidi"/>
      <w:spacing w:val="-10"/>
      <w:kern w:val="28"/>
      <w:sz w:val="56"/>
      <w:szCs w:val="56"/>
      <w:lang w:val="en-US"/>
      <w14:ligatures w14:val="standardContextual"/>
    </w:rPr>
  </w:style>
  <w:style w:type="paragraph" w:styleId="Subtitle">
    <w:name w:val="Subtitle"/>
    <w:basedOn w:val="Normal"/>
    <w:next w:val="Normal"/>
    <w:link w:val="SubtitleChar"/>
    <w:uiPriority w:val="11"/>
    <w:qFormat/>
    <w:rsid w:val="00A041AA"/>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A041AA"/>
    <w:rPr>
      <w:rFonts w:eastAsiaTheme="majorEastAsia" w:cstheme="majorBidi"/>
      <w:color w:val="595959" w:themeColor="text1" w:themeTint="A6"/>
      <w:spacing w:val="15"/>
      <w:kern w:val="2"/>
      <w:sz w:val="28"/>
      <w:szCs w:val="28"/>
      <w:lang w:val="en-US"/>
      <w14:ligatures w14:val="standardContextual"/>
    </w:rPr>
  </w:style>
  <w:style w:type="paragraph" w:styleId="Quote">
    <w:name w:val="Quote"/>
    <w:basedOn w:val="Normal"/>
    <w:next w:val="Normal"/>
    <w:link w:val="QuoteChar"/>
    <w:uiPriority w:val="29"/>
    <w:qFormat/>
    <w:rsid w:val="00A041AA"/>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A041AA"/>
    <w:rPr>
      <w:i/>
      <w:iCs/>
      <w:color w:val="404040" w:themeColor="text1" w:themeTint="BF"/>
      <w:kern w:val="2"/>
      <w:lang w:val="en-US"/>
      <w14:ligatures w14:val="standardContextual"/>
    </w:rPr>
  </w:style>
  <w:style w:type="character" w:styleId="IntenseEmphasis">
    <w:name w:val="Intense Emphasis"/>
    <w:basedOn w:val="DefaultParagraphFont"/>
    <w:uiPriority w:val="21"/>
    <w:qFormat/>
    <w:rsid w:val="00A041AA"/>
    <w:rPr>
      <w:i/>
      <w:iCs/>
      <w:color w:val="2F5496" w:themeColor="accent1" w:themeShade="BF"/>
    </w:rPr>
  </w:style>
  <w:style w:type="paragraph" w:styleId="IntenseQuote">
    <w:name w:val="Intense Quote"/>
    <w:basedOn w:val="Normal"/>
    <w:next w:val="Normal"/>
    <w:link w:val="IntenseQuoteChar"/>
    <w:uiPriority w:val="30"/>
    <w:qFormat/>
    <w:rsid w:val="00A041A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A041AA"/>
    <w:rPr>
      <w:i/>
      <w:iCs/>
      <w:color w:val="2F5496" w:themeColor="accent1" w:themeShade="BF"/>
      <w:kern w:val="2"/>
      <w:lang w:val="en-US"/>
      <w14:ligatures w14:val="standardContextual"/>
    </w:rPr>
  </w:style>
  <w:style w:type="character" w:styleId="IntenseReference">
    <w:name w:val="Intense Reference"/>
    <w:basedOn w:val="DefaultParagraphFont"/>
    <w:uiPriority w:val="32"/>
    <w:qFormat/>
    <w:rsid w:val="00A041AA"/>
    <w:rPr>
      <w:b/>
      <w:bCs/>
      <w:smallCaps/>
      <w:color w:val="2F5496" w:themeColor="accent1" w:themeShade="BF"/>
      <w:spacing w:val="5"/>
    </w:rPr>
  </w:style>
  <w:style w:type="paragraph" w:customStyle="1" w:styleId="font5">
    <w:name w:val="font5"/>
    <w:basedOn w:val="Normal"/>
    <w:rsid w:val="00A041AA"/>
    <w:pPr>
      <w:spacing w:before="100" w:beforeAutospacing="1" w:after="100" w:afterAutospacing="1" w:line="240" w:lineRule="auto"/>
      <w:jc w:val="left"/>
    </w:pPr>
    <w:rPr>
      <w:rFonts w:ascii="Arial" w:hAnsi="Arial" w:cs="Arial"/>
      <w:color w:val="000000"/>
      <w:sz w:val="14"/>
      <w:szCs w:val="14"/>
      <w:lang w:eastAsia="en-US"/>
    </w:rPr>
  </w:style>
  <w:style w:type="paragraph" w:customStyle="1" w:styleId="font6">
    <w:name w:val="font6"/>
    <w:basedOn w:val="Normal"/>
    <w:rsid w:val="00A041AA"/>
    <w:pPr>
      <w:spacing w:before="100" w:beforeAutospacing="1" w:after="100" w:afterAutospacing="1" w:line="240" w:lineRule="auto"/>
      <w:jc w:val="left"/>
    </w:pPr>
    <w:rPr>
      <w:rFonts w:ascii="Arial" w:hAnsi="Arial" w:cs="Arial"/>
      <w:color w:val="000000"/>
      <w:sz w:val="14"/>
      <w:szCs w:val="14"/>
      <w:lang w:eastAsia="en-US"/>
    </w:rPr>
  </w:style>
  <w:style w:type="paragraph" w:customStyle="1" w:styleId="font7">
    <w:name w:val="font7"/>
    <w:basedOn w:val="Normal"/>
    <w:rsid w:val="00A041AA"/>
    <w:pPr>
      <w:spacing w:before="100" w:beforeAutospacing="1" w:after="100" w:afterAutospacing="1" w:line="240" w:lineRule="auto"/>
      <w:jc w:val="left"/>
    </w:pPr>
    <w:rPr>
      <w:rFonts w:ascii="Symbol" w:hAnsi="Symbol"/>
      <w:color w:val="000000"/>
      <w:sz w:val="14"/>
      <w:szCs w:val="14"/>
      <w:lang w:eastAsia="en-US"/>
    </w:rPr>
  </w:style>
  <w:style w:type="paragraph" w:customStyle="1" w:styleId="font8">
    <w:name w:val="font8"/>
    <w:basedOn w:val="Normal"/>
    <w:rsid w:val="00A041AA"/>
    <w:pPr>
      <w:spacing w:before="100" w:beforeAutospacing="1" w:after="100" w:afterAutospacing="1" w:line="240" w:lineRule="auto"/>
      <w:jc w:val="left"/>
    </w:pPr>
    <w:rPr>
      <w:rFonts w:ascii="Arial" w:hAnsi="Arial" w:cs="Arial"/>
      <w:i/>
      <w:iCs/>
      <w:color w:val="000000"/>
      <w:sz w:val="14"/>
      <w:szCs w:val="14"/>
      <w:lang w:eastAsia="en-US"/>
    </w:rPr>
  </w:style>
  <w:style w:type="paragraph" w:customStyle="1" w:styleId="font9">
    <w:name w:val="font9"/>
    <w:basedOn w:val="Normal"/>
    <w:rsid w:val="00A041AA"/>
    <w:pPr>
      <w:spacing w:before="100" w:beforeAutospacing="1" w:after="100" w:afterAutospacing="1" w:line="240" w:lineRule="auto"/>
      <w:jc w:val="left"/>
    </w:pPr>
    <w:rPr>
      <w:rFonts w:ascii="Arial" w:hAnsi="Arial" w:cs="Arial"/>
      <w:color w:val="000000"/>
      <w:sz w:val="14"/>
      <w:szCs w:val="14"/>
      <w:lang w:eastAsia="en-US"/>
    </w:rPr>
  </w:style>
  <w:style w:type="paragraph" w:styleId="Bibliography">
    <w:name w:val="Bibliography"/>
    <w:basedOn w:val="Normal"/>
    <w:next w:val="Normal"/>
    <w:uiPriority w:val="37"/>
    <w:unhideWhenUsed/>
    <w:rsid w:val="00FF4EDC"/>
    <w:pPr>
      <w:spacing w:after="240" w:line="240" w:lineRule="auto"/>
    </w:pPr>
  </w:style>
  <w:style w:type="paragraph" w:styleId="Revision">
    <w:name w:val="Revision"/>
    <w:hidden/>
    <w:uiPriority w:val="99"/>
    <w:semiHidden/>
    <w:rsid w:val="00F815F9"/>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263">
      <w:bodyDiv w:val="1"/>
      <w:marLeft w:val="0"/>
      <w:marRight w:val="0"/>
      <w:marTop w:val="0"/>
      <w:marBottom w:val="0"/>
      <w:divBdr>
        <w:top w:val="none" w:sz="0" w:space="0" w:color="auto"/>
        <w:left w:val="none" w:sz="0" w:space="0" w:color="auto"/>
        <w:bottom w:val="none" w:sz="0" w:space="0" w:color="auto"/>
        <w:right w:val="none" w:sz="0" w:space="0" w:color="auto"/>
      </w:divBdr>
    </w:div>
    <w:div w:id="7682376">
      <w:bodyDiv w:val="1"/>
      <w:marLeft w:val="0"/>
      <w:marRight w:val="0"/>
      <w:marTop w:val="0"/>
      <w:marBottom w:val="0"/>
      <w:divBdr>
        <w:top w:val="none" w:sz="0" w:space="0" w:color="auto"/>
        <w:left w:val="none" w:sz="0" w:space="0" w:color="auto"/>
        <w:bottom w:val="none" w:sz="0" w:space="0" w:color="auto"/>
        <w:right w:val="none" w:sz="0" w:space="0" w:color="auto"/>
      </w:divBdr>
    </w:div>
    <w:div w:id="8408932">
      <w:bodyDiv w:val="1"/>
      <w:marLeft w:val="0"/>
      <w:marRight w:val="0"/>
      <w:marTop w:val="0"/>
      <w:marBottom w:val="0"/>
      <w:divBdr>
        <w:top w:val="none" w:sz="0" w:space="0" w:color="auto"/>
        <w:left w:val="none" w:sz="0" w:space="0" w:color="auto"/>
        <w:bottom w:val="none" w:sz="0" w:space="0" w:color="auto"/>
        <w:right w:val="none" w:sz="0" w:space="0" w:color="auto"/>
      </w:divBdr>
    </w:div>
    <w:div w:id="12149934">
      <w:bodyDiv w:val="1"/>
      <w:marLeft w:val="0"/>
      <w:marRight w:val="0"/>
      <w:marTop w:val="0"/>
      <w:marBottom w:val="0"/>
      <w:divBdr>
        <w:top w:val="none" w:sz="0" w:space="0" w:color="auto"/>
        <w:left w:val="none" w:sz="0" w:space="0" w:color="auto"/>
        <w:bottom w:val="none" w:sz="0" w:space="0" w:color="auto"/>
        <w:right w:val="none" w:sz="0" w:space="0" w:color="auto"/>
      </w:divBdr>
    </w:div>
    <w:div w:id="17001799">
      <w:bodyDiv w:val="1"/>
      <w:marLeft w:val="0"/>
      <w:marRight w:val="0"/>
      <w:marTop w:val="0"/>
      <w:marBottom w:val="0"/>
      <w:divBdr>
        <w:top w:val="none" w:sz="0" w:space="0" w:color="auto"/>
        <w:left w:val="none" w:sz="0" w:space="0" w:color="auto"/>
        <w:bottom w:val="none" w:sz="0" w:space="0" w:color="auto"/>
        <w:right w:val="none" w:sz="0" w:space="0" w:color="auto"/>
      </w:divBdr>
    </w:div>
    <w:div w:id="19864494">
      <w:bodyDiv w:val="1"/>
      <w:marLeft w:val="0"/>
      <w:marRight w:val="0"/>
      <w:marTop w:val="0"/>
      <w:marBottom w:val="0"/>
      <w:divBdr>
        <w:top w:val="none" w:sz="0" w:space="0" w:color="auto"/>
        <w:left w:val="none" w:sz="0" w:space="0" w:color="auto"/>
        <w:bottom w:val="none" w:sz="0" w:space="0" w:color="auto"/>
        <w:right w:val="none" w:sz="0" w:space="0" w:color="auto"/>
      </w:divBdr>
    </w:div>
    <w:div w:id="22676280">
      <w:bodyDiv w:val="1"/>
      <w:marLeft w:val="0"/>
      <w:marRight w:val="0"/>
      <w:marTop w:val="0"/>
      <w:marBottom w:val="0"/>
      <w:divBdr>
        <w:top w:val="none" w:sz="0" w:space="0" w:color="auto"/>
        <w:left w:val="none" w:sz="0" w:space="0" w:color="auto"/>
        <w:bottom w:val="none" w:sz="0" w:space="0" w:color="auto"/>
        <w:right w:val="none" w:sz="0" w:space="0" w:color="auto"/>
      </w:divBdr>
    </w:div>
    <w:div w:id="23337230">
      <w:bodyDiv w:val="1"/>
      <w:marLeft w:val="0"/>
      <w:marRight w:val="0"/>
      <w:marTop w:val="0"/>
      <w:marBottom w:val="0"/>
      <w:divBdr>
        <w:top w:val="none" w:sz="0" w:space="0" w:color="auto"/>
        <w:left w:val="none" w:sz="0" w:space="0" w:color="auto"/>
        <w:bottom w:val="none" w:sz="0" w:space="0" w:color="auto"/>
        <w:right w:val="none" w:sz="0" w:space="0" w:color="auto"/>
      </w:divBdr>
    </w:div>
    <w:div w:id="30961316">
      <w:bodyDiv w:val="1"/>
      <w:marLeft w:val="0"/>
      <w:marRight w:val="0"/>
      <w:marTop w:val="0"/>
      <w:marBottom w:val="0"/>
      <w:divBdr>
        <w:top w:val="none" w:sz="0" w:space="0" w:color="auto"/>
        <w:left w:val="none" w:sz="0" w:space="0" w:color="auto"/>
        <w:bottom w:val="none" w:sz="0" w:space="0" w:color="auto"/>
        <w:right w:val="none" w:sz="0" w:space="0" w:color="auto"/>
      </w:divBdr>
    </w:div>
    <w:div w:id="33896565">
      <w:bodyDiv w:val="1"/>
      <w:marLeft w:val="0"/>
      <w:marRight w:val="0"/>
      <w:marTop w:val="0"/>
      <w:marBottom w:val="0"/>
      <w:divBdr>
        <w:top w:val="none" w:sz="0" w:space="0" w:color="auto"/>
        <w:left w:val="none" w:sz="0" w:space="0" w:color="auto"/>
        <w:bottom w:val="none" w:sz="0" w:space="0" w:color="auto"/>
        <w:right w:val="none" w:sz="0" w:space="0" w:color="auto"/>
      </w:divBdr>
      <w:divsChild>
        <w:div w:id="1481070952">
          <w:marLeft w:val="0"/>
          <w:marRight w:val="0"/>
          <w:marTop w:val="0"/>
          <w:marBottom w:val="0"/>
          <w:divBdr>
            <w:top w:val="none" w:sz="0" w:space="0" w:color="auto"/>
            <w:left w:val="none" w:sz="0" w:space="0" w:color="auto"/>
            <w:bottom w:val="none" w:sz="0" w:space="0" w:color="auto"/>
            <w:right w:val="none" w:sz="0" w:space="0" w:color="auto"/>
          </w:divBdr>
          <w:divsChild>
            <w:div w:id="32925889">
              <w:marLeft w:val="0"/>
              <w:marRight w:val="0"/>
              <w:marTop w:val="0"/>
              <w:marBottom w:val="0"/>
              <w:divBdr>
                <w:top w:val="none" w:sz="0" w:space="0" w:color="auto"/>
                <w:left w:val="none" w:sz="0" w:space="0" w:color="auto"/>
                <w:bottom w:val="none" w:sz="0" w:space="0" w:color="auto"/>
                <w:right w:val="none" w:sz="0" w:space="0" w:color="auto"/>
              </w:divBdr>
              <w:divsChild>
                <w:div w:id="202547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38071">
      <w:bodyDiv w:val="1"/>
      <w:marLeft w:val="0"/>
      <w:marRight w:val="0"/>
      <w:marTop w:val="0"/>
      <w:marBottom w:val="0"/>
      <w:divBdr>
        <w:top w:val="none" w:sz="0" w:space="0" w:color="auto"/>
        <w:left w:val="none" w:sz="0" w:space="0" w:color="auto"/>
        <w:bottom w:val="none" w:sz="0" w:space="0" w:color="auto"/>
        <w:right w:val="none" w:sz="0" w:space="0" w:color="auto"/>
      </w:divBdr>
    </w:div>
    <w:div w:id="55475879">
      <w:bodyDiv w:val="1"/>
      <w:marLeft w:val="0"/>
      <w:marRight w:val="0"/>
      <w:marTop w:val="0"/>
      <w:marBottom w:val="0"/>
      <w:divBdr>
        <w:top w:val="none" w:sz="0" w:space="0" w:color="auto"/>
        <w:left w:val="none" w:sz="0" w:space="0" w:color="auto"/>
        <w:bottom w:val="none" w:sz="0" w:space="0" w:color="auto"/>
        <w:right w:val="none" w:sz="0" w:space="0" w:color="auto"/>
      </w:divBdr>
    </w:div>
    <w:div w:id="57746956">
      <w:bodyDiv w:val="1"/>
      <w:marLeft w:val="0"/>
      <w:marRight w:val="0"/>
      <w:marTop w:val="0"/>
      <w:marBottom w:val="0"/>
      <w:divBdr>
        <w:top w:val="none" w:sz="0" w:space="0" w:color="auto"/>
        <w:left w:val="none" w:sz="0" w:space="0" w:color="auto"/>
        <w:bottom w:val="none" w:sz="0" w:space="0" w:color="auto"/>
        <w:right w:val="none" w:sz="0" w:space="0" w:color="auto"/>
      </w:divBdr>
    </w:div>
    <w:div w:id="57946314">
      <w:bodyDiv w:val="1"/>
      <w:marLeft w:val="0"/>
      <w:marRight w:val="0"/>
      <w:marTop w:val="0"/>
      <w:marBottom w:val="0"/>
      <w:divBdr>
        <w:top w:val="none" w:sz="0" w:space="0" w:color="auto"/>
        <w:left w:val="none" w:sz="0" w:space="0" w:color="auto"/>
        <w:bottom w:val="none" w:sz="0" w:space="0" w:color="auto"/>
        <w:right w:val="none" w:sz="0" w:space="0" w:color="auto"/>
      </w:divBdr>
    </w:div>
    <w:div w:id="59862758">
      <w:bodyDiv w:val="1"/>
      <w:marLeft w:val="0"/>
      <w:marRight w:val="0"/>
      <w:marTop w:val="0"/>
      <w:marBottom w:val="0"/>
      <w:divBdr>
        <w:top w:val="none" w:sz="0" w:space="0" w:color="auto"/>
        <w:left w:val="none" w:sz="0" w:space="0" w:color="auto"/>
        <w:bottom w:val="none" w:sz="0" w:space="0" w:color="auto"/>
        <w:right w:val="none" w:sz="0" w:space="0" w:color="auto"/>
      </w:divBdr>
    </w:div>
    <w:div w:id="60756594">
      <w:bodyDiv w:val="1"/>
      <w:marLeft w:val="0"/>
      <w:marRight w:val="0"/>
      <w:marTop w:val="0"/>
      <w:marBottom w:val="0"/>
      <w:divBdr>
        <w:top w:val="none" w:sz="0" w:space="0" w:color="auto"/>
        <w:left w:val="none" w:sz="0" w:space="0" w:color="auto"/>
        <w:bottom w:val="none" w:sz="0" w:space="0" w:color="auto"/>
        <w:right w:val="none" w:sz="0" w:space="0" w:color="auto"/>
      </w:divBdr>
    </w:div>
    <w:div w:id="64768801">
      <w:bodyDiv w:val="1"/>
      <w:marLeft w:val="0"/>
      <w:marRight w:val="0"/>
      <w:marTop w:val="0"/>
      <w:marBottom w:val="0"/>
      <w:divBdr>
        <w:top w:val="none" w:sz="0" w:space="0" w:color="auto"/>
        <w:left w:val="none" w:sz="0" w:space="0" w:color="auto"/>
        <w:bottom w:val="none" w:sz="0" w:space="0" w:color="auto"/>
        <w:right w:val="none" w:sz="0" w:space="0" w:color="auto"/>
      </w:divBdr>
    </w:div>
    <w:div w:id="75711895">
      <w:bodyDiv w:val="1"/>
      <w:marLeft w:val="0"/>
      <w:marRight w:val="0"/>
      <w:marTop w:val="0"/>
      <w:marBottom w:val="0"/>
      <w:divBdr>
        <w:top w:val="none" w:sz="0" w:space="0" w:color="auto"/>
        <w:left w:val="none" w:sz="0" w:space="0" w:color="auto"/>
        <w:bottom w:val="none" w:sz="0" w:space="0" w:color="auto"/>
        <w:right w:val="none" w:sz="0" w:space="0" w:color="auto"/>
      </w:divBdr>
    </w:div>
    <w:div w:id="113981876">
      <w:bodyDiv w:val="1"/>
      <w:marLeft w:val="0"/>
      <w:marRight w:val="0"/>
      <w:marTop w:val="0"/>
      <w:marBottom w:val="0"/>
      <w:divBdr>
        <w:top w:val="none" w:sz="0" w:space="0" w:color="auto"/>
        <w:left w:val="none" w:sz="0" w:space="0" w:color="auto"/>
        <w:bottom w:val="none" w:sz="0" w:space="0" w:color="auto"/>
        <w:right w:val="none" w:sz="0" w:space="0" w:color="auto"/>
      </w:divBdr>
    </w:div>
    <w:div w:id="114058546">
      <w:bodyDiv w:val="1"/>
      <w:marLeft w:val="0"/>
      <w:marRight w:val="0"/>
      <w:marTop w:val="0"/>
      <w:marBottom w:val="0"/>
      <w:divBdr>
        <w:top w:val="none" w:sz="0" w:space="0" w:color="auto"/>
        <w:left w:val="none" w:sz="0" w:space="0" w:color="auto"/>
        <w:bottom w:val="none" w:sz="0" w:space="0" w:color="auto"/>
        <w:right w:val="none" w:sz="0" w:space="0" w:color="auto"/>
      </w:divBdr>
    </w:div>
    <w:div w:id="114100836">
      <w:bodyDiv w:val="1"/>
      <w:marLeft w:val="0"/>
      <w:marRight w:val="0"/>
      <w:marTop w:val="0"/>
      <w:marBottom w:val="0"/>
      <w:divBdr>
        <w:top w:val="none" w:sz="0" w:space="0" w:color="auto"/>
        <w:left w:val="none" w:sz="0" w:space="0" w:color="auto"/>
        <w:bottom w:val="none" w:sz="0" w:space="0" w:color="auto"/>
        <w:right w:val="none" w:sz="0" w:space="0" w:color="auto"/>
      </w:divBdr>
    </w:div>
    <w:div w:id="116682499">
      <w:bodyDiv w:val="1"/>
      <w:marLeft w:val="0"/>
      <w:marRight w:val="0"/>
      <w:marTop w:val="0"/>
      <w:marBottom w:val="0"/>
      <w:divBdr>
        <w:top w:val="none" w:sz="0" w:space="0" w:color="auto"/>
        <w:left w:val="none" w:sz="0" w:space="0" w:color="auto"/>
        <w:bottom w:val="none" w:sz="0" w:space="0" w:color="auto"/>
        <w:right w:val="none" w:sz="0" w:space="0" w:color="auto"/>
      </w:divBdr>
    </w:div>
    <w:div w:id="119039100">
      <w:bodyDiv w:val="1"/>
      <w:marLeft w:val="0"/>
      <w:marRight w:val="0"/>
      <w:marTop w:val="0"/>
      <w:marBottom w:val="0"/>
      <w:divBdr>
        <w:top w:val="none" w:sz="0" w:space="0" w:color="auto"/>
        <w:left w:val="none" w:sz="0" w:space="0" w:color="auto"/>
        <w:bottom w:val="none" w:sz="0" w:space="0" w:color="auto"/>
        <w:right w:val="none" w:sz="0" w:space="0" w:color="auto"/>
      </w:divBdr>
    </w:div>
    <w:div w:id="126095727">
      <w:bodyDiv w:val="1"/>
      <w:marLeft w:val="0"/>
      <w:marRight w:val="0"/>
      <w:marTop w:val="0"/>
      <w:marBottom w:val="0"/>
      <w:divBdr>
        <w:top w:val="none" w:sz="0" w:space="0" w:color="auto"/>
        <w:left w:val="none" w:sz="0" w:space="0" w:color="auto"/>
        <w:bottom w:val="none" w:sz="0" w:space="0" w:color="auto"/>
        <w:right w:val="none" w:sz="0" w:space="0" w:color="auto"/>
      </w:divBdr>
      <w:divsChild>
        <w:div w:id="911280062">
          <w:marLeft w:val="0"/>
          <w:marRight w:val="0"/>
          <w:marTop w:val="0"/>
          <w:marBottom w:val="0"/>
          <w:divBdr>
            <w:top w:val="none" w:sz="0" w:space="0" w:color="auto"/>
            <w:left w:val="none" w:sz="0" w:space="0" w:color="auto"/>
            <w:bottom w:val="none" w:sz="0" w:space="0" w:color="auto"/>
            <w:right w:val="none" w:sz="0" w:space="0" w:color="auto"/>
          </w:divBdr>
          <w:divsChild>
            <w:div w:id="1931229873">
              <w:marLeft w:val="0"/>
              <w:marRight w:val="0"/>
              <w:marTop w:val="0"/>
              <w:marBottom w:val="0"/>
              <w:divBdr>
                <w:top w:val="none" w:sz="0" w:space="0" w:color="auto"/>
                <w:left w:val="none" w:sz="0" w:space="0" w:color="auto"/>
                <w:bottom w:val="none" w:sz="0" w:space="0" w:color="auto"/>
                <w:right w:val="none" w:sz="0" w:space="0" w:color="auto"/>
              </w:divBdr>
              <w:divsChild>
                <w:div w:id="35300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65680">
      <w:bodyDiv w:val="1"/>
      <w:marLeft w:val="0"/>
      <w:marRight w:val="0"/>
      <w:marTop w:val="0"/>
      <w:marBottom w:val="0"/>
      <w:divBdr>
        <w:top w:val="none" w:sz="0" w:space="0" w:color="auto"/>
        <w:left w:val="none" w:sz="0" w:space="0" w:color="auto"/>
        <w:bottom w:val="none" w:sz="0" w:space="0" w:color="auto"/>
        <w:right w:val="none" w:sz="0" w:space="0" w:color="auto"/>
      </w:divBdr>
    </w:div>
    <w:div w:id="143402619">
      <w:bodyDiv w:val="1"/>
      <w:marLeft w:val="0"/>
      <w:marRight w:val="0"/>
      <w:marTop w:val="0"/>
      <w:marBottom w:val="0"/>
      <w:divBdr>
        <w:top w:val="none" w:sz="0" w:space="0" w:color="auto"/>
        <w:left w:val="none" w:sz="0" w:space="0" w:color="auto"/>
        <w:bottom w:val="none" w:sz="0" w:space="0" w:color="auto"/>
        <w:right w:val="none" w:sz="0" w:space="0" w:color="auto"/>
      </w:divBdr>
    </w:div>
    <w:div w:id="151718865">
      <w:bodyDiv w:val="1"/>
      <w:marLeft w:val="0"/>
      <w:marRight w:val="0"/>
      <w:marTop w:val="0"/>
      <w:marBottom w:val="0"/>
      <w:divBdr>
        <w:top w:val="none" w:sz="0" w:space="0" w:color="auto"/>
        <w:left w:val="none" w:sz="0" w:space="0" w:color="auto"/>
        <w:bottom w:val="none" w:sz="0" w:space="0" w:color="auto"/>
        <w:right w:val="none" w:sz="0" w:space="0" w:color="auto"/>
      </w:divBdr>
    </w:div>
    <w:div w:id="161480712">
      <w:bodyDiv w:val="1"/>
      <w:marLeft w:val="0"/>
      <w:marRight w:val="0"/>
      <w:marTop w:val="0"/>
      <w:marBottom w:val="0"/>
      <w:divBdr>
        <w:top w:val="none" w:sz="0" w:space="0" w:color="auto"/>
        <w:left w:val="none" w:sz="0" w:space="0" w:color="auto"/>
        <w:bottom w:val="none" w:sz="0" w:space="0" w:color="auto"/>
        <w:right w:val="none" w:sz="0" w:space="0" w:color="auto"/>
      </w:divBdr>
    </w:div>
    <w:div w:id="161554457">
      <w:bodyDiv w:val="1"/>
      <w:marLeft w:val="0"/>
      <w:marRight w:val="0"/>
      <w:marTop w:val="0"/>
      <w:marBottom w:val="0"/>
      <w:divBdr>
        <w:top w:val="none" w:sz="0" w:space="0" w:color="auto"/>
        <w:left w:val="none" w:sz="0" w:space="0" w:color="auto"/>
        <w:bottom w:val="none" w:sz="0" w:space="0" w:color="auto"/>
        <w:right w:val="none" w:sz="0" w:space="0" w:color="auto"/>
      </w:divBdr>
      <w:divsChild>
        <w:div w:id="194734860">
          <w:marLeft w:val="0"/>
          <w:marRight w:val="0"/>
          <w:marTop w:val="0"/>
          <w:marBottom w:val="0"/>
          <w:divBdr>
            <w:top w:val="none" w:sz="0" w:space="0" w:color="auto"/>
            <w:left w:val="none" w:sz="0" w:space="0" w:color="auto"/>
            <w:bottom w:val="none" w:sz="0" w:space="0" w:color="auto"/>
            <w:right w:val="none" w:sz="0" w:space="0" w:color="auto"/>
          </w:divBdr>
        </w:div>
        <w:div w:id="293947598">
          <w:marLeft w:val="0"/>
          <w:marRight w:val="0"/>
          <w:marTop w:val="0"/>
          <w:marBottom w:val="0"/>
          <w:divBdr>
            <w:top w:val="none" w:sz="0" w:space="0" w:color="auto"/>
            <w:left w:val="none" w:sz="0" w:space="0" w:color="auto"/>
            <w:bottom w:val="none" w:sz="0" w:space="0" w:color="auto"/>
            <w:right w:val="none" w:sz="0" w:space="0" w:color="auto"/>
          </w:divBdr>
        </w:div>
        <w:div w:id="539778999">
          <w:marLeft w:val="0"/>
          <w:marRight w:val="0"/>
          <w:marTop w:val="0"/>
          <w:marBottom w:val="0"/>
          <w:divBdr>
            <w:top w:val="none" w:sz="0" w:space="0" w:color="auto"/>
            <w:left w:val="none" w:sz="0" w:space="0" w:color="auto"/>
            <w:bottom w:val="none" w:sz="0" w:space="0" w:color="auto"/>
            <w:right w:val="none" w:sz="0" w:space="0" w:color="auto"/>
          </w:divBdr>
        </w:div>
        <w:div w:id="733893516">
          <w:marLeft w:val="0"/>
          <w:marRight w:val="0"/>
          <w:marTop w:val="0"/>
          <w:marBottom w:val="0"/>
          <w:divBdr>
            <w:top w:val="none" w:sz="0" w:space="0" w:color="auto"/>
            <w:left w:val="none" w:sz="0" w:space="0" w:color="auto"/>
            <w:bottom w:val="none" w:sz="0" w:space="0" w:color="auto"/>
            <w:right w:val="none" w:sz="0" w:space="0" w:color="auto"/>
          </w:divBdr>
        </w:div>
        <w:div w:id="978730277">
          <w:marLeft w:val="0"/>
          <w:marRight w:val="0"/>
          <w:marTop w:val="0"/>
          <w:marBottom w:val="0"/>
          <w:divBdr>
            <w:top w:val="none" w:sz="0" w:space="0" w:color="auto"/>
            <w:left w:val="none" w:sz="0" w:space="0" w:color="auto"/>
            <w:bottom w:val="none" w:sz="0" w:space="0" w:color="auto"/>
            <w:right w:val="none" w:sz="0" w:space="0" w:color="auto"/>
          </w:divBdr>
        </w:div>
        <w:div w:id="999843893">
          <w:marLeft w:val="0"/>
          <w:marRight w:val="0"/>
          <w:marTop w:val="0"/>
          <w:marBottom w:val="0"/>
          <w:divBdr>
            <w:top w:val="none" w:sz="0" w:space="0" w:color="auto"/>
            <w:left w:val="none" w:sz="0" w:space="0" w:color="auto"/>
            <w:bottom w:val="none" w:sz="0" w:space="0" w:color="auto"/>
            <w:right w:val="none" w:sz="0" w:space="0" w:color="auto"/>
          </w:divBdr>
        </w:div>
        <w:div w:id="1312245919">
          <w:marLeft w:val="0"/>
          <w:marRight w:val="0"/>
          <w:marTop w:val="0"/>
          <w:marBottom w:val="0"/>
          <w:divBdr>
            <w:top w:val="none" w:sz="0" w:space="0" w:color="auto"/>
            <w:left w:val="none" w:sz="0" w:space="0" w:color="auto"/>
            <w:bottom w:val="none" w:sz="0" w:space="0" w:color="auto"/>
            <w:right w:val="none" w:sz="0" w:space="0" w:color="auto"/>
          </w:divBdr>
        </w:div>
        <w:div w:id="1389065583">
          <w:marLeft w:val="0"/>
          <w:marRight w:val="0"/>
          <w:marTop w:val="0"/>
          <w:marBottom w:val="0"/>
          <w:divBdr>
            <w:top w:val="none" w:sz="0" w:space="0" w:color="auto"/>
            <w:left w:val="none" w:sz="0" w:space="0" w:color="auto"/>
            <w:bottom w:val="none" w:sz="0" w:space="0" w:color="auto"/>
            <w:right w:val="none" w:sz="0" w:space="0" w:color="auto"/>
          </w:divBdr>
        </w:div>
        <w:div w:id="1619293816">
          <w:marLeft w:val="0"/>
          <w:marRight w:val="0"/>
          <w:marTop w:val="0"/>
          <w:marBottom w:val="0"/>
          <w:divBdr>
            <w:top w:val="none" w:sz="0" w:space="0" w:color="auto"/>
            <w:left w:val="none" w:sz="0" w:space="0" w:color="auto"/>
            <w:bottom w:val="none" w:sz="0" w:space="0" w:color="auto"/>
            <w:right w:val="none" w:sz="0" w:space="0" w:color="auto"/>
          </w:divBdr>
        </w:div>
        <w:div w:id="1707172658">
          <w:marLeft w:val="0"/>
          <w:marRight w:val="0"/>
          <w:marTop w:val="0"/>
          <w:marBottom w:val="0"/>
          <w:divBdr>
            <w:top w:val="none" w:sz="0" w:space="0" w:color="auto"/>
            <w:left w:val="none" w:sz="0" w:space="0" w:color="auto"/>
            <w:bottom w:val="none" w:sz="0" w:space="0" w:color="auto"/>
            <w:right w:val="none" w:sz="0" w:space="0" w:color="auto"/>
          </w:divBdr>
        </w:div>
        <w:div w:id="1730498227">
          <w:marLeft w:val="0"/>
          <w:marRight w:val="0"/>
          <w:marTop w:val="0"/>
          <w:marBottom w:val="0"/>
          <w:divBdr>
            <w:top w:val="none" w:sz="0" w:space="0" w:color="auto"/>
            <w:left w:val="none" w:sz="0" w:space="0" w:color="auto"/>
            <w:bottom w:val="none" w:sz="0" w:space="0" w:color="auto"/>
            <w:right w:val="none" w:sz="0" w:space="0" w:color="auto"/>
          </w:divBdr>
        </w:div>
        <w:div w:id="1834371683">
          <w:marLeft w:val="0"/>
          <w:marRight w:val="0"/>
          <w:marTop w:val="0"/>
          <w:marBottom w:val="0"/>
          <w:divBdr>
            <w:top w:val="none" w:sz="0" w:space="0" w:color="auto"/>
            <w:left w:val="none" w:sz="0" w:space="0" w:color="auto"/>
            <w:bottom w:val="none" w:sz="0" w:space="0" w:color="auto"/>
            <w:right w:val="none" w:sz="0" w:space="0" w:color="auto"/>
          </w:divBdr>
        </w:div>
      </w:divsChild>
    </w:div>
    <w:div w:id="165365035">
      <w:bodyDiv w:val="1"/>
      <w:marLeft w:val="0"/>
      <w:marRight w:val="0"/>
      <w:marTop w:val="0"/>
      <w:marBottom w:val="0"/>
      <w:divBdr>
        <w:top w:val="none" w:sz="0" w:space="0" w:color="auto"/>
        <w:left w:val="none" w:sz="0" w:space="0" w:color="auto"/>
        <w:bottom w:val="none" w:sz="0" w:space="0" w:color="auto"/>
        <w:right w:val="none" w:sz="0" w:space="0" w:color="auto"/>
      </w:divBdr>
    </w:div>
    <w:div w:id="170069337">
      <w:bodyDiv w:val="1"/>
      <w:marLeft w:val="0"/>
      <w:marRight w:val="0"/>
      <w:marTop w:val="0"/>
      <w:marBottom w:val="0"/>
      <w:divBdr>
        <w:top w:val="none" w:sz="0" w:space="0" w:color="auto"/>
        <w:left w:val="none" w:sz="0" w:space="0" w:color="auto"/>
        <w:bottom w:val="none" w:sz="0" w:space="0" w:color="auto"/>
        <w:right w:val="none" w:sz="0" w:space="0" w:color="auto"/>
      </w:divBdr>
    </w:div>
    <w:div w:id="177280661">
      <w:bodyDiv w:val="1"/>
      <w:marLeft w:val="0"/>
      <w:marRight w:val="0"/>
      <w:marTop w:val="0"/>
      <w:marBottom w:val="0"/>
      <w:divBdr>
        <w:top w:val="none" w:sz="0" w:space="0" w:color="auto"/>
        <w:left w:val="none" w:sz="0" w:space="0" w:color="auto"/>
        <w:bottom w:val="none" w:sz="0" w:space="0" w:color="auto"/>
        <w:right w:val="none" w:sz="0" w:space="0" w:color="auto"/>
      </w:divBdr>
    </w:div>
    <w:div w:id="178589683">
      <w:bodyDiv w:val="1"/>
      <w:marLeft w:val="0"/>
      <w:marRight w:val="0"/>
      <w:marTop w:val="0"/>
      <w:marBottom w:val="0"/>
      <w:divBdr>
        <w:top w:val="none" w:sz="0" w:space="0" w:color="auto"/>
        <w:left w:val="none" w:sz="0" w:space="0" w:color="auto"/>
        <w:bottom w:val="none" w:sz="0" w:space="0" w:color="auto"/>
        <w:right w:val="none" w:sz="0" w:space="0" w:color="auto"/>
      </w:divBdr>
    </w:div>
    <w:div w:id="183904384">
      <w:bodyDiv w:val="1"/>
      <w:marLeft w:val="0"/>
      <w:marRight w:val="0"/>
      <w:marTop w:val="0"/>
      <w:marBottom w:val="0"/>
      <w:divBdr>
        <w:top w:val="none" w:sz="0" w:space="0" w:color="auto"/>
        <w:left w:val="none" w:sz="0" w:space="0" w:color="auto"/>
        <w:bottom w:val="none" w:sz="0" w:space="0" w:color="auto"/>
        <w:right w:val="none" w:sz="0" w:space="0" w:color="auto"/>
      </w:divBdr>
    </w:div>
    <w:div w:id="188379348">
      <w:bodyDiv w:val="1"/>
      <w:marLeft w:val="0"/>
      <w:marRight w:val="0"/>
      <w:marTop w:val="0"/>
      <w:marBottom w:val="0"/>
      <w:divBdr>
        <w:top w:val="none" w:sz="0" w:space="0" w:color="auto"/>
        <w:left w:val="none" w:sz="0" w:space="0" w:color="auto"/>
        <w:bottom w:val="none" w:sz="0" w:space="0" w:color="auto"/>
        <w:right w:val="none" w:sz="0" w:space="0" w:color="auto"/>
      </w:divBdr>
    </w:div>
    <w:div w:id="197473599">
      <w:bodyDiv w:val="1"/>
      <w:marLeft w:val="0"/>
      <w:marRight w:val="0"/>
      <w:marTop w:val="0"/>
      <w:marBottom w:val="0"/>
      <w:divBdr>
        <w:top w:val="none" w:sz="0" w:space="0" w:color="auto"/>
        <w:left w:val="none" w:sz="0" w:space="0" w:color="auto"/>
        <w:bottom w:val="none" w:sz="0" w:space="0" w:color="auto"/>
        <w:right w:val="none" w:sz="0" w:space="0" w:color="auto"/>
      </w:divBdr>
    </w:div>
    <w:div w:id="203715089">
      <w:bodyDiv w:val="1"/>
      <w:marLeft w:val="0"/>
      <w:marRight w:val="0"/>
      <w:marTop w:val="0"/>
      <w:marBottom w:val="0"/>
      <w:divBdr>
        <w:top w:val="none" w:sz="0" w:space="0" w:color="auto"/>
        <w:left w:val="none" w:sz="0" w:space="0" w:color="auto"/>
        <w:bottom w:val="none" w:sz="0" w:space="0" w:color="auto"/>
        <w:right w:val="none" w:sz="0" w:space="0" w:color="auto"/>
      </w:divBdr>
    </w:div>
    <w:div w:id="218902610">
      <w:bodyDiv w:val="1"/>
      <w:marLeft w:val="0"/>
      <w:marRight w:val="0"/>
      <w:marTop w:val="0"/>
      <w:marBottom w:val="0"/>
      <w:divBdr>
        <w:top w:val="none" w:sz="0" w:space="0" w:color="auto"/>
        <w:left w:val="none" w:sz="0" w:space="0" w:color="auto"/>
        <w:bottom w:val="none" w:sz="0" w:space="0" w:color="auto"/>
        <w:right w:val="none" w:sz="0" w:space="0" w:color="auto"/>
      </w:divBdr>
      <w:divsChild>
        <w:div w:id="779646927">
          <w:marLeft w:val="0"/>
          <w:marRight w:val="0"/>
          <w:marTop w:val="0"/>
          <w:marBottom w:val="0"/>
          <w:divBdr>
            <w:top w:val="none" w:sz="0" w:space="0" w:color="auto"/>
            <w:left w:val="none" w:sz="0" w:space="0" w:color="auto"/>
            <w:bottom w:val="none" w:sz="0" w:space="0" w:color="auto"/>
            <w:right w:val="none" w:sz="0" w:space="0" w:color="auto"/>
          </w:divBdr>
          <w:divsChild>
            <w:div w:id="1014646079">
              <w:marLeft w:val="0"/>
              <w:marRight w:val="0"/>
              <w:marTop w:val="0"/>
              <w:marBottom w:val="0"/>
              <w:divBdr>
                <w:top w:val="none" w:sz="0" w:space="0" w:color="auto"/>
                <w:left w:val="none" w:sz="0" w:space="0" w:color="auto"/>
                <w:bottom w:val="none" w:sz="0" w:space="0" w:color="auto"/>
                <w:right w:val="none" w:sz="0" w:space="0" w:color="auto"/>
              </w:divBdr>
              <w:divsChild>
                <w:div w:id="1402023570">
                  <w:marLeft w:val="0"/>
                  <w:marRight w:val="0"/>
                  <w:marTop w:val="0"/>
                  <w:marBottom w:val="0"/>
                  <w:divBdr>
                    <w:top w:val="none" w:sz="0" w:space="0" w:color="auto"/>
                    <w:left w:val="none" w:sz="0" w:space="0" w:color="auto"/>
                    <w:bottom w:val="none" w:sz="0" w:space="0" w:color="auto"/>
                    <w:right w:val="none" w:sz="0" w:space="0" w:color="auto"/>
                  </w:divBdr>
                  <w:divsChild>
                    <w:div w:id="603269659">
                      <w:marLeft w:val="0"/>
                      <w:marRight w:val="0"/>
                      <w:marTop w:val="0"/>
                      <w:marBottom w:val="0"/>
                      <w:divBdr>
                        <w:top w:val="none" w:sz="0" w:space="0" w:color="auto"/>
                        <w:left w:val="none" w:sz="0" w:space="0" w:color="auto"/>
                        <w:bottom w:val="none" w:sz="0" w:space="0" w:color="auto"/>
                        <w:right w:val="none" w:sz="0" w:space="0" w:color="auto"/>
                      </w:divBdr>
                      <w:divsChild>
                        <w:div w:id="1863277078">
                          <w:marLeft w:val="0"/>
                          <w:marRight w:val="0"/>
                          <w:marTop w:val="0"/>
                          <w:marBottom w:val="0"/>
                          <w:divBdr>
                            <w:top w:val="none" w:sz="0" w:space="0" w:color="auto"/>
                            <w:left w:val="none" w:sz="0" w:space="0" w:color="auto"/>
                            <w:bottom w:val="none" w:sz="0" w:space="0" w:color="auto"/>
                            <w:right w:val="none" w:sz="0" w:space="0" w:color="auto"/>
                          </w:divBdr>
                          <w:divsChild>
                            <w:div w:id="827357445">
                              <w:marLeft w:val="0"/>
                              <w:marRight w:val="0"/>
                              <w:marTop w:val="0"/>
                              <w:marBottom w:val="0"/>
                              <w:divBdr>
                                <w:top w:val="none" w:sz="0" w:space="0" w:color="auto"/>
                                <w:left w:val="none" w:sz="0" w:space="0" w:color="auto"/>
                                <w:bottom w:val="none" w:sz="0" w:space="0" w:color="auto"/>
                                <w:right w:val="none" w:sz="0" w:space="0" w:color="auto"/>
                              </w:divBdr>
                              <w:divsChild>
                                <w:div w:id="2029402220">
                                  <w:marLeft w:val="0"/>
                                  <w:marRight w:val="0"/>
                                  <w:marTop w:val="0"/>
                                  <w:marBottom w:val="0"/>
                                  <w:divBdr>
                                    <w:top w:val="none" w:sz="0" w:space="0" w:color="auto"/>
                                    <w:left w:val="none" w:sz="0" w:space="0" w:color="auto"/>
                                    <w:bottom w:val="none" w:sz="0" w:space="0" w:color="auto"/>
                                    <w:right w:val="none" w:sz="0" w:space="0" w:color="auto"/>
                                  </w:divBdr>
                                  <w:divsChild>
                                    <w:div w:id="355889336">
                                      <w:marLeft w:val="0"/>
                                      <w:marRight w:val="0"/>
                                      <w:marTop w:val="0"/>
                                      <w:marBottom w:val="0"/>
                                      <w:divBdr>
                                        <w:top w:val="none" w:sz="0" w:space="0" w:color="auto"/>
                                        <w:left w:val="none" w:sz="0" w:space="0" w:color="auto"/>
                                        <w:bottom w:val="none" w:sz="0" w:space="0" w:color="auto"/>
                                        <w:right w:val="none" w:sz="0" w:space="0" w:color="auto"/>
                                      </w:divBdr>
                                      <w:divsChild>
                                        <w:div w:id="589848406">
                                          <w:marLeft w:val="0"/>
                                          <w:marRight w:val="0"/>
                                          <w:marTop w:val="0"/>
                                          <w:marBottom w:val="0"/>
                                          <w:divBdr>
                                            <w:top w:val="none" w:sz="0" w:space="0" w:color="auto"/>
                                            <w:left w:val="none" w:sz="0" w:space="0" w:color="auto"/>
                                            <w:bottom w:val="none" w:sz="0" w:space="0" w:color="auto"/>
                                            <w:right w:val="none" w:sz="0" w:space="0" w:color="auto"/>
                                          </w:divBdr>
                                          <w:divsChild>
                                            <w:div w:id="1255748783">
                                              <w:marLeft w:val="0"/>
                                              <w:marRight w:val="0"/>
                                              <w:marTop w:val="0"/>
                                              <w:marBottom w:val="0"/>
                                              <w:divBdr>
                                                <w:top w:val="none" w:sz="0" w:space="0" w:color="auto"/>
                                                <w:left w:val="none" w:sz="0" w:space="0" w:color="auto"/>
                                                <w:bottom w:val="none" w:sz="0" w:space="0" w:color="auto"/>
                                                <w:right w:val="none" w:sz="0" w:space="0" w:color="auto"/>
                                              </w:divBdr>
                                              <w:divsChild>
                                                <w:div w:id="840318485">
                                                  <w:marLeft w:val="0"/>
                                                  <w:marRight w:val="0"/>
                                                  <w:marTop w:val="0"/>
                                                  <w:marBottom w:val="0"/>
                                                  <w:divBdr>
                                                    <w:top w:val="none" w:sz="0" w:space="0" w:color="auto"/>
                                                    <w:left w:val="none" w:sz="0" w:space="0" w:color="auto"/>
                                                    <w:bottom w:val="none" w:sz="0" w:space="0" w:color="auto"/>
                                                    <w:right w:val="none" w:sz="0" w:space="0" w:color="auto"/>
                                                  </w:divBdr>
                                                  <w:divsChild>
                                                    <w:div w:id="114878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0788094">
          <w:marLeft w:val="0"/>
          <w:marRight w:val="0"/>
          <w:marTop w:val="0"/>
          <w:marBottom w:val="0"/>
          <w:divBdr>
            <w:top w:val="none" w:sz="0" w:space="0" w:color="auto"/>
            <w:left w:val="none" w:sz="0" w:space="0" w:color="auto"/>
            <w:bottom w:val="none" w:sz="0" w:space="0" w:color="auto"/>
            <w:right w:val="none" w:sz="0" w:space="0" w:color="auto"/>
          </w:divBdr>
          <w:divsChild>
            <w:div w:id="1367288334">
              <w:marLeft w:val="0"/>
              <w:marRight w:val="0"/>
              <w:marTop w:val="0"/>
              <w:marBottom w:val="0"/>
              <w:divBdr>
                <w:top w:val="none" w:sz="0" w:space="0" w:color="auto"/>
                <w:left w:val="none" w:sz="0" w:space="0" w:color="auto"/>
                <w:bottom w:val="none" w:sz="0" w:space="0" w:color="auto"/>
                <w:right w:val="none" w:sz="0" w:space="0" w:color="auto"/>
              </w:divBdr>
              <w:divsChild>
                <w:div w:id="1602033314">
                  <w:marLeft w:val="0"/>
                  <w:marRight w:val="0"/>
                  <w:marTop w:val="0"/>
                  <w:marBottom w:val="0"/>
                  <w:divBdr>
                    <w:top w:val="none" w:sz="0" w:space="0" w:color="auto"/>
                    <w:left w:val="none" w:sz="0" w:space="0" w:color="auto"/>
                    <w:bottom w:val="none" w:sz="0" w:space="0" w:color="auto"/>
                    <w:right w:val="none" w:sz="0" w:space="0" w:color="auto"/>
                  </w:divBdr>
                  <w:divsChild>
                    <w:div w:id="786045122">
                      <w:marLeft w:val="0"/>
                      <w:marRight w:val="0"/>
                      <w:marTop w:val="0"/>
                      <w:marBottom w:val="0"/>
                      <w:divBdr>
                        <w:top w:val="none" w:sz="0" w:space="0" w:color="auto"/>
                        <w:left w:val="none" w:sz="0" w:space="0" w:color="auto"/>
                        <w:bottom w:val="none" w:sz="0" w:space="0" w:color="auto"/>
                        <w:right w:val="none" w:sz="0" w:space="0" w:color="auto"/>
                      </w:divBdr>
                      <w:divsChild>
                        <w:div w:id="387917751">
                          <w:marLeft w:val="0"/>
                          <w:marRight w:val="0"/>
                          <w:marTop w:val="0"/>
                          <w:marBottom w:val="0"/>
                          <w:divBdr>
                            <w:top w:val="none" w:sz="0" w:space="0" w:color="auto"/>
                            <w:left w:val="none" w:sz="0" w:space="0" w:color="auto"/>
                            <w:bottom w:val="none" w:sz="0" w:space="0" w:color="auto"/>
                            <w:right w:val="none" w:sz="0" w:space="0" w:color="auto"/>
                          </w:divBdr>
                          <w:divsChild>
                            <w:div w:id="1427651569">
                              <w:marLeft w:val="0"/>
                              <w:marRight w:val="0"/>
                              <w:marTop w:val="0"/>
                              <w:marBottom w:val="0"/>
                              <w:divBdr>
                                <w:top w:val="none" w:sz="0" w:space="0" w:color="auto"/>
                                <w:left w:val="none" w:sz="0" w:space="0" w:color="auto"/>
                                <w:bottom w:val="none" w:sz="0" w:space="0" w:color="auto"/>
                                <w:right w:val="none" w:sz="0" w:space="0" w:color="auto"/>
                              </w:divBdr>
                              <w:divsChild>
                                <w:div w:id="108743124">
                                  <w:marLeft w:val="0"/>
                                  <w:marRight w:val="0"/>
                                  <w:marTop w:val="0"/>
                                  <w:marBottom w:val="0"/>
                                  <w:divBdr>
                                    <w:top w:val="none" w:sz="0" w:space="0" w:color="auto"/>
                                    <w:left w:val="none" w:sz="0" w:space="0" w:color="auto"/>
                                    <w:bottom w:val="none" w:sz="0" w:space="0" w:color="auto"/>
                                    <w:right w:val="none" w:sz="0" w:space="0" w:color="auto"/>
                                  </w:divBdr>
                                  <w:divsChild>
                                    <w:div w:id="868448725">
                                      <w:marLeft w:val="0"/>
                                      <w:marRight w:val="0"/>
                                      <w:marTop w:val="0"/>
                                      <w:marBottom w:val="0"/>
                                      <w:divBdr>
                                        <w:top w:val="none" w:sz="0" w:space="0" w:color="auto"/>
                                        <w:left w:val="none" w:sz="0" w:space="0" w:color="auto"/>
                                        <w:bottom w:val="none" w:sz="0" w:space="0" w:color="auto"/>
                                        <w:right w:val="none" w:sz="0" w:space="0" w:color="auto"/>
                                      </w:divBdr>
                                      <w:divsChild>
                                        <w:div w:id="1509294802">
                                          <w:marLeft w:val="0"/>
                                          <w:marRight w:val="0"/>
                                          <w:marTop w:val="0"/>
                                          <w:marBottom w:val="0"/>
                                          <w:divBdr>
                                            <w:top w:val="none" w:sz="0" w:space="0" w:color="auto"/>
                                            <w:left w:val="none" w:sz="0" w:space="0" w:color="auto"/>
                                            <w:bottom w:val="none" w:sz="0" w:space="0" w:color="auto"/>
                                            <w:right w:val="none" w:sz="0" w:space="0" w:color="auto"/>
                                          </w:divBdr>
                                          <w:divsChild>
                                            <w:div w:id="1033843137">
                                              <w:marLeft w:val="0"/>
                                              <w:marRight w:val="0"/>
                                              <w:marTop w:val="0"/>
                                              <w:marBottom w:val="0"/>
                                              <w:divBdr>
                                                <w:top w:val="none" w:sz="0" w:space="0" w:color="auto"/>
                                                <w:left w:val="none" w:sz="0" w:space="0" w:color="auto"/>
                                                <w:bottom w:val="none" w:sz="0" w:space="0" w:color="auto"/>
                                                <w:right w:val="none" w:sz="0" w:space="0" w:color="auto"/>
                                              </w:divBdr>
                                              <w:divsChild>
                                                <w:div w:id="203642134">
                                                  <w:marLeft w:val="0"/>
                                                  <w:marRight w:val="0"/>
                                                  <w:marTop w:val="0"/>
                                                  <w:marBottom w:val="0"/>
                                                  <w:divBdr>
                                                    <w:top w:val="none" w:sz="0" w:space="0" w:color="auto"/>
                                                    <w:left w:val="none" w:sz="0" w:space="0" w:color="auto"/>
                                                    <w:bottom w:val="none" w:sz="0" w:space="0" w:color="auto"/>
                                                    <w:right w:val="none" w:sz="0" w:space="0" w:color="auto"/>
                                                  </w:divBdr>
                                                  <w:divsChild>
                                                    <w:div w:id="362898229">
                                                      <w:marLeft w:val="0"/>
                                                      <w:marRight w:val="0"/>
                                                      <w:marTop w:val="0"/>
                                                      <w:marBottom w:val="0"/>
                                                      <w:divBdr>
                                                        <w:top w:val="none" w:sz="0" w:space="0" w:color="auto"/>
                                                        <w:left w:val="none" w:sz="0" w:space="0" w:color="auto"/>
                                                        <w:bottom w:val="none" w:sz="0" w:space="0" w:color="auto"/>
                                                        <w:right w:val="none" w:sz="0" w:space="0" w:color="auto"/>
                                                      </w:divBdr>
                                                      <w:divsChild>
                                                        <w:div w:id="1975019554">
                                                          <w:marLeft w:val="0"/>
                                                          <w:marRight w:val="0"/>
                                                          <w:marTop w:val="0"/>
                                                          <w:marBottom w:val="0"/>
                                                          <w:divBdr>
                                                            <w:top w:val="none" w:sz="0" w:space="0" w:color="auto"/>
                                                            <w:left w:val="none" w:sz="0" w:space="0" w:color="auto"/>
                                                            <w:bottom w:val="none" w:sz="0" w:space="0" w:color="auto"/>
                                                            <w:right w:val="none" w:sz="0" w:space="0" w:color="auto"/>
                                                          </w:divBdr>
                                                          <w:divsChild>
                                                            <w:div w:id="288056390">
                                                              <w:marLeft w:val="0"/>
                                                              <w:marRight w:val="0"/>
                                                              <w:marTop w:val="0"/>
                                                              <w:marBottom w:val="0"/>
                                                              <w:divBdr>
                                                                <w:top w:val="none" w:sz="0" w:space="0" w:color="auto"/>
                                                                <w:left w:val="none" w:sz="0" w:space="0" w:color="auto"/>
                                                                <w:bottom w:val="none" w:sz="0" w:space="0" w:color="auto"/>
                                                                <w:right w:val="none" w:sz="0" w:space="0" w:color="auto"/>
                                                              </w:divBdr>
                                                              <w:divsChild>
                                                                <w:div w:id="179077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330627">
      <w:bodyDiv w:val="1"/>
      <w:marLeft w:val="0"/>
      <w:marRight w:val="0"/>
      <w:marTop w:val="0"/>
      <w:marBottom w:val="0"/>
      <w:divBdr>
        <w:top w:val="none" w:sz="0" w:space="0" w:color="auto"/>
        <w:left w:val="none" w:sz="0" w:space="0" w:color="auto"/>
        <w:bottom w:val="none" w:sz="0" w:space="0" w:color="auto"/>
        <w:right w:val="none" w:sz="0" w:space="0" w:color="auto"/>
      </w:divBdr>
    </w:div>
    <w:div w:id="222564639">
      <w:bodyDiv w:val="1"/>
      <w:marLeft w:val="0"/>
      <w:marRight w:val="0"/>
      <w:marTop w:val="0"/>
      <w:marBottom w:val="0"/>
      <w:divBdr>
        <w:top w:val="none" w:sz="0" w:space="0" w:color="auto"/>
        <w:left w:val="none" w:sz="0" w:space="0" w:color="auto"/>
        <w:bottom w:val="none" w:sz="0" w:space="0" w:color="auto"/>
        <w:right w:val="none" w:sz="0" w:space="0" w:color="auto"/>
      </w:divBdr>
    </w:div>
    <w:div w:id="227572879">
      <w:bodyDiv w:val="1"/>
      <w:marLeft w:val="0"/>
      <w:marRight w:val="0"/>
      <w:marTop w:val="0"/>
      <w:marBottom w:val="0"/>
      <w:divBdr>
        <w:top w:val="none" w:sz="0" w:space="0" w:color="auto"/>
        <w:left w:val="none" w:sz="0" w:space="0" w:color="auto"/>
        <w:bottom w:val="none" w:sz="0" w:space="0" w:color="auto"/>
        <w:right w:val="none" w:sz="0" w:space="0" w:color="auto"/>
      </w:divBdr>
    </w:div>
    <w:div w:id="228617777">
      <w:bodyDiv w:val="1"/>
      <w:marLeft w:val="0"/>
      <w:marRight w:val="0"/>
      <w:marTop w:val="0"/>
      <w:marBottom w:val="0"/>
      <w:divBdr>
        <w:top w:val="none" w:sz="0" w:space="0" w:color="auto"/>
        <w:left w:val="none" w:sz="0" w:space="0" w:color="auto"/>
        <w:bottom w:val="none" w:sz="0" w:space="0" w:color="auto"/>
        <w:right w:val="none" w:sz="0" w:space="0" w:color="auto"/>
      </w:divBdr>
    </w:div>
    <w:div w:id="232471107">
      <w:bodyDiv w:val="1"/>
      <w:marLeft w:val="0"/>
      <w:marRight w:val="0"/>
      <w:marTop w:val="0"/>
      <w:marBottom w:val="0"/>
      <w:divBdr>
        <w:top w:val="none" w:sz="0" w:space="0" w:color="auto"/>
        <w:left w:val="none" w:sz="0" w:space="0" w:color="auto"/>
        <w:bottom w:val="none" w:sz="0" w:space="0" w:color="auto"/>
        <w:right w:val="none" w:sz="0" w:space="0" w:color="auto"/>
      </w:divBdr>
    </w:div>
    <w:div w:id="257643144">
      <w:bodyDiv w:val="1"/>
      <w:marLeft w:val="0"/>
      <w:marRight w:val="0"/>
      <w:marTop w:val="0"/>
      <w:marBottom w:val="0"/>
      <w:divBdr>
        <w:top w:val="none" w:sz="0" w:space="0" w:color="auto"/>
        <w:left w:val="none" w:sz="0" w:space="0" w:color="auto"/>
        <w:bottom w:val="none" w:sz="0" w:space="0" w:color="auto"/>
        <w:right w:val="none" w:sz="0" w:space="0" w:color="auto"/>
      </w:divBdr>
    </w:div>
    <w:div w:id="262228375">
      <w:bodyDiv w:val="1"/>
      <w:marLeft w:val="0"/>
      <w:marRight w:val="0"/>
      <w:marTop w:val="0"/>
      <w:marBottom w:val="0"/>
      <w:divBdr>
        <w:top w:val="none" w:sz="0" w:space="0" w:color="auto"/>
        <w:left w:val="none" w:sz="0" w:space="0" w:color="auto"/>
        <w:bottom w:val="none" w:sz="0" w:space="0" w:color="auto"/>
        <w:right w:val="none" w:sz="0" w:space="0" w:color="auto"/>
      </w:divBdr>
    </w:div>
    <w:div w:id="271479069">
      <w:bodyDiv w:val="1"/>
      <w:marLeft w:val="0"/>
      <w:marRight w:val="0"/>
      <w:marTop w:val="0"/>
      <w:marBottom w:val="0"/>
      <w:divBdr>
        <w:top w:val="none" w:sz="0" w:space="0" w:color="auto"/>
        <w:left w:val="none" w:sz="0" w:space="0" w:color="auto"/>
        <w:bottom w:val="none" w:sz="0" w:space="0" w:color="auto"/>
        <w:right w:val="none" w:sz="0" w:space="0" w:color="auto"/>
      </w:divBdr>
    </w:div>
    <w:div w:id="277031327">
      <w:bodyDiv w:val="1"/>
      <w:marLeft w:val="0"/>
      <w:marRight w:val="0"/>
      <w:marTop w:val="0"/>
      <w:marBottom w:val="0"/>
      <w:divBdr>
        <w:top w:val="none" w:sz="0" w:space="0" w:color="auto"/>
        <w:left w:val="none" w:sz="0" w:space="0" w:color="auto"/>
        <w:bottom w:val="none" w:sz="0" w:space="0" w:color="auto"/>
        <w:right w:val="none" w:sz="0" w:space="0" w:color="auto"/>
      </w:divBdr>
    </w:div>
    <w:div w:id="281038678">
      <w:bodyDiv w:val="1"/>
      <w:marLeft w:val="0"/>
      <w:marRight w:val="0"/>
      <w:marTop w:val="0"/>
      <w:marBottom w:val="0"/>
      <w:divBdr>
        <w:top w:val="none" w:sz="0" w:space="0" w:color="auto"/>
        <w:left w:val="none" w:sz="0" w:space="0" w:color="auto"/>
        <w:bottom w:val="none" w:sz="0" w:space="0" w:color="auto"/>
        <w:right w:val="none" w:sz="0" w:space="0" w:color="auto"/>
      </w:divBdr>
    </w:div>
    <w:div w:id="281957746">
      <w:bodyDiv w:val="1"/>
      <w:marLeft w:val="0"/>
      <w:marRight w:val="0"/>
      <w:marTop w:val="0"/>
      <w:marBottom w:val="0"/>
      <w:divBdr>
        <w:top w:val="none" w:sz="0" w:space="0" w:color="auto"/>
        <w:left w:val="none" w:sz="0" w:space="0" w:color="auto"/>
        <w:bottom w:val="none" w:sz="0" w:space="0" w:color="auto"/>
        <w:right w:val="none" w:sz="0" w:space="0" w:color="auto"/>
      </w:divBdr>
    </w:div>
    <w:div w:id="283466296">
      <w:bodyDiv w:val="1"/>
      <w:marLeft w:val="0"/>
      <w:marRight w:val="0"/>
      <w:marTop w:val="0"/>
      <w:marBottom w:val="0"/>
      <w:divBdr>
        <w:top w:val="none" w:sz="0" w:space="0" w:color="auto"/>
        <w:left w:val="none" w:sz="0" w:space="0" w:color="auto"/>
        <w:bottom w:val="none" w:sz="0" w:space="0" w:color="auto"/>
        <w:right w:val="none" w:sz="0" w:space="0" w:color="auto"/>
      </w:divBdr>
    </w:div>
    <w:div w:id="293684952">
      <w:bodyDiv w:val="1"/>
      <w:marLeft w:val="0"/>
      <w:marRight w:val="0"/>
      <w:marTop w:val="0"/>
      <w:marBottom w:val="0"/>
      <w:divBdr>
        <w:top w:val="none" w:sz="0" w:space="0" w:color="auto"/>
        <w:left w:val="none" w:sz="0" w:space="0" w:color="auto"/>
        <w:bottom w:val="none" w:sz="0" w:space="0" w:color="auto"/>
        <w:right w:val="none" w:sz="0" w:space="0" w:color="auto"/>
      </w:divBdr>
      <w:divsChild>
        <w:div w:id="20330065">
          <w:marLeft w:val="600"/>
          <w:marRight w:val="0"/>
          <w:marTop w:val="0"/>
          <w:marBottom w:val="0"/>
          <w:divBdr>
            <w:top w:val="none" w:sz="0" w:space="0" w:color="auto"/>
            <w:left w:val="none" w:sz="0" w:space="0" w:color="auto"/>
            <w:bottom w:val="none" w:sz="0" w:space="0" w:color="auto"/>
            <w:right w:val="none" w:sz="0" w:space="0" w:color="auto"/>
          </w:divBdr>
        </w:div>
        <w:div w:id="355235501">
          <w:marLeft w:val="600"/>
          <w:marRight w:val="0"/>
          <w:marTop w:val="0"/>
          <w:marBottom w:val="0"/>
          <w:divBdr>
            <w:top w:val="none" w:sz="0" w:space="0" w:color="auto"/>
            <w:left w:val="none" w:sz="0" w:space="0" w:color="auto"/>
            <w:bottom w:val="none" w:sz="0" w:space="0" w:color="auto"/>
            <w:right w:val="none" w:sz="0" w:space="0" w:color="auto"/>
          </w:divBdr>
        </w:div>
        <w:div w:id="542641584">
          <w:marLeft w:val="600"/>
          <w:marRight w:val="0"/>
          <w:marTop w:val="0"/>
          <w:marBottom w:val="0"/>
          <w:divBdr>
            <w:top w:val="none" w:sz="0" w:space="0" w:color="auto"/>
            <w:left w:val="none" w:sz="0" w:space="0" w:color="auto"/>
            <w:bottom w:val="none" w:sz="0" w:space="0" w:color="auto"/>
            <w:right w:val="none" w:sz="0" w:space="0" w:color="auto"/>
          </w:divBdr>
        </w:div>
        <w:div w:id="676351325">
          <w:marLeft w:val="600"/>
          <w:marRight w:val="0"/>
          <w:marTop w:val="0"/>
          <w:marBottom w:val="0"/>
          <w:divBdr>
            <w:top w:val="none" w:sz="0" w:space="0" w:color="auto"/>
            <w:left w:val="none" w:sz="0" w:space="0" w:color="auto"/>
            <w:bottom w:val="none" w:sz="0" w:space="0" w:color="auto"/>
            <w:right w:val="none" w:sz="0" w:space="0" w:color="auto"/>
          </w:divBdr>
        </w:div>
        <w:div w:id="767850151">
          <w:marLeft w:val="600"/>
          <w:marRight w:val="0"/>
          <w:marTop w:val="0"/>
          <w:marBottom w:val="0"/>
          <w:divBdr>
            <w:top w:val="none" w:sz="0" w:space="0" w:color="auto"/>
            <w:left w:val="none" w:sz="0" w:space="0" w:color="auto"/>
            <w:bottom w:val="none" w:sz="0" w:space="0" w:color="auto"/>
            <w:right w:val="none" w:sz="0" w:space="0" w:color="auto"/>
          </w:divBdr>
        </w:div>
        <w:div w:id="777069534">
          <w:marLeft w:val="0"/>
          <w:marRight w:val="0"/>
          <w:marTop w:val="0"/>
          <w:marBottom w:val="0"/>
          <w:divBdr>
            <w:top w:val="none" w:sz="0" w:space="0" w:color="auto"/>
            <w:left w:val="none" w:sz="0" w:space="0" w:color="auto"/>
            <w:bottom w:val="none" w:sz="0" w:space="0" w:color="auto"/>
            <w:right w:val="none" w:sz="0" w:space="0" w:color="auto"/>
          </w:divBdr>
        </w:div>
        <w:div w:id="1510485870">
          <w:marLeft w:val="600"/>
          <w:marRight w:val="0"/>
          <w:marTop w:val="0"/>
          <w:marBottom w:val="0"/>
          <w:divBdr>
            <w:top w:val="none" w:sz="0" w:space="0" w:color="auto"/>
            <w:left w:val="none" w:sz="0" w:space="0" w:color="auto"/>
            <w:bottom w:val="none" w:sz="0" w:space="0" w:color="auto"/>
            <w:right w:val="none" w:sz="0" w:space="0" w:color="auto"/>
          </w:divBdr>
        </w:div>
        <w:div w:id="1609267778">
          <w:marLeft w:val="600"/>
          <w:marRight w:val="0"/>
          <w:marTop w:val="0"/>
          <w:marBottom w:val="0"/>
          <w:divBdr>
            <w:top w:val="none" w:sz="0" w:space="0" w:color="auto"/>
            <w:left w:val="none" w:sz="0" w:space="0" w:color="auto"/>
            <w:bottom w:val="none" w:sz="0" w:space="0" w:color="auto"/>
            <w:right w:val="none" w:sz="0" w:space="0" w:color="auto"/>
          </w:divBdr>
        </w:div>
        <w:div w:id="1696232105">
          <w:marLeft w:val="600"/>
          <w:marRight w:val="0"/>
          <w:marTop w:val="0"/>
          <w:marBottom w:val="0"/>
          <w:divBdr>
            <w:top w:val="none" w:sz="0" w:space="0" w:color="auto"/>
            <w:left w:val="none" w:sz="0" w:space="0" w:color="auto"/>
            <w:bottom w:val="none" w:sz="0" w:space="0" w:color="auto"/>
            <w:right w:val="none" w:sz="0" w:space="0" w:color="auto"/>
          </w:divBdr>
        </w:div>
      </w:divsChild>
    </w:div>
    <w:div w:id="297031162">
      <w:bodyDiv w:val="1"/>
      <w:marLeft w:val="0"/>
      <w:marRight w:val="0"/>
      <w:marTop w:val="0"/>
      <w:marBottom w:val="0"/>
      <w:divBdr>
        <w:top w:val="none" w:sz="0" w:space="0" w:color="auto"/>
        <w:left w:val="none" w:sz="0" w:space="0" w:color="auto"/>
        <w:bottom w:val="none" w:sz="0" w:space="0" w:color="auto"/>
        <w:right w:val="none" w:sz="0" w:space="0" w:color="auto"/>
      </w:divBdr>
      <w:divsChild>
        <w:div w:id="1341732998">
          <w:marLeft w:val="0"/>
          <w:marRight w:val="0"/>
          <w:marTop w:val="0"/>
          <w:marBottom w:val="0"/>
          <w:divBdr>
            <w:top w:val="none" w:sz="0" w:space="0" w:color="auto"/>
            <w:left w:val="none" w:sz="0" w:space="0" w:color="auto"/>
            <w:bottom w:val="none" w:sz="0" w:space="0" w:color="auto"/>
            <w:right w:val="none" w:sz="0" w:space="0" w:color="auto"/>
          </w:divBdr>
          <w:divsChild>
            <w:div w:id="89085019">
              <w:marLeft w:val="0"/>
              <w:marRight w:val="0"/>
              <w:marTop w:val="0"/>
              <w:marBottom w:val="0"/>
              <w:divBdr>
                <w:top w:val="none" w:sz="0" w:space="0" w:color="auto"/>
                <w:left w:val="none" w:sz="0" w:space="0" w:color="auto"/>
                <w:bottom w:val="none" w:sz="0" w:space="0" w:color="auto"/>
                <w:right w:val="none" w:sz="0" w:space="0" w:color="auto"/>
              </w:divBdr>
              <w:divsChild>
                <w:div w:id="193157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665000">
      <w:bodyDiv w:val="1"/>
      <w:marLeft w:val="0"/>
      <w:marRight w:val="0"/>
      <w:marTop w:val="0"/>
      <w:marBottom w:val="0"/>
      <w:divBdr>
        <w:top w:val="none" w:sz="0" w:space="0" w:color="auto"/>
        <w:left w:val="none" w:sz="0" w:space="0" w:color="auto"/>
        <w:bottom w:val="none" w:sz="0" w:space="0" w:color="auto"/>
        <w:right w:val="none" w:sz="0" w:space="0" w:color="auto"/>
      </w:divBdr>
    </w:div>
    <w:div w:id="306058260">
      <w:bodyDiv w:val="1"/>
      <w:marLeft w:val="0"/>
      <w:marRight w:val="0"/>
      <w:marTop w:val="0"/>
      <w:marBottom w:val="0"/>
      <w:divBdr>
        <w:top w:val="none" w:sz="0" w:space="0" w:color="auto"/>
        <w:left w:val="none" w:sz="0" w:space="0" w:color="auto"/>
        <w:bottom w:val="none" w:sz="0" w:space="0" w:color="auto"/>
        <w:right w:val="none" w:sz="0" w:space="0" w:color="auto"/>
      </w:divBdr>
    </w:div>
    <w:div w:id="319042068">
      <w:bodyDiv w:val="1"/>
      <w:marLeft w:val="0"/>
      <w:marRight w:val="0"/>
      <w:marTop w:val="0"/>
      <w:marBottom w:val="0"/>
      <w:divBdr>
        <w:top w:val="none" w:sz="0" w:space="0" w:color="auto"/>
        <w:left w:val="none" w:sz="0" w:space="0" w:color="auto"/>
        <w:bottom w:val="none" w:sz="0" w:space="0" w:color="auto"/>
        <w:right w:val="none" w:sz="0" w:space="0" w:color="auto"/>
      </w:divBdr>
    </w:div>
    <w:div w:id="330983407">
      <w:bodyDiv w:val="1"/>
      <w:marLeft w:val="0"/>
      <w:marRight w:val="0"/>
      <w:marTop w:val="0"/>
      <w:marBottom w:val="0"/>
      <w:divBdr>
        <w:top w:val="none" w:sz="0" w:space="0" w:color="auto"/>
        <w:left w:val="none" w:sz="0" w:space="0" w:color="auto"/>
        <w:bottom w:val="none" w:sz="0" w:space="0" w:color="auto"/>
        <w:right w:val="none" w:sz="0" w:space="0" w:color="auto"/>
      </w:divBdr>
    </w:div>
    <w:div w:id="352075024">
      <w:bodyDiv w:val="1"/>
      <w:marLeft w:val="0"/>
      <w:marRight w:val="0"/>
      <w:marTop w:val="0"/>
      <w:marBottom w:val="0"/>
      <w:divBdr>
        <w:top w:val="none" w:sz="0" w:space="0" w:color="auto"/>
        <w:left w:val="none" w:sz="0" w:space="0" w:color="auto"/>
        <w:bottom w:val="none" w:sz="0" w:space="0" w:color="auto"/>
        <w:right w:val="none" w:sz="0" w:space="0" w:color="auto"/>
      </w:divBdr>
    </w:div>
    <w:div w:id="354505171">
      <w:bodyDiv w:val="1"/>
      <w:marLeft w:val="0"/>
      <w:marRight w:val="0"/>
      <w:marTop w:val="0"/>
      <w:marBottom w:val="0"/>
      <w:divBdr>
        <w:top w:val="none" w:sz="0" w:space="0" w:color="auto"/>
        <w:left w:val="none" w:sz="0" w:space="0" w:color="auto"/>
        <w:bottom w:val="none" w:sz="0" w:space="0" w:color="auto"/>
        <w:right w:val="none" w:sz="0" w:space="0" w:color="auto"/>
      </w:divBdr>
    </w:div>
    <w:div w:id="356006720">
      <w:bodyDiv w:val="1"/>
      <w:marLeft w:val="0"/>
      <w:marRight w:val="0"/>
      <w:marTop w:val="0"/>
      <w:marBottom w:val="0"/>
      <w:divBdr>
        <w:top w:val="none" w:sz="0" w:space="0" w:color="auto"/>
        <w:left w:val="none" w:sz="0" w:space="0" w:color="auto"/>
        <w:bottom w:val="none" w:sz="0" w:space="0" w:color="auto"/>
        <w:right w:val="none" w:sz="0" w:space="0" w:color="auto"/>
      </w:divBdr>
    </w:div>
    <w:div w:id="367534707">
      <w:bodyDiv w:val="1"/>
      <w:marLeft w:val="0"/>
      <w:marRight w:val="0"/>
      <w:marTop w:val="0"/>
      <w:marBottom w:val="0"/>
      <w:divBdr>
        <w:top w:val="none" w:sz="0" w:space="0" w:color="auto"/>
        <w:left w:val="none" w:sz="0" w:space="0" w:color="auto"/>
        <w:bottom w:val="none" w:sz="0" w:space="0" w:color="auto"/>
        <w:right w:val="none" w:sz="0" w:space="0" w:color="auto"/>
      </w:divBdr>
    </w:div>
    <w:div w:id="370426588">
      <w:bodyDiv w:val="1"/>
      <w:marLeft w:val="0"/>
      <w:marRight w:val="0"/>
      <w:marTop w:val="0"/>
      <w:marBottom w:val="0"/>
      <w:divBdr>
        <w:top w:val="none" w:sz="0" w:space="0" w:color="auto"/>
        <w:left w:val="none" w:sz="0" w:space="0" w:color="auto"/>
        <w:bottom w:val="none" w:sz="0" w:space="0" w:color="auto"/>
        <w:right w:val="none" w:sz="0" w:space="0" w:color="auto"/>
      </w:divBdr>
    </w:div>
    <w:div w:id="372194699">
      <w:bodyDiv w:val="1"/>
      <w:marLeft w:val="0"/>
      <w:marRight w:val="0"/>
      <w:marTop w:val="0"/>
      <w:marBottom w:val="0"/>
      <w:divBdr>
        <w:top w:val="none" w:sz="0" w:space="0" w:color="auto"/>
        <w:left w:val="none" w:sz="0" w:space="0" w:color="auto"/>
        <w:bottom w:val="none" w:sz="0" w:space="0" w:color="auto"/>
        <w:right w:val="none" w:sz="0" w:space="0" w:color="auto"/>
      </w:divBdr>
    </w:div>
    <w:div w:id="377514901">
      <w:bodyDiv w:val="1"/>
      <w:marLeft w:val="0"/>
      <w:marRight w:val="0"/>
      <w:marTop w:val="0"/>
      <w:marBottom w:val="0"/>
      <w:divBdr>
        <w:top w:val="none" w:sz="0" w:space="0" w:color="auto"/>
        <w:left w:val="none" w:sz="0" w:space="0" w:color="auto"/>
        <w:bottom w:val="none" w:sz="0" w:space="0" w:color="auto"/>
        <w:right w:val="none" w:sz="0" w:space="0" w:color="auto"/>
      </w:divBdr>
    </w:div>
    <w:div w:id="377822847">
      <w:bodyDiv w:val="1"/>
      <w:marLeft w:val="0"/>
      <w:marRight w:val="0"/>
      <w:marTop w:val="0"/>
      <w:marBottom w:val="0"/>
      <w:divBdr>
        <w:top w:val="none" w:sz="0" w:space="0" w:color="auto"/>
        <w:left w:val="none" w:sz="0" w:space="0" w:color="auto"/>
        <w:bottom w:val="none" w:sz="0" w:space="0" w:color="auto"/>
        <w:right w:val="none" w:sz="0" w:space="0" w:color="auto"/>
      </w:divBdr>
    </w:div>
    <w:div w:id="378093463">
      <w:bodyDiv w:val="1"/>
      <w:marLeft w:val="0"/>
      <w:marRight w:val="0"/>
      <w:marTop w:val="0"/>
      <w:marBottom w:val="0"/>
      <w:divBdr>
        <w:top w:val="none" w:sz="0" w:space="0" w:color="auto"/>
        <w:left w:val="none" w:sz="0" w:space="0" w:color="auto"/>
        <w:bottom w:val="none" w:sz="0" w:space="0" w:color="auto"/>
        <w:right w:val="none" w:sz="0" w:space="0" w:color="auto"/>
      </w:divBdr>
      <w:divsChild>
        <w:div w:id="1832985973">
          <w:marLeft w:val="0"/>
          <w:marRight w:val="0"/>
          <w:marTop w:val="0"/>
          <w:marBottom w:val="0"/>
          <w:divBdr>
            <w:top w:val="none" w:sz="0" w:space="0" w:color="auto"/>
            <w:left w:val="none" w:sz="0" w:space="0" w:color="auto"/>
            <w:bottom w:val="none" w:sz="0" w:space="0" w:color="auto"/>
            <w:right w:val="none" w:sz="0" w:space="0" w:color="auto"/>
          </w:divBdr>
          <w:divsChild>
            <w:div w:id="1535802730">
              <w:marLeft w:val="0"/>
              <w:marRight w:val="0"/>
              <w:marTop w:val="0"/>
              <w:marBottom w:val="0"/>
              <w:divBdr>
                <w:top w:val="none" w:sz="0" w:space="0" w:color="auto"/>
                <w:left w:val="none" w:sz="0" w:space="0" w:color="auto"/>
                <w:bottom w:val="none" w:sz="0" w:space="0" w:color="auto"/>
                <w:right w:val="none" w:sz="0" w:space="0" w:color="auto"/>
              </w:divBdr>
              <w:divsChild>
                <w:div w:id="8041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006213">
      <w:bodyDiv w:val="1"/>
      <w:marLeft w:val="0"/>
      <w:marRight w:val="0"/>
      <w:marTop w:val="0"/>
      <w:marBottom w:val="0"/>
      <w:divBdr>
        <w:top w:val="none" w:sz="0" w:space="0" w:color="auto"/>
        <w:left w:val="none" w:sz="0" w:space="0" w:color="auto"/>
        <w:bottom w:val="none" w:sz="0" w:space="0" w:color="auto"/>
        <w:right w:val="none" w:sz="0" w:space="0" w:color="auto"/>
      </w:divBdr>
    </w:div>
    <w:div w:id="392431863">
      <w:bodyDiv w:val="1"/>
      <w:marLeft w:val="0"/>
      <w:marRight w:val="0"/>
      <w:marTop w:val="0"/>
      <w:marBottom w:val="0"/>
      <w:divBdr>
        <w:top w:val="none" w:sz="0" w:space="0" w:color="auto"/>
        <w:left w:val="none" w:sz="0" w:space="0" w:color="auto"/>
        <w:bottom w:val="none" w:sz="0" w:space="0" w:color="auto"/>
        <w:right w:val="none" w:sz="0" w:space="0" w:color="auto"/>
      </w:divBdr>
    </w:div>
    <w:div w:id="395279854">
      <w:bodyDiv w:val="1"/>
      <w:marLeft w:val="0"/>
      <w:marRight w:val="0"/>
      <w:marTop w:val="0"/>
      <w:marBottom w:val="0"/>
      <w:divBdr>
        <w:top w:val="none" w:sz="0" w:space="0" w:color="auto"/>
        <w:left w:val="none" w:sz="0" w:space="0" w:color="auto"/>
        <w:bottom w:val="none" w:sz="0" w:space="0" w:color="auto"/>
        <w:right w:val="none" w:sz="0" w:space="0" w:color="auto"/>
      </w:divBdr>
    </w:div>
    <w:div w:id="402024659">
      <w:bodyDiv w:val="1"/>
      <w:marLeft w:val="0"/>
      <w:marRight w:val="0"/>
      <w:marTop w:val="0"/>
      <w:marBottom w:val="0"/>
      <w:divBdr>
        <w:top w:val="none" w:sz="0" w:space="0" w:color="auto"/>
        <w:left w:val="none" w:sz="0" w:space="0" w:color="auto"/>
        <w:bottom w:val="none" w:sz="0" w:space="0" w:color="auto"/>
        <w:right w:val="none" w:sz="0" w:space="0" w:color="auto"/>
      </w:divBdr>
      <w:divsChild>
        <w:div w:id="736900424">
          <w:marLeft w:val="0"/>
          <w:marRight w:val="0"/>
          <w:marTop w:val="0"/>
          <w:marBottom w:val="0"/>
          <w:divBdr>
            <w:top w:val="none" w:sz="0" w:space="0" w:color="auto"/>
            <w:left w:val="none" w:sz="0" w:space="0" w:color="auto"/>
            <w:bottom w:val="none" w:sz="0" w:space="0" w:color="auto"/>
            <w:right w:val="none" w:sz="0" w:space="0" w:color="auto"/>
          </w:divBdr>
          <w:divsChild>
            <w:div w:id="823591237">
              <w:marLeft w:val="0"/>
              <w:marRight w:val="0"/>
              <w:marTop w:val="0"/>
              <w:marBottom w:val="0"/>
              <w:divBdr>
                <w:top w:val="none" w:sz="0" w:space="0" w:color="auto"/>
                <w:left w:val="none" w:sz="0" w:space="0" w:color="auto"/>
                <w:bottom w:val="none" w:sz="0" w:space="0" w:color="auto"/>
                <w:right w:val="none" w:sz="0" w:space="0" w:color="auto"/>
              </w:divBdr>
              <w:divsChild>
                <w:div w:id="461266058">
                  <w:marLeft w:val="0"/>
                  <w:marRight w:val="0"/>
                  <w:marTop w:val="0"/>
                  <w:marBottom w:val="0"/>
                  <w:divBdr>
                    <w:top w:val="none" w:sz="0" w:space="0" w:color="auto"/>
                    <w:left w:val="none" w:sz="0" w:space="0" w:color="auto"/>
                    <w:bottom w:val="none" w:sz="0" w:space="0" w:color="auto"/>
                    <w:right w:val="none" w:sz="0" w:space="0" w:color="auto"/>
                  </w:divBdr>
                  <w:divsChild>
                    <w:div w:id="154929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850856">
      <w:bodyDiv w:val="1"/>
      <w:marLeft w:val="0"/>
      <w:marRight w:val="0"/>
      <w:marTop w:val="0"/>
      <w:marBottom w:val="0"/>
      <w:divBdr>
        <w:top w:val="none" w:sz="0" w:space="0" w:color="auto"/>
        <w:left w:val="none" w:sz="0" w:space="0" w:color="auto"/>
        <w:bottom w:val="none" w:sz="0" w:space="0" w:color="auto"/>
        <w:right w:val="none" w:sz="0" w:space="0" w:color="auto"/>
      </w:divBdr>
    </w:div>
    <w:div w:id="410201872">
      <w:bodyDiv w:val="1"/>
      <w:marLeft w:val="0"/>
      <w:marRight w:val="0"/>
      <w:marTop w:val="0"/>
      <w:marBottom w:val="0"/>
      <w:divBdr>
        <w:top w:val="none" w:sz="0" w:space="0" w:color="auto"/>
        <w:left w:val="none" w:sz="0" w:space="0" w:color="auto"/>
        <w:bottom w:val="none" w:sz="0" w:space="0" w:color="auto"/>
        <w:right w:val="none" w:sz="0" w:space="0" w:color="auto"/>
      </w:divBdr>
    </w:div>
    <w:div w:id="410467371">
      <w:bodyDiv w:val="1"/>
      <w:marLeft w:val="0"/>
      <w:marRight w:val="0"/>
      <w:marTop w:val="0"/>
      <w:marBottom w:val="0"/>
      <w:divBdr>
        <w:top w:val="none" w:sz="0" w:space="0" w:color="auto"/>
        <w:left w:val="none" w:sz="0" w:space="0" w:color="auto"/>
        <w:bottom w:val="none" w:sz="0" w:space="0" w:color="auto"/>
        <w:right w:val="none" w:sz="0" w:space="0" w:color="auto"/>
      </w:divBdr>
    </w:div>
    <w:div w:id="421147499">
      <w:bodyDiv w:val="1"/>
      <w:marLeft w:val="0"/>
      <w:marRight w:val="0"/>
      <w:marTop w:val="0"/>
      <w:marBottom w:val="0"/>
      <w:divBdr>
        <w:top w:val="none" w:sz="0" w:space="0" w:color="auto"/>
        <w:left w:val="none" w:sz="0" w:space="0" w:color="auto"/>
        <w:bottom w:val="none" w:sz="0" w:space="0" w:color="auto"/>
        <w:right w:val="none" w:sz="0" w:space="0" w:color="auto"/>
      </w:divBdr>
    </w:div>
    <w:div w:id="434398512">
      <w:bodyDiv w:val="1"/>
      <w:marLeft w:val="0"/>
      <w:marRight w:val="0"/>
      <w:marTop w:val="0"/>
      <w:marBottom w:val="0"/>
      <w:divBdr>
        <w:top w:val="none" w:sz="0" w:space="0" w:color="auto"/>
        <w:left w:val="none" w:sz="0" w:space="0" w:color="auto"/>
        <w:bottom w:val="none" w:sz="0" w:space="0" w:color="auto"/>
        <w:right w:val="none" w:sz="0" w:space="0" w:color="auto"/>
      </w:divBdr>
    </w:div>
    <w:div w:id="442696151">
      <w:bodyDiv w:val="1"/>
      <w:marLeft w:val="0"/>
      <w:marRight w:val="0"/>
      <w:marTop w:val="0"/>
      <w:marBottom w:val="0"/>
      <w:divBdr>
        <w:top w:val="none" w:sz="0" w:space="0" w:color="auto"/>
        <w:left w:val="none" w:sz="0" w:space="0" w:color="auto"/>
        <w:bottom w:val="none" w:sz="0" w:space="0" w:color="auto"/>
        <w:right w:val="none" w:sz="0" w:space="0" w:color="auto"/>
      </w:divBdr>
    </w:div>
    <w:div w:id="447043919">
      <w:bodyDiv w:val="1"/>
      <w:marLeft w:val="0"/>
      <w:marRight w:val="0"/>
      <w:marTop w:val="0"/>
      <w:marBottom w:val="0"/>
      <w:divBdr>
        <w:top w:val="none" w:sz="0" w:space="0" w:color="auto"/>
        <w:left w:val="none" w:sz="0" w:space="0" w:color="auto"/>
        <w:bottom w:val="none" w:sz="0" w:space="0" w:color="auto"/>
        <w:right w:val="none" w:sz="0" w:space="0" w:color="auto"/>
      </w:divBdr>
    </w:div>
    <w:div w:id="452360242">
      <w:bodyDiv w:val="1"/>
      <w:marLeft w:val="0"/>
      <w:marRight w:val="0"/>
      <w:marTop w:val="0"/>
      <w:marBottom w:val="0"/>
      <w:divBdr>
        <w:top w:val="none" w:sz="0" w:space="0" w:color="auto"/>
        <w:left w:val="none" w:sz="0" w:space="0" w:color="auto"/>
        <w:bottom w:val="none" w:sz="0" w:space="0" w:color="auto"/>
        <w:right w:val="none" w:sz="0" w:space="0" w:color="auto"/>
      </w:divBdr>
    </w:div>
    <w:div w:id="455565952">
      <w:bodyDiv w:val="1"/>
      <w:marLeft w:val="0"/>
      <w:marRight w:val="0"/>
      <w:marTop w:val="0"/>
      <w:marBottom w:val="0"/>
      <w:divBdr>
        <w:top w:val="none" w:sz="0" w:space="0" w:color="auto"/>
        <w:left w:val="none" w:sz="0" w:space="0" w:color="auto"/>
        <w:bottom w:val="none" w:sz="0" w:space="0" w:color="auto"/>
        <w:right w:val="none" w:sz="0" w:space="0" w:color="auto"/>
      </w:divBdr>
    </w:div>
    <w:div w:id="463084493">
      <w:bodyDiv w:val="1"/>
      <w:marLeft w:val="0"/>
      <w:marRight w:val="0"/>
      <w:marTop w:val="0"/>
      <w:marBottom w:val="0"/>
      <w:divBdr>
        <w:top w:val="none" w:sz="0" w:space="0" w:color="auto"/>
        <w:left w:val="none" w:sz="0" w:space="0" w:color="auto"/>
        <w:bottom w:val="none" w:sz="0" w:space="0" w:color="auto"/>
        <w:right w:val="none" w:sz="0" w:space="0" w:color="auto"/>
      </w:divBdr>
    </w:div>
    <w:div w:id="468715691">
      <w:bodyDiv w:val="1"/>
      <w:marLeft w:val="0"/>
      <w:marRight w:val="0"/>
      <w:marTop w:val="0"/>
      <w:marBottom w:val="0"/>
      <w:divBdr>
        <w:top w:val="none" w:sz="0" w:space="0" w:color="auto"/>
        <w:left w:val="none" w:sz="0" w:space="0" w:color="auto"/>
        <w:bottom w:val="none" w:sz="0" w:space="0" w:color="auto"/>
        <w:right w:val="none" w:sz="0" w:space="0" w:color="auto"/>
      </w:divBdr>
    </w:div>
    <w:div w:id="469178349">
      <w:bodyDiv w:val="1"/>
      <w:marLeft w:val="0"/>
      <w:marRight w:val="0"/>
      <w:marTop w:val="0"/>
      <w:marBottom w:val="0"/>
      <w:divBdr>
        <w:top w:val="none" w:sz="0" w:space="0" w:color="auto"/>
        <w:left w:val="none" w:sz="0" w:space="0" w:color="auto"/>
        <w:bottom w:val="none" w:sz="0" w:space="0" w:color="auto"/>
        <w:right w:val="none" w:sz="0" w:space="0" w:color="auto"/>
      </w:divBdr>
    </w:div>
    <w:div w:id="471093190">
      <w:bodyDiv w:val="1"/>
      <w:marLeft w:val="0"/>
      <w:marRight w:val="0"/>
      <w:marTop w:val="0"/>
      <w:marBottom w:val="0"/>
      <w:divBdr>
        <w:top w:val="none" w:sz="0" w:space="0" w:color="auto"/>
        <w:left w:val="none" w:sz="0" w:space="0" w:color="auto"/>
        <w:bottom w:val="none" w:sz="0" w:space="0" w:color="auto"/>
        <w:right w:val="none" w:sz="0" w:space="0" w:color="auto"/>
      </w:divBdr>
      <w:divsChild>
        <w:div w:id="676883938">
          <w:marLeft w:val="0"/>
          <w:marRight w:val="0"/>
          <w:marTop w:val="0"/>
          <w:marBottom w:val="0"/>
          <w:divBdr>
            <w:top w:val="none" w:sz="0" w:space="0" w:color="auto"/>
            <w:left w:val="none" w:sz="0" w:space="0" w:color="auto"/>
            <w:bottom w:val="none" w:sz="0" w:space="0" w:color="auto"/>
            <w:right w:val="none" w:sz="0" w:space="0" w:color="auto"/>
          </w:divBdr>
          <w:divsChild>
            <w:div w:id="655189360">
              <w:marLeft w:val="0"/>
              <w:marRight w:val="0"/>
              <w:marTop w:val="0"/>
              <w:marBottom w:val="0"/>
              <w:divBdr>
                <w:top w:val="none" w:sz="0" w:space="0" w:color="auto"/>
                <w:left w:val="none" w:sz="0" w:space="0" w:color="auto"/>
                <w:bottom w:val="none" w:sz="0" w:space="0" w:color="auto"/>
                <w:right w:val="none" w:sz="0" w:space="0" w:color="auto"/>
              </w:divBdr>
              <w:divsChild>
                <w:div w:id="310528023">
                  <w:marLeft w:val="0"/>
                  <w:marRight w:val="0"/>
                  <w:marTop w:val="0"/>
                  <w:marBottom w:val="0"/>
                  <w:divBdr>
                    <w:top w:val="none" w:sz="0" w:space="0" w:color="auto"/>
                    <w:left w:val="none" w:sz="0" w:space="0" w:color="auto"/>
                    <w:bottom w:val="none" w:sz="0" w:space="0" w:color="auto"/>
                    <w:right w:val="none" w:sz="0" w:space="0" w:color="auto"/>
                  </w:divBdr>
                  <w:divsChild>
                    <w:div w:id="9389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527037">
      <w:bodyDiv w:val="1"/>
      <w:marLeft w:val="0"/>
      <w:marRight w:val="0"/>
      <w:marTop w:val="0"/>
      <w:marBottom w:val="0"/>
      <w:divBdr>
        <w:top w:val="none" w:sz="0" w:space="0" w:color="auto"/>
        <w:left w:val="none" w:sz="0" w:space="0" w:color="auto"/>
        <w:bottom w:val="none" w:sz="0" w:space="0" w:color="auto"/>
        <w:right w:val="none" w:sz="0" w:space="0" w:color="auto"/>
      </w:divBdr>
    </w:div>
    <w:div w:id="479808143">
      <w:bodyDiv w:val="1"/>
      <w:marLeft w:val="0"/>
      <w:marRight w:val="0"/>
      <w:marTop w:val="0"/>
      <w:marBottom w:val="0"/>
      <w:divBdr>
        <w:top w:val="none" w:sz="0" w:space="0" w:color="auto"/>
        <w:left w:val="none" w:sz="0" w:space="0" w:color="auto"/>
        <w:bottom w:val="none" w:sz="0" w:space="0" w:color="auto"/>
        <w:right w:val="none" w:sz="0" w:space="0" w:color="auto"/>
      </w:divBdr>
      <w:divsChild>
        <w:div w:id="337663580">
          <w:marLeft w:val="0"/>
          <w:marRight w:val="0"/>
          <w:marTop w:val="0"/>
          <w:marBottom w:val="0"/>
          <w:divBdr>
            <w:top w:val="none" w:sz="0" w:space="0" w:color="auto"/>
            <w:left w:val="none" w:sz="0" w:space="0" w:color="auto"/>
            <w:bottom w:val="none" w:sz="0" w:space="0" w:color="auto"/>
            <w:right w:val="none" w:sz="0" w:space="0" w:color="auto"/>
          </w:divBdr>
          <w:divsChild>
            <w:div w:id="1231648240">
              <w:marLeft w:val="0"/>
              <w:marRight w:val="0"/>
              <w:marTop w:val="0"/>
              <w:marBottom w:val="0"/>
              <w:divBdr>
                <w:top w:val="none" w:sz="0" w:space="0" w:color="auto"/>
                <w:left w:val="none" w:sz="0" w:space="0" w:color="auto"/>
                <w:bottom w:val="none" w:sz="0" w:space="0" w:color="auto"/>
                <w:right w:val="none" w:sz="0" w:space="0" w:color="auto"/>
              </w:divBdr>
              <w:divsChild>
                <w:div w:id="154305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833878">
      <w:bodyDiv w:val="1"/>
      <w:marLeft w:val="0"/>
      <w:marRight w:val="0"/>
      <w:marTop w:val="0"/>
      <w:marBottom w:val="0"/>
      <w:divBdr>
        <w:top w:val="none" w:sz="0" w:space="0" w:color="auto"/>
        <w:left w:val="none" w:sz="0" w:space="0" w:color="auto"/>
        <w:bottom w:val="none" w:sz="0" w:space="0" w:color="auto"/>
        <w:right w:val="none" w:sz="0" w:space="0" w:color="auto"/>
      </w:divBdr>
    </w:div>
    <w:div w:id="491944179">
      <w:bodyDiv w:val="1"/>
      <w:marLeft w:val="0"/>
      <w:marRight w:val="0"/>
      <w:marTop w:val="0"/>
      <w:marBottom w:val="0"/>
      <w:divBdr>
        <w:top w:val="none" w:sz="0" w:space="0" w:color="auto"/>
        <w:left w:val="none" w:sz="0" w:space="0" w:color="auto"/>
        <w:bottom w:val="none" w:sz="0" w:space="0" w:color="auto"/>
        <w:right w:val="none" w:sz="0" w:space="0" w:color="auto"/>
      </w:divBdr>
    </w:div>
    <w:div w:id="500043211">
      <w:bodyDiv w:val="1"/>
      <w:marLeft w:val="0"/>
      <w:marRight w:val="0"/>
      <w:marTop w:val="0"/>
      <w:marBottom w:val="0"/>
      <w:divBdr>
        <w:top w:val="none" w:sz="0" w:space="0" w:color="auto"/>
        <w:left w:val="none" w:sz="0" w:space="0" w:color="auto"/>
        <w:bottom w:val="none" w:sz="0" w:space="0" w:color="auto"/>
        <w:right w:val="none" w:sz="0" w:space="0" w:color="auto"/>
      </w:divBdr>
    </w:div>
    <w:div w:id="504440115">
      <w:bodyDiv w:val="1"/>
      <w:marLeft w:val="0"/>
      <w:marRight w:val="0"/>
      <w:marTop w:val="0"/>
      <w:marBottom w:val="0"/>
      <w:divBdr>
        <w:top w:val="none" w:sz="0" w:space="0" w:color="auto"/>
        <w:left w:val="none" w:sz="0" w:space="0" w:color="auto"/>
        <w:bottom w:val="none" w:sz="0" w:space="0" w:color="auto"/>
        <w:right w:val="none" w:sz="0" w:space="0" w:color="auto"/>
      </w:divBdr>
    </w:div>
    <w:div w:id="517164699">
      <w:bodyDiv w:val="1"/>
      <w:marLeft w:val="0"/>
      <w:marRight w:val="0"/>
      <w:marTop w:val="0"/>
      <w:marBottom w:val="0"/>
      <w:divBdr>
        <w:top w:val="none" w:sz="0" w:space="0" w:color="auto"/>
        <w:left w:val="none" w:sz="0" w:space="0" w:color="auto"/>
        <w:bottom w:val="none" w:sz="0" w:space="0" w:color="auto"/>
        <w:right w:val="none" w:sz="0" w:space="0" w:color="auto"/>
      </w:divBdr>
    </w:div>
    <w:div w:id="517501700">
      <w:bodyDiv w:val="1"/>
      <w:marLeft w:val="0"/>
      <w:marRight w:val="0"/>
      <w:marTop w:val="0"/>
      <w:marBottom w:val="0"/>
      <w:divBdr>
        <w:top w:val="none" w:sz="0" w:space="0" w:color="auto"/>
        <w:left w:val="none" w:sz="0" w:space="0" w:color="auto"/>
        <w:bottom w:val="none" w:sz="0" w:space="0" w:color="auto"/>
        <w:right w:val="none" w:sz="0" w:space="0" w:color="auto"/>
      </w:divBdr>
    </w:div>
    <w:div w:id="523984395">
      <w:bodyDiv w:val="1"/>
      <w:marLeft w:val="0"/>
      <w:marRight w:val="0"/>
      <w:marTop w:val="0"/>
      <w:marBottom w:val="0"/>
      <w:divBdr>
        <w:top w:val="none" w:sz="0" w:space="0" w:color="auto"/>
        <w:left w:val="none" w:sz="0" w:space="0" w:color="auto"/>
        <w:bottom w:val="none" w:sz="0" w:space="0" w:color="auto"/>
        <w:right w:val="none" w:sz="0" w:space="0" w:color="auto"/>
      </w:divBdr>
    </w:div>
    <w:div w:id="528296229">
      <w:bodyDiv w:val="1"/>
      <w:marLeft w:val="0"/>
      <w:marRight w:val="0"/>
      <w:marTop w:val="0"/>
      <w:marBottom w:val="0"/>
      <w:divBdr>
        <w:top w:val="none" w:sz="0" w:space="0" w:color="auto"/>
        <w:left w:val="none" w:sz="0" w:space="0" w:color="auto"/>
        <w:bottom w:val="none" w:sz="0" w:space="0" w:color="auto"/>
        <w:right w:val="none" w:sz="0" w:space="0" w:color="auto"/>
      </w:divBdr>
    </w:div>
    <w:div w:id="530923766">
      <w:bodyDiv w:val="1"/>
      <w:marLeft w:val="0"/>
      <w:marRight w:val="0"/>
      <w:marTop w:val="0"/>
      <w:marBottom w:val="0"/>
      <w:divBdr>
        <w:top w:val="none" w:sz="0" w:space="0" w:color="auto"/>
        <w:left w:val="none" w:sz="0" w:space="0" w:color="auto"/>
        <w:bottom w:val="none" w:sz="0" w:space="0" w:color="auto"/>
        <w:right w:val="none" w:sz="0" w:space="0" w:color="auto"/>
      </w:divBdr>
    </w:div>
    <w:div w:id="532809645">
      <w:bodyDiv w:val="1"/>
      <w:marLeft w:val="0"/>
      <w:marRight w:val="0"/>
      <w:marTop w:val="0"/>
      <w:marBottom w:val="0"/>
      <w:divBdr>
        <w:top w:val="none" w:sz="0" w:space="0" w:color="auto"/>
        <w:left w:val="none" w:sz="0" w:space="0" w:color="auto"/>
        <w:bottom w:val="none" w:sz="0" w:space="0" w:color="auto"/>
        <w:right w:val="none" w:sz="0" w:space="0" w:color="auto"/>
      </w:divBdr>
    </w:div>
    <w:div w:id="537162355">
      <w:bodyDiv w:val="1"/>
      <w:marLeft w:val="0"/>
      <w:marRight w:val="0"/>
      <w:marTop w:val="0"/>
      <w:marBottom w:val="0"/>
      <w:divBdr>
        <w:top w:val="none" w:sz="0" w:space="0" w:color="auto"/>
        <w:left w:val="none" w:sz="0" w:space="0" w:color="auto"/>
        <w:bottom w:val="none" w:sz="0" w:space="0" w:color="auto"/>
        <w:right w:val="none" w:sz="0" w:space="0" w:color="auto"/>
      </w:divBdr>
    </w:div>
    <w:div w:id="539981205">
      <w:bodyDiv w:val="1"/>
      <w:marLeft w:val="0"/>
      <w:marRight w:val="0"/>
      <w:marTop w:val="0"/>
      <w:marBottom w:val="0"/>
      <w:divBdr>
        <w:top w:val="none" w:sz="0" w:space="0" w:color="auto"/>
        <w:left w:val="none" w:sz="0" w:space="0" w:color="auto"/>
        <w:bottom w:val="none" w:sz="0" w:space="0" w:color="auto"/>
        <w:right w:val="none" w:sz="0" w:space="0" w:color="auto"/>
      </w:divBdr>
    </w:div>
    <w:div w:id="542064193">
      <w:bodyDiv w:val="1"/>
      <w:marLeft w:val="0"/>
      <w:marRight w:val="0"/>
      <w:marTop w:val="0"/>
      <w:marBottom w:val="0"/>
      <w:divBdr>
        <w:top w:val="none" w:sz="0" w:space="0" w:color="auto"/>
        <w:left w:val="none" w:sz="0" w:space="0" w:color="auto"/>
        <w:bottom w:val="none" w:sz="0" w:space="0" w:color="auto"/>
        <w:right w:val="none" w:sz="0" w:space="0" w:color="auto"/>
      </w:divBdr>
    </w:div>
    <w:div w:id="546533936">
      <w:bodyDiv w:val="1"/>
      <w:marLeft w:val="0"/>
      <w:marRight w:val="0"/>
      <w:marTop w:val="0"/>
      <w:marBottom w:val="0"/>
      <w:divBdr>
        <w:top w:val="none" w:sz="0" w:space="0" w:color="auto"/>
        <w:left w:val="none" w:sz="0" w:space="0" w:color="auto"/>
        <w:bottom w:val="none" w:sz="0" w:space="0" w:color="auto"/>
        <w:right w:val="none" w:sz="0" w:space="0" w:color="auto"/>
      </w:divBdr>
    </w:div>
    <w:div w:id="546913302">
      <w:bodyDiv w:val="1"/>
      <w:marLeft w:val="0"/>
      <w:marRight w:val="0"/>
      <w:marTop w:val="0"/>
      <w:marBottom w:val="0"/>
      <w:divBdr>
        <w:top w:val="none" w:sz="0" w:space="0" w:color="auto"/>
        <w:left w:val="none" w:sz="0" w:space="0" w:color="auto"/>
        <w:bottom w:val="none" w:sz="0" w:space="0" w:color="auto"/>
        <w:right w:val="none" w:sz="0" w:space="0" w:color="auto"/>
      </w:divBdr>
    </w:div>
    <w:div w:id="557597391">
      <w:bodyDiv w:val="1"/>
      <w:marLeft w:val="0"/>
      <w:marRight w:val="0"/>
      <w:marTop w:val="0"/>
      <w:marBottom w:val="0"/>
      <w:divBdr>
        <w:top w:val="none" w:sz="0" w:space="0" w:color="auto"/>
        <w:left w:val="none" w:sz="0" w:space="0" w:color="auto"/>
        <w:bottom w:val="none" w:sz="0" w:space="0" w:color="auto"/>
        <w:right w:val="none" w:sz="0" w:space="0" w:color="auto"/>
      </w:divBdr>
    </w:div>
    <w:div w:id="559169953">
      <w:bodyDiv w:val="1"/>
      <w:marLeft w:val="0"/>
      <w:marRight w:val="0"/>
      <w:marTop w:val="0"/>
      <w:marBottom w:val="0"/>
      <w:divBdr>
        <w:top w:val="none" w:sz="0" w:space="0" w:color="auto"/>
        <w:left w:val="none" w:sz="0" w:space="0" w:color="auto"/>
        <w:bottom w:val="none" w:sz="0" w:space="0" w:color="auto"/>
        <w:right w:val="none" w:sz="0" w:space="0" w:color="auto"/>
      </w:divBdr>
    </w:div>
    <w:div w:id="583073949">
      <w:bodyDiv w:val="1"/>
      <w:marLeft w:val="0"/>
      <w:marRight w:val="0"/>
      <w:marTop w:val="0"/>
      <w:marBottom w:val="0"/>
      <w:divBdr>
        <w:top w:val="none" w:sz="0" w:space="0" w:color="auto"/>
        <w:left w:val="none" w:sz="0" w:space="0" w:color="auto"/>
        <w:bottom w:val="none" w:sz="0" w:space="0" w:color="auto"/>
        <w:right w:val="none" w:sz="0" w:space="0" w:color="auto"/>
      </w:divBdr>
    </w:div>
    <w:div w:id="590511360">
      <w:bodyDiv w:val="1"/>
      <w:marLeft w:val="0"/>
      <w:marRight w:val="0"/>
      <w:marTop w:val="0"/>
      <w:marBottom w:val="0"/>
      <w:divBdr>
        <w:top w:val="none" w:sz="0" w:space="0" w:color="auto"/>
        <w:left w:val="none" w:sz="0" w:space="0" w:color="auto"/>
        <w:bottom w:val="none" w:sz="0" w:space="0" w:color="auto"/>
        <w:right w:val="none" w:sz="0" w:space="0" w:color="auto"/>
      </w:divBdr>
    </w:div>
    <w:div w:id="595870071">
      <w:bodyDiv w:val="1"/>
      <w:marLeft w:val="0"/>
      <w:marRight w:val="0"/>
      <w:marTop w:val="0"/>
      <w:marBottom w:val="0"/>
      <w:divBdr>
        <w:top w:val="none" w:sz="0" w:space="0" w:color="auto"/>
        <w:left w:val="none" w:sz="0" w:space="0" w:color="auto"/>
        <w:bottom w:val="none" w:sz="0" w:space="0" w:color="auto"/>
        <w:right w:val="none" w:sz="0" w:space="0" w:color="auto"/>
      </w:divBdr>
    </w:div>
    <w:div w:id="604190266">
      <w:bodyDiv w:val="1"/>
      <w:marLeft w:val="0"/>
      <w:marRight w:val="0"/>
      <w:marTop w:val="0"/>
      <w:marBottom w:val="0"/>
      <w:divBdr>
        <w:top w:val="none" w:sz="0" w:space="0" w:color="auto"/>
        <w:left w:val="none" w:sz="0" w:space="0" w:color="auto"/>
        <w:bottom w:val="none" w:sz="0" w:space="0" w:color="auto"/>
        <w:right w:val="none" w:sz="0" w:space="0" w:color="auto"/>
      </w:divBdr>
    </w:div>
    <w:div w:id="604701323">
      <w:bodyDiv w:val="1"/>
      <w:marLeft w:val="0"/>
      <w:marRight w:val="0"/>
      <w:marTop w:val="0"/>
      <w:marBottom w:val="0"/>
      <w:divBdr>
        <w:top w:val="none" w:sz="0" w:space="0" w:color="auto"/>
        <w:left w:val="none" w:sz="0" w:space="0" w:color="auto"/>
        <w:bottom w:val="none" w:sz="0" w:space="0" w:color="auto"/>
        <w:right w:val="none" w:sz="0" w:space="0" w:color="auto"/>
      </w:divBdr>
    </w:div>
    <w:div w:id="609320515">
      <w:bodyDiv w:val="1"/>
      <w:marLeft w:val="0"/>
      <w:marRight w:val="0"/>
      <w:marTop w:val="0"/>
      <w:marBottom w:val="0"/>
      <w:divBdr>
        <w:top w:val="none" w:sz="0" w:space="0" w:color="auto"/>
        <w:left w:val="none" w:sz="0" w:space="0" w:color="auto"/>
        <w:bottom w:val="none" w:sz="0" w:space="0" w:color="auto"/>
        <w:right w:val="none" w:sz="0" w:space="0" w:color="auto"/>
      </w:divBdr>
    </w:div>
    <w:div w:id="610093386">
      <w:bodyDiv w:val="1"/>
      <w:marLeft w:val="0"/>
      <w:marRight w:val="0"/>
      <w:marTop w:val="0"/>
      <w:marBottom w:val="0"/>
      <w:divBdr>
        <w:top w:val="none" w:sz="0" w:space="0" w:color="auto"/>
        <w:left w:val="none" w:sz="0" w:space="0" w:color="auto"/>
        <w:bottom w:val="none" w:sz="0" w:space="0" w:color="auto"/>
        <w:right w:val="none" w:sz="0" w:space="0" w:color="auto"/>
      </w:divBdr>
    </w:div>
    <w:div w:id="610168846">
      <w:bodyDiv w:val="1"/>
      <w:marLeft w:val="0"/>
      <w:marRight w:val="0"/>
      <w:marTop w:val="0"/>
      <w:marBottom w:val="0"/>
      <w:divBdr>
        <w:top w:val="none" w:sz="0" w:space="0" w:color="auto"/>
        <w:left w:val="none" w:sz="0" w:space="0" w:color="auto"/>
        <w:bottom w:val="none" w:sz="0" w:space="0" w:color="auto"/>
        <w:right w:val="none" w:sz="0" w:space="0" w:color="auto"/>
      </w:divBdr>
    </w:div>
    <w:div w:id="621687249">
      <w:bodyDiv w:val="1"/>
      <w:marLeft w:val="0"/>
      <w:marRight w:val="0"/>
      <w:marTop w:val="0"/>
      <w:marBottom w:val="0"/>
      <w:divBdr>
        <w:top w:val="none" w:sz="0" w:space="0" w:color="auto"/>
        <w:left w:val="none" w:sz="0" w:space="0" w:color="auto"/>
        <w:bottom w:val="none" w:sz="0" w:space="0" w:color="auto"/>
        <w:right w:val="none" w:sz="0" w:space="0" w:color="auto"/>
      </w:divBdr>
    </w:div>
    <w:div w:id="627474355">
      <w:bodyDiv w:val="1"/>
      <w:marLeft w:val="0"/>
      <w:marRight w:val="0"/>
      <w:marTop w:val="0"/>
      <w:marBottom w:val="0"/>
      <w:divBdr>
        <w:top w:val="none" w:sz="0" w:space="0" w:color="auto"/>
        <w:left w:val="none" w:sz="0" w:space="0" w:color="auto"/>
        <w:bottom w:val="none" w:sz="0" w:space="0" w:color="auto"/>
        <w:right w:val="none" w:sz="0" w:space="0" w:color="auto"/>
      </w:divBdr>
    </w:div>
    <w:div w:id="629867115">
      <w:bodyDiv w:val="1"/>
      <w:marLeft w:val="0"/>
      <w:marRight w:val="0"/>
      <w:marTop w:val="0"/>
      <w:marBottom w:val="0"/>
      <w:divBdr>
        <w:top w:val="none" w:sz="0" w:space="0" w:color="auto"/>
        <w:left w:val="none" w:sz="0" w:space="0" w:color="auto"/>
        <w:bottom w:val="none" w:sz="0" w:space="0" w:color="auto"/>
        <w:right w:val="none" w:sz="0" w:space="0" w:color="auto"/>
      </w:divBdr>
    </w:div>
    <w:div w:id="646125894">
      <w:bodyDiv w:val="1"/>
      <w:marLeft w:val="0"/>
      <w:marRight w:val="0"/>
      <w:marTop w:val="0"/>
      <w:marBottom w:val="0"/>
      <w:divBdr>
        <w:top w:val="none" w:sz="0" w:space="0" w:color="auto"/>
        <w:left w:val="none" w:sz="0" w:space="0" w:color="auto"/>
        <w:bottom w:val="none" w:sz="0" w:space="0" w:color="auto"/>
        <w:right w:val="none" w:sz="0" w:space="0" w:color="auto"/>
      </w:divBdr>
    </w:div>
    <w:div w:id="655691717">
      <w:bodyDiv w:val="1"/>
      <w:marLeft w:val="0"/>
      <w:marRight w:val="0"/>
      <w:marTop w:val="0"/>
      <w:marBottom w:val="0"/>
      <w:divBdr>
        <w:top w:val="none" w:sz="0" w:space="0" w:color="auto"/>
        <w:left w:val="none" w:sz="0" w:space="0" w:color="auto"/>
        <w:bottom w:val="none" w:sz="0" w:space="0" w:color="auto"/>
        <w:right w:val="none" w:sz="0" w:space="0" w:color="auto"/>
      </w:divBdr>
      <w:divsChild>
        <w:div w:id="2174600">
          <w:marLeft w:val="0"/>
          <w:marRight w:val="0"/>
          <w:marTop w:val="0"/>
          <w:marBottom w:val="0"/>
          <w:divBdr>
            <w:top w:val="none" w:sz="0" w:space="0" w:color="auto"/>
            <w:left w:val="none" w:sz="0" w:space="0" w:color="auto"/>
            <w:bottom w:val="none" w:sz="0" w:space="0" w:color="auto"/>
            <w:right w:val="none" w:sz="0" w:space="0" w:color="auto"/>
          </w:divBdr>
          <w:divsChild>
            <w:div w:id="969897822">
              <w:marLeft w:val="0"/>
              <w:marRight w:val="0"/>
              <w:marTop w:val="0"/>
              <w:marBottom w:val="0"/>
              <w:divBdr>
                <w:top w:val="none" w:sz="0" w:space="0" w:color="auto"/>
                <w:left w:val="none" w:sz="0" w:space="0" w:color="auto"/>
                <w:bottom w:val="none" w:sz="0" w:space="0" w:color="auto"/>
                <w:right w:val="none" w:sz="0" w:space="0" w:color="auto"/>
              </w:divBdr>
              <w:divsChild>
                <w:div w:id="40468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347599">
      <w:bodyDiv w:val="1"/>
      <w:marLeft w:val="0"/>
      <w:marRight w:val="0"/>
      <w:marTop w:val="0"/>
      <w:marBottom w:val="0"/>
      <w:divBdr>
        <w:top w:val="none" w:sz="0" w:space="0" w:color="auto"/>
        <w:left w:val="none" w:sz="0" w:space="0" w:color="auto"/>
        <w:bottom w:val="none" w:sz="0" w:space="0" w:color="auto"/>
        <w:right w:val="none" w:sz="0" w:space="0" w:color="auto"/>
      </w:divBdr>
    </w:div>
    <w:div w:id="672486600">
      <w:bodyDiv w:val="1"/>
      <w:marLeft w:val="0"/>
      <w:marRight w:val="0"/>
      <w:marTop w:val="0"/>
      <w:marBottom w:val="0"/>
      <w:divBdr>
        <w:top w:val="none" w:sz="0" w:space="0" w:color="auto"/>
        <w:left w:val="none" w:sz="0" w:space="0" w:color="auto"/>
        <w:bottom w:val="none" w:sz="0" w:space="0" w:color="auto"/>
        <w:right w:val="none" w:sz="0" w:space="0" w:color="auto"/>
      </w:divBdr>
    </w:div>
    <w:div w:id="680817532">
      <w:bodyDiv w:val="1"/>
      <w:marLeft w:val="0"/>
      <w:marRight w:val="0"/>
      <w:marTop w:val="0"/>
      <w:marBottom w:val="0"/>
      <w:divBdr>
        <w:top w:val="none" w:sz="0" w:space="0" w:color="auto"/>
        <w:left w:val="none" w:sz="0" w:space="0" w:color="auto"/>
        <w:bottom w:val="none" w:sz="0" w:space="0" w:color="auto"/>
        <w:right w:val="none" w:sz="0" w:space="0" w:color="auto"/>
      </w:divBdr>
    </w:div>
    <w:div w:id="684751006">
      <w:bodyDiv w:val="1"/>
      <w:marLeft w:val="0"/>
      <w:marRight w:val="0"/>
      <w:marTop w:val="0"/>
      <w:marBottom w:val="0"/>
      <w:divBdr>
        <w:top w:val="none" w:sz="0" w:space="0" w:color="auto"/>
        <w:left w:val="none" w:sz="0" w:space="0" w:color="auto"/>
        <w:bottom w:val="none" w:sz="0" w:space="0" w:color="auto"/>
        <w:right w:val="none" w:sz="0" w:space="0" w:color="auto"/>
      </w:divBdr>
      <w:divsChild>
        <w:div w:id="67579368">
          <w:marLeft w:val="0"/>
          <w:marRight w:val="0"/>
          <w:marTop w:val="0"/>
          <w:marBottom w:val="0"/>
          <w:divBdr>
            <w:top w:val="none" w:sz="0" w:space="0" w:color="auto"/>
            <w:left w:val="none" w:sz="0" w:space="0" w:color="auto"/>
            <w:bottom w:val="none" w:sz="0" w:space="0" w:color="auto"/>
            <w:right w:val="none" w:sz="0" w:space="0" w:color="auto"/>
          </w:divBdr>
          <w:divsChild>
            <w:div w:id="443816395">
              <w:marLeft w:val="0"/>
              <w:marRight w:val="0"/>
              <w:marTop w:val="0"/>
              <w:marBottom w:val="0"/>
              <w:divBdr>
                <w:top w:val="none" w:sz="0" w:space="0" w:color="auto"/>
                <w:left w:val="none" w:sz="0" w:space="0" w:color="auto"/>
                <w:bottom w:val="none" w:sz="0" w:space="0" w:color="auto"/>
                <w:right w:val="none" w:sz="0" w:space="0" w:color="auto"/>
              </w:divBdr>
              <w:divsChild>
                <w:div w:id="1378512170">
                  <w:marLeft w:val="0"/>
                  <w:marRight w:val="0"/>
                  <w:marTop w:val="0"/>
                  <w:marBottom w:val="0"/>
                  <w:divBdr>
                    <w:top w:val="none" w:sz="0" w:space="0" w:color="auto"/>
                    <w:left w:val="none" w:sz="0" w:space="0" w:color="auto"/>
                    <w:bottom w:val="none" w:sz="0" w:space="0" w:color="auto"/>
                    <w:right w:val="none" w:sz="0" w:space="0" w:color="auto"/>
                  </w:divBdr>
                  <w:divsChild>
                    <w:div w:id="15495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221524">
      <w:bodyDiv w:val="1"/>
      <w:marLeft w:val="0"/>
      <w:marRight w:val="0"/>
      <w:marTop w:val="0"/>
      <w:marBottom w:val="0"/>
      <w:divBdr>
        <w:top w:val="none" w:sz="0" w:space="0" w:color="auto"/>
        <w:left w:val="none" w:sz="0" w:space="0" w:color="auto"/>
        <w:bottom w:val="none" w:sz="0" w:space="0" w:color="auto"/>
        <w:right w:val="none" w:sz="0" w:space="0" w:color="auto"/>
      </w:divBdr>
    </w:div>
    <w:div w:id="696010354">
      <w:bodyDiv w:val="1"/>
      <w:marLeft w:val="0"/>
      <w:marRight w:val="0"/>
      <w:marTop w:val="0"/>
      <w:marBottom w:val="0"/>
      <w:divBdr>
        <w:top w:val="none" w:sz="0" w:space="0" w:color="auto"/>
        <w:left w:val="none" w:sz="0" w:space="0" w:color="auto"/>
        <w:bottom w:val="none" w:sz="0" w:space="0" w:color="auto"/>
        <w:right w:val="none" w:sz="0" w:space="0" w:color="auto"/>
      </w:divBdr>
    </w:div>
    <w:div w:id="709185203">
      <w:bodyDiv w:val="1"/>
      <w:marLeft w:val="0"/>
      <w:marRight w:val="0"/>
      <w:marTop w:val="0"/>
      <w:marBottom w:val="0"/>
      <w:divBdr>
        <w:top w:val="none" w:sz="0" w:space="0" w:color="auto"/>
        <w:left w:val="none" w:sz="0" w:space="0" w:color="auto"/>
        <w:bottom w:val="none" w:sz="0" w:space="0" w:color="auto"/>
        <w:right w:val="none" w:sz="0" w:space="0" w:color="auto"/>
      </w:divBdr>
    </w:div>
    <w:div w:id="712581941">
      <w:bodyDiv w:val="1"/>
      <w:marLeft w:val="0"/>
      <w:marRight w:val="0"/>
      <w:marTop w:val="0"/>
      <w:marBottom w:val="0"/>
      <w:divBdr>
        <w:top w:val="none" w:sz="0" w:space="0" w:color="auto"/>
        <w:left w:val="none" w:sz="0" w:space="0" w:color="auto"/>
        <w:bottom w:val="none" w:sz="0" w:space="0" w:color="auto"/>
        <w:right w:val="none" w:sz="0" w:space="0" w:color="auto"/>
      </w:divBdr>
    </w:div>
    <w:div w:id="712971709">
      <w:bodyDiv w:val="1"/>
      <w:marLeft w:val="0"/>
      <w:marRight w:val="0"/>
      <w:marTop w:val="0"/>
      <w:marBottom w:val="0"/>
      <w:divBdr>
        <w:top w:val="none" w:sz="0" w:space="0" w:color="auto"/>
        <w:left w:val="none" w:sz="0" w:space="0" w:color="auto"/>
        <w:bottom w:val="none" w:sz="0" w:space="0" w:color="auto"/>
        <w:right w:val="none" w:sz="0" w:space="0" w:color="auto"/>
      </w:divBdr>
    </w:div>
    <w:div w:id="720131464">
      <w:bodyDiv w:val="1"/>
      <w:marLeft w:val="0"/>
      <w:marRight w:val="0"/>
      <w:marTop w:val="0"/>
      <w:marBottom w:val="0"/>
      <w:divBdr>
        <w:top w:val="none" w:sz="0" w:space="0" w:color="auto"/>
        <w:left w:val="none" w:sz="0" w:space="0" w:color="auto"/>
        <w:bottom w:val="none" w:sz="0" w:space="0" w:color="auto"/>
        <w:right w:val="none" w:sz="0" w:space="0" w:color="auto"/>
      </w:divBdr>
    </w:div>
    <w:div w:id="721101247">
      <w:bodyDiv w:val="1"/>
      <w:marLeft w:val="0"/>
      <w:marRight w:val="0"/>
      <w:marTop w:val="0"/>
      <w:marBottom w:val="0"/>
      <w:divBdr>
        <w:top w:val="none" w:sz="0" w:space="0" w:color="auto"/>
        <w:left w:val="none" w:sz="0" w:space="0" w:color="auto"/>
        <w:bottom w:val="none" w:sz="0" w:space="0" w:color="auto"/>
        <w:right w:val="none" w:sz="0" w:space="0" w:color="auto"/>
      </w:divBdr>
    </w:div>
    <w:div w:id="729882214">
      <w:bodyDiv w:val="1"/>
      <w:marLeft w:val="0"/>
      <w:marRight w:val="0"/>
      <w:marTop w:val="0"/>
      <w:marBottom w:val="0"/>
      <w:divBdr>
        <w:top w:val="none" w:sz="0" w:space="0" w:color="auto"/>
        <w:left w:val="none" w:sz="0" w:space="0" w:color="auto"/>
        <w:bottom w:val="none" w:sz="0" w:space="0" w:color="auto"/>
        <w:right w:val="none" w:sz="0" w:space="0" w:color="auto"/>
      </w:divBdr>
    </w:div>
    <w:div w:id="737485575">
      <w:bodyDiv w:val="1"/>
      <w:marLeft w:val="0"/>
      <w:marRight w:val="0"/>
      <w:marTop w:val="0"/>
      <w:marBottom w:val="0"/>
      <w:divBdr>
        <w:top w:val="none" w:sz="0" w:space="0" w:color="auto"/>
        <w:left w:val="none" w:sz="0" w:space="0" w:color="auto"/>
        <w:bottom w:val="none" w:sz="0" w:space="0" w:color="auto"/>
        <w:right w:val="none" w:sz="0" w:space="0" w:color="auto"/>
      </w:divBdr>
    </w:div>
    <w:div w:id="744376675">
      <w:bodyDiv w:val="1"/>
      <w:marLeft w:val="0"/>
      <w:marRight w:val="0"/>
      <w:marTop w:val="0"/>
      <w:marBottom w:val="0"/>
      <w:divBdr>
        <w:top w:val="none" w:sz="0" w:space="0" w:color="auto"/>
        <w:left w:val="none" w:sz="0" w:space="0" w:color="auto"/>
        <w:bottom w:val="none" w:sz="0" w:space="0" w:color="auto"/>
        <w:right w:val="none" w:sz="0" w:space="0" w:color="auto"/>
      </w:divBdr>
    </w:div>
    <w:div w:id="765460998">
      <w:bodyDiv w:val="1"/>
      <w:marLeft w:val="0"/>
      <w:marRight w:val="0"/>
      <w:marTop w:val="0"/>
      <w:marBottom w:val="0"/>
      <w:divBdr>
        <w:top w:val="none" w:sz="0" w:space="0" w:color="auto"/>
        <w:left w:val="none" w:sz="0" w:space="0" w:color="auto"/>
        <w:bottom w:val="none" w:sz="0" w:space="0" w:color="auto"/>
        <w:right w:val="none" w:sz="0" w:space="0" w:color="auto"/>
      </w:divBdr>
    </w:div>
    <w:div w:id="773017793">
      <w:bodyDiv w:val="1"/>
      <w:marLeft w:val="0"/>
      <w:marRight w:val="0"/>
      <w:marTop w:val="0"/>
      <w:marBottom w:val="0"/>
      <w:divBdr>
        <w:top w:val="none" w:sz="0" w:space="0" w:color="auto"/>
        <w:left w:val="none" w:sz="0" w:space="0" w:color="auto"/>
        <w:bottom w:val="none" w:sz="0" w:space="0" w:color="auto"/>
        <w:right w:val="none" w:sz="0" w:space="0" w:color="auto"/>
      </w:divBdr>
    </w:div>
    <w:div w:id="775557501">
      <w:bodyDiv w:val="1"/>
      <w:marLeft w:val="0"/>
      <w:marRight w:val="0"/>
      <w:marTop w:val="0"/>
      <w:marBottom w:val="0"/>
      <w:divBdr>
        <w:top w:val="none" w:sz="0" w:space="0" w:color="auto"/>
        <w:left w:val="none" w:sz="0" w:space="0" w:color="auto"/>
        <w:bottom w:val="none" w:sz="0" w:space="0" w:color="auto"/>
        <w:right w:val="none" w:sz="0" w:space="0" w:color="auto"/>
      </w:divBdr>
    </w:div>
    <w:div w:id="777021150">
      <w:bodyDiv w:val="1"/>
      <w:marLeft w:val="0"/>
      <w:marRight w:val="0"/>
      <w:marTop w:val="0"/>
      <w:marBottom w:val="0"/>
      <w:divBdr>
        <w:top w:val="none" w:sz="0" w:space="0" w:color="auto"/>
        <w:left w:val="none" w:sz="0" w:space="0" w:color="auto"/>
        <w:bottom w:val="none" w:sz="0" w:space="0" w:color="auto"/>
        <w:right w:val="none" w:sz="0" w:space="0" w:color="auto"/>
      </w:divBdr>
    </w:div>
    <w:div w:id="799415927">
      <w:bodyDiv w:val="1"/>
      <w:marLeft w:val="0"/>
      <w:marRight w:val="0"/>
      <w:marTop w:val="0"/>
      <w:marBottom w:val="0"/>
      <w:divBdr>
        <w:top w:val="none" w:sz="0" w:space="0" w:color="auto"/>
        <w:left w:val="none" w:sz="0" w:space="0" w:color="auto"/>
        <w:bottom w:val="none" w:sz="0" w:space="0" w:color="auto"/>
        <w:right w:val="none" w:sz="0" w:space="0" w:color="auto"/>
      </w:divBdr>
    </w:div>
    <w:div w:id="800153295">
      <w:bodyDiv w:val="1"/>
      <w:marLeft w:val="0"/>
      <w:marRight w:val="0"/>
      <w:marTop w:val="0"/>
      <w:marBottom w:val="0"/>
      <w:divBdr>
        <w:top w:val="none" w:sz="0" w:space="0" w:color="auto"/>
        <w:left w:val="none" w:sz="0" w:space="0" w:color="auto"/>
        <w:bottom w:val="none" w:sz="0" w:space="0" w:color="auto"/>
        <w:right w:val="none" w:sz="0" w:space="0" w:color="auto"/>
      </w:divBdr>
    </w:div>
    <w:div w:id="801385120">
      <w:bodyDiv w:val="1"/>
      <w:marLeft w:val="0"/>
      <w:marRight w:val="0"/>
      <w:marTop w:val="0"/>
      <w:marBottom w:val="0"/>
      <w:divBdr>
        <w:top w:val="none" w:sz="0" w:space="0" w:color="auto"/>
        <w:left w:val="none" w:sz="0" w:space="0" w:color="auto"/>
        <w:bottom w:val="none" w:sz="0" w:space="0" w:color="auto"/>
        <w:right w:val="none" w:sz="0" w:space="0" w:color="auto"/>
      </w:divBdr>
    </w:div>
    <w:div w:id="805195462">
      <w:bodyDiv w:val="1"/>
      <w:marLeft w:val="0"/>
      <w:marRight w:val="0"/>
      <w:marTop w:val="0"/>
      <w:marBottom w:val="0"/>
      <w:divBdr>
        <w:top w:val="none" w:sz="0" w:space="0" w:color="auto"/>
        <w:left w:val="none" w:sz="0" w:space="0" w:color="auto"/>
        <w:bottom w:val="none" w:sz="0" w:space="0" w:color="auto"/>
        <w:right w:val="none" w:sz="0" w:space="0" w:color="auto"/>
      </w:divBdr>
      <w:divsChild>
        <w:div w:id="1836721453">
          <w:marLeft w:val="0"/>
          <w:marRight w:val="0"/>
          <w:marTop w:val="0"/>
          <w:marBottom w:val="0"/>
          <w:divBdr>
            <w:top w:val="none" w:sz="0" w:space="0" w:color="auto"/>
            <w:left w:val="none" w:sz="0" w:space="0" w:color="auto"/>
            <w:bottom w:val="none" w:sz="0" w:space="0" w:color="auto"/>
            <w:right w:val="none" w:sz="0" w:space="0" w:color="auto"/>
          </w:divBdr>
          <w:divsChild>
            <w:div w:id="534390149">
              <w:marLeft w:val="0"/>
              <w:marRight w:val="0"/>
              <w:marTop w:val="0"/>
              <w:marBottom w:val="0"/>
              <w:divBdr>
                <w:top w:val="none" w:sz="0" w:space="0" w:color="auto"/>
                <w:left w:val="none" w:sz="0" w:space="0" w:color="auto"/>
                <w:bottom w:val="none" w:sz="0" w:space="0" w:color="auto"/>
                <w:right w:val="none" w:sz="0" w:space="0" w:color="auto"/>
              </w:divBdr>
              <w:divsChild>
                <w:div w:id="189006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752694">
      <w:bodyDiv w:val="1"/>
      <w:marLeft w:val="0"/>
      <w:marRight w:val="0"/>
      <w:marTop w:val="0"/>
      <w:marBottom w:val="0"/>
      <w:divBdr>
        <w:top w:val="none" w:sz="0" w:space="0" w:color="auto"/>
        <w:left w:val="none" w:sz="0" w:space="0" w:color="auto"/>
        <w:bottom w:val="none" w:sz="0" w:space="0" w:color="auto"/>
        <w:right w:val="none" w:sz="0" w:space="0" w:color="auto"/>
      </w:divBdr>
    </w:div>
    <w:div w:id="811942607">
      <w:bodyDiv w:val="1"/>
      <w:marLeft w:val="0"/>
      <w:marRight w:val="0"/>
      <w:marTop w:val="0"/>
      <w:marBottom w:val="0"/>
      <w:divBdr>
        <w:top w:val="none" w:sz="0" w:space="0" w:color="auto"/>
        <w:left w:val="none" w:sz="0" w:space="0" w:color="auto"/>
        <w:bottom w:val="none" w:sz="0" w:space="0" w:color="auto"/>
        <w:right w:val="none" w:sz="0" w:space="0" w:color="auto"/>
      </w:divBdr>
    </w:div>
    <w:div w:id="813302546">
      <w:bodyDiv w:val="1"/>
      <w:marLeft w:val="0"/>
      <w:marRight w:val="0"/>
      <w:marTop w:val="0"/>
      <w:marBottom w:val="0"/>
      <w:divBdr>
        <w:top w:val="none" w:sz="0" w:space="0" w:color="auto"/>
        <w:left w:val="none" w:sz="0" w:space="0" w:color="auto"/>
        <w:bottom w:val="none" w:sz="0" w:space="0" w:color="auto"/>
        <w:right w:val="none" w:sz="0" w:space="0" w:color="auto"/>
      </w:divBdr>
    </w:div>
    <w:div w:id="815799023">
      <w:bodyDiv w:val="1"/>
      <w:marLeft w:val="0"/>
      <w:marRight w:val="0"/>
      <w:marTop w:val="0"/>
      <w:marBottom w:val="0"/>
      <w:divBdr>
        <w:top w:val="none" w:sz="0" w:space="0" w:color="auto"/>
        <w:left w:val="none" w:sz="0" w:space="0" w:color="auto"/>
        <w:bottom w:val="none" w:sz="0" w:space="0" w:color="auto"/>
        <w:right w:val="none" w:sz="0" w:space="0" w:color="auto"/>
      </w:divBdr>
    </w:div>
    <w:div w:id="817502219">
      <w:bodyDiv w:val="1"/>
      <w:marLeft w:val="0"/>
      <w:marRight w:val="0"/>
      <w:marTop w:val="0"/>
      <w:marBottom w:val="0"/>
      <w:divBdr>
        <w:top w:val="none" w:sz="0" w:space="0" w:color="auto"/>
        <w:left w:val="none" w:sz="0" w:space="0" w:color="auto"/>
        <w:bottom w:val="none" w:sz="0" w:space="0" w:color="auto"/>
        <w:right w:val="none" w:sz="0" w:space="0" w:color="auto"/>
      </w:divBdr>
    </w:div>
    <w:div w:id="820928669">
      <w:bodyDiv w:val="1"/>
      <w:marLeft w:val="0"/>
      <w:marRight w:val="0"/>
      <w:marTop w:val="0"/>
      <w:marBottom w:val="0"/>
      <w:divBdr>
        <w:top w:val="none" w:sz="0" w:space="0" w:color="auto"/>
        <w:left w:val="none" w:sz="0" w:space="0" w:color="auto"/>
        <w:bottom w:val="none" w:sz="0" w:space="0" w:color="auto"/>
        <w:right w:val="none" w:sz="0" w:space="0" w:color="auto"/>
      </w:divBdr>
    </w:div>
    <w:div w:id="824786152">
      <w:bodyDiv w:val="1"/>
      <w:marLeft w:val="0"/>
      <w:marRight w:val="0"/>
      <w:marTop w:val="0"/>
      <w:marBottom w:val="0"/>
      <w:divBdr>
        <w:top w:val="none" w:sz="0" w:space="0" w:color="auto"/>
        <w:left w:val="none" w:sz="0" w:space="0" w:color="auto"/>
        <w:bottom w:val="none" w:sz="0" w:space="0" w:color="auto"/>
        <w:right w:val="none" w:sz="0" w:space="0" w:color="auto"/>
      </w:divBdr>
    </w:div>
    <w:div w:id="832452440">
      <w:bodyDiv w:val="1"/>
      <w:marLeft w:val="0"/>
      <w:marRight w:val="0"/>
      <w:marTop w:val="0"/>
      <w:marBottom w:val="0"/>
      <w:divBdr>
        <w:top w:val="none" w:sz="0" w:space="0" w:color="auto"/>
        <w:left w:val="none" w:sz="0" w:space="0" w:color="auto"/>
        <w:bottom w:val="none" w:sz="0" w:space="0" w:color="auto"/>
        <w:right w:val="none" w:sz="0" w:space="0" w:color="auto"/>
      </w:divBdr>
      <w:divsChild>
        <w:div w:id="7356630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3594656">
      <w:bodyDiv w:val="1"/>
      <w:marLeft w:val="0"/>
      <w:marRight w:val="0"/>
      <w:marTop w:val="0"/>
      <w:marBottom w:val="0"/>
      <w:divBdr>
        <w:top w:val="none" w:sz="0" w:space="0" w:color="auto"/>
        <w:left w:val="none" w:sz="0" w:space="0" w:color="auto"/>
        <w:bottom w:val="none" w:sz="0" w:space="0" w:color="auto"/>
        <w:right w:val="none" w:sz="0" w:space="0" w:color="auto"/>
      </w:divBdr>
    </w:div>
    <w:div w:id="850877743">
      <w:bodyDiv w:val="1"/>
      <w:marLeft w:val="0"/>
      <w:marRight w:val="0"/>
      <w:marTop w:val="0"/>
      <w:marBottom w:val="0"/>
      <w:divBdr>
        <w:top w:val="none" w:sz="0" w:space="0" w:color="auto"/>
        <w:left w:val="none" w:sz="0" w:space="0" w:color="auto"/>
        <w:bottom w:val="none" w:sz="0" w:space="0" w:color="auto"/>
        <w:right w:val="none" w:sz="0" w:space="0" w:color="auto"/>
      </w:divBdr>
    </w:div>
    <w:div w:id="857549711">
      <w:bodyDiv w:val="1"/>
      <w:marLeft w:val="0"/>
      <w:marRight w:val="0"/>
      <w:marTop w:val="0"/>
      <w:marBottom w:val="0"/>
      <w:divBdr>
        <w:top w:val="none" w:sz="0" w:space="0" w:color="auto"/>
        <w:left w:val="none" w:sz="0" w:space="0" w:color="auto"/>
        <w:bottom w:val="none" w:sz="0" w:space="0" w:color="auto"/>
        <w:right w:val="none" w:sz="0" w:space="0" w:color="auto"/>
      </w:divBdr>
      <w:divsChild>
        <w:div w:id="41760459">
          <w:marLeft w:val="0"/>
          <w:marRight w:val="0"/>
          <w:marTop w:val="0"/>
          <w:marBottom w:val="0"/>
          <w:divBdr>
            <w:top w:val="none" w:sz="0" w:space="0" w:color="auto"/>
            <w:left w:val="none" w:sz="0" w:space="0" w:color="auto"/>
            <w:bottom w:val="none" w:sz="0" w:space="0" w:color="auto"/>
            <w:right w:val="none" w:sz="0" w:space="0" w:color="auto"/>
          </w:divBdr>
          <w:divsChild>
            <w:div w:id="951401863">
              <w:marLeft w:val="0"/>
              <w:marRight w:val="0"/>
              <w:marTop w:val="0"/>
              <w:marBottom w:val="0"/>
              <w:divBdr>
                <w:top w:val="none" w:sz="0" w:space="0" w:color="auto"/>
                <w:left w:val="none" w:sz="0" w:space="0" w:color="auto"/>
                <w:bottom w:val="none" w:sz="0" w:space="0" w:color="auto"/>
                <w:right w:val="none" w:sz="0" w:space="0" w:color="auto"/>
              </w:divBdr>
              <w:divsChild>
                <w:div w:id="474833751">
                  <w:marLeft w:val="0"/>
                  <w:marRight w:val="0"/>
                  <w:marTop w:val="0"/>
                  <w:marBottom w:val="0"/>
                  <w:divBdr>
                    <w:top w:val="none" w:sz="0" w:space="0" w:color="auto"/>
                    <w:left w:val="none" w:sz="0" w:space="0" w:color="auto"/>
                    <w:bottom w:val="none" w:sz="0" w:space="0" w:color="auto"/>
                    <w:right w:val="none" w:sz="0" w:space="0" w:color="auto"/>
                  </w:divBdr>
                  <w:divsChild>
                    <w:div w:id="113726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409071">
      <w:bodyDiv w:val="1"/>
      <w:marLeft w:val="0"/>
      <w:marRight w:val="0"/>
      <w:marTop w:val="0"/>
      <w:marBottom w:val="0"/>
      <w:divBdr>
        <w:top w:val="none" w:sz="0" w:space="0" w:color="auto"/>
        <w:left w:val="none" w:sz="0" w:space="0" w:color="auto"/>
        <w:bottom w:val="none" w:sz="0" w:space="0" w:color="auto"/>
        <w:right w:val="none" w:sz="0" w:space="0" w:color="auto"/>
      </w:divBdr>
    </w:div>
    <w:div w:id="867719528">
      <w:bodyDiv w:val="1"/>
      <w:marLeft w:val="0"/>
      <w:marRight w:val="0"/>
      <w:marTop w:val="0"/>
      <w:marBottom w:val="0"/>
      <w:divBdr>
        <w:top w:val="none" w:sz="0" w:space="0" w:color="auto"/>
        <w:left w:val="none" w:sz="0" w:space="0" w:color="auto"/>
        <w:bottom w:val="none" w:sz="0" w:space="0" w:color="auto"/>
        <w:right w:val="none" w:sz="0" w:space="0" w:color="auto"/>
      </w:divBdr>
    </w:div>
    <w:div w:id="876939288">
      <w:bodyDiv w:val="1"/>
      <w:marLeft w:val="0"/>
      <w:marRight w:val="0"/>
      <w:marTop w:val="0"/>
      <w:marBottom w:val="0"/>
      <w:divBdr>
        <w:top w:val="none" w:sz="0" w:space="0" w:color="auto"/>
        <w:left w:val="none" w:sz="0" w:space="0" w:color="auto"/>
        <w:bottom w:val="none" w:sz="0" w:space="0" w:color="auto"/>
        <w:right w:val="none" w:sz="0" w:space="0" w:color="auto"/>
      </w:divBdr>
      <w:divsChild>
        <w:div w:id="1547837163">
          <w:marLeft w:val="0"/>
          <w:marRight w:val="0"/>
          <w:marTop w:val="0"/>
          <w:marBottom w:val="0"/>
          <w:divBdr>
            <w:top w:val="none" w:sz="0" w:space="0" w:color="auto"/>
            <w:left w:val="none" w:sz="0" w:space="0" w:color="auto"/>
            <w:bottom w:val="none" w:sz="0" w:space="0" w:color="auto"/>
            <w:right w:val="none" w:sz="0" w:space="0" w:color="auto"/>
          </w:divBdr>
          <w:divsChild>
            <w:div w:id="2138641839">
              <w:marLeft w:val="0"/>
              <w:marRight w:val="0"/>
              <w:marTop w:val="0"/>
              <w:marBottom w:val="0"/>
              <w:divBdr>
                <w:top w:val="none" w:sz="0" w:space="0" w:color="auto"/>
                <w:left w:val="none" w:sz="0" w:space="0" w:color="auto"/>
                <w:bottom w:val="none" w:sz="0" w:space="0" w:color="auto"/>
                <w:right w:val="none" w:sz="0" w:space="0" w:color="auto"/>
              </w:divBdr>
              <w:divsChild>
                <w:div w:id="121800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939374">
      <w:bodyDiv w:val="1"/>
      <w:marLeft w:val="0"/>
      <w:marRight w:val="0"/>
      <w:marTop w:val="0"/>
      <w:marBottom w:val="0"/>
      <w:divBdr>
        <w:top w:val="none" w:sz="0" w:space="0" w:color="auto"/>
        <w:left w:val="none" w:sz="0" w:space="0" w:color="auto"/>
        <w:bottom w:val="none" w:sz="0" w:space="0" w:color="auto"/>
        <w:right w:val="none" w:sz="0" w:space="0" w:color="auto"/>
      </w:divBdr>
    </w:div>
    <w:div w:id="885726080">
      <w:bodyDiv w:val="1"/>
      <w:marLeft w:val="0"/>
      <w:marRight w:val="0"/>
      <w:marTop w:val="0"/>
      <w:marBottom w:val="0"/>
      <w:divBdr>
        <w:top w:val="none" w:sz="0" w:space="0" w:color="auto"/>
        <w:left w:val="none" w:sz="0" w:space="0" w:color="auto"/>
        <w:bottom w:val="none" w:sz="0" w:space="0" w:color="auto"/>
        <w:right w:val="none" w:sz="0" w:space="0" w:color="auto"/>
      </w:divBdr>
    </w:div>
    <w:div w:id="886187515">
      <w:bodyDiv w:val="1"/>
      <w:marLeft w:val="0"/>
      <w:marRight w:val="0"/>
      <w:marTop w:val="0"/>
      <w:marBottom w:val="0"/>
      <w:divBdr>
        <w:top w:val="none" w:sz="0" w:space="0" w:color="auto"/>
        <w:left w:val="none" w:sz="0" w:space="0" w:color="auto"/>
        <w:bottom w:val="none" w:sz="0" w:space="0" w:color="auto"/>
        <w:right w:val="none" w:sz="0" w:space="0" w:color="auto"/>
      </w:divBdr>
      <w:divsChild>
        <w:div w:id="1992101457">
          <w:marLeft w:val="0"/>
          <w:marRight w:val="0"/>
          <w:marTop w:val="0"/>
          <w:marBottom w:val="0"/>
          <w:divBdr>
            <w:top w:val="none" w:sz="0" w:space="0" w:color="auto"/>
            <w:left w:val="none" w:sz="0" w:space="0" w:color="auto"/>
            <w:bottom w:val="none" w:sz="0" w:space="0" w:color="auto"/>
            <w:right w:val="none" w:sz="0" w:space="0" w:color="auto"/>
          </w:divBdr>
          <w:divsChild>
            <w:div w:id="647443286">
              <w:marLeft w:val="0"/>
              <w:marRight w:val="0"/>
              <w:marTop w:val="0"/>
              <w:marBottom w:val="0"/>
              <w:divBdr>
                <w:top w:val="none" w:sz="0" w:space="0" w:color="auto"/>
                <w:left w:val="none" w:sz="0" w:space="0" w:color="auto"/>
                <w:bottom w:val="none" w:sz="0" w:space="0" w:color="auto"/>
                <w:right w:val="none" w:sz="0" w:space="0" w:color="auto"/>
              </w:divBdr>
              <w:divsChild>
                <w:div w:id="153199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183690">
      <w:bodyDiv w:val="1"/>
      <w:marLeft w:val="0"/>
      <w:marRight w:val="0"/>
      <w:marTop w:val="0"/>
      <w:marBottom w:val="0"/>
      <w:divBdr>
        <w:top w:val="none" w:sz="0" w:space="0" w:color="auto"/>
        <w:left w:val="none" w:sz="0" w:space="0" w:color="auto"/>
        <w:bottom w:val="none" w:sz="0" w:space="0" w:color="auto"/>
        <w:right w:val="none" w:sz="0" w:space="0" w:color="auto"/>
      </w:divBdr>
    </w:div>
    <w:div w:id="889220615">
      <w:bodyDiv w:val="1"/>
      <w:marLeft w:val="0"/>
      <w:marRight w:val="0"/>
      <w:marTop w:val="0"/>
      <w:marBottom w:val="0"/>
      <w:divBdr>
        <w:top w:val="none" w:sz="0" w:space="0" w:color="auto"/>
        <w:left w:val="none" w:sz="0" w:space="0" w:color="auto"/>
        <w:bottom w:val="none" w:sz="0" w:space="0" w:color="auto"/>
        <w:right w:val="none" w:sz="0" w:space="0" w:color="auto"/>
      </w:divBdr>
    </w:div>
    <w:div w:id="892545646">
      <w:bodyDiv w:val="1"/>
      <w:marLeft w:val="0"/>
      <w:marRight w:val="0"/>
      <w:marTop w:val="0"/>
      <w:marBottom w:val="0"/>
      <w:divBdr>
        <w:top w:val="none" w:sz="0" w:space="0" w:color="auto"/>
        <w:left w:val="none" w:sz="0" w:space="0" w:color="auto"/>
        <w:bottom w:val="none" w:sz="0" w:space="0" w:color="auto"/>
        <w:right w:val="none" w:sz="0" w:space="0" w:color="auto"/>
      </w:divBdr>
    </w:div>
    <w:div w:id="893851614">
      <w:bodyDiv w:val="1"/>
      <w:marLeft w:val="0"/>
      <w:marRight w:val="0"/>
      <w:marTop w:val="0"/>
      <w:marBottom w:val="0"/>
      <w:divBdr>
        <w:top w:val="none" w:sz="0" w:space="0" w:color="auto"/>
        <w:left w:val="none" w:sz="0" w:space="0" w:color="auto"/>
        <w:bottom w:val="none" w:sz="0" w:space="0" w:color="auto"/>
        <w:right w:val="none" w:sz="0" w:space="0" w:color="auto"/>
      </w:divBdr>
    </w:div>
    <w:div w:id="894966945">
      <w:bodyDiv w:val="1"/>
      <w:marLeft w:val="0"/>
      <w:marRight w:val="0"/>
      <w:marTop w:val="0"/>
      <w:marBottom w:val="0"/>
      <w:divBdr>
        <w:top w:val="none" w:sz="0" w:space="0" w:color="auto"/>
        <w:left w:val="none" w:sz="0" w:space="0" w:color="auto"/>
        <w:bottom w:val="none" w:sz="0" w:space="0" w:color="auto"/>
        <w:right w:val="none" w:sz="0" w:space="0" w:color="auto"/>
      </w:divBdr>
    </w:div>
    <w:div w:id="898975736">
      <w:bodyDiv w:val="1"/>
      <w:marLeft w:val="0"/>
      <w:marRight w:val="0"/>
      <w:marTop w:val="0"/>
      <w:marBottom w:val="0"/>
      <w:divBdr>
        <w:top w:val="none" w:sz="0" w:space="0" w:color="auto"/>
        <w:left w:val="none" w:sz="0" w:space="0" w:color="auto"/>
        <w:bottom w:val="none" w:sz="0" w:space="0" w:color="auto"/>
        <w:right w:val="none" w:sz="0" w:space="0" w:color="auto"/>
      </w:divBdr>
      <w:divsChild>
        <w:div w:id="1437947234">
          <w:marLeft w:val="0"/>
          <w:marRight w:val="0"/>
          <w:marTop w:val="0"/>
          <w:marBottom w:val="0"/>
          <w:divBdr>
            <w:top w:val="none" w:sz="0" w:space="0" w:color="auto"/>
            <w:left w:val="none" w:sz="0" w:space="0" w:color="auto"/>
            <w:bottom w:val="none" w:sz="0" w:space="0" w:color="auto"/>
            <w:right w:val="none" w:sz="0" w:space="0" w:color="auto"/>
          </w:divBdr>
          <w:divsChild>
            <w:div w:id="1942252016">
              <w:marLeft w:val="0"/>
              <w:marRight w:val="0"/>
              <w:marTop w:val="0"/>
              <w:marBottom w:val="0"/>
              <w:divBdr>
                <w:top w:val="none" w:sz="0" w:space="0" w:color="auto"/>
                <w:left w:val="none" w:sz="0" w:space="0" w:color="auto"/>
                <w:bottom w:val="none" w:sz="0" w:space="0" w:color="auto"/>
                <w:right w:val="none" w:sz="0" w:space="0" w:color="auto"/>
              </w:divBdr>
              <w:divsChild>
                <w:div w:id="185476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483291">
      <w:bodyDiv w:val="1"/>
      <w:marLeft w:val="0"/>
      <w:marRight w:val="0"/>
      <w:marTop w:val="0"/>
      <w:marBottom w:val="0"/>
      <w:divBdr>
        <w:top w:val="none" w:sz="0" w:space="0" w:color="auto"/>
        <w:left w:val="none" w:sz="0" w:space="0" w:color="auto"/>
        <w:bottom w:val="none" w:sz="0" w:space="0" w:color="auto"/>
        <w:right w:val="none" w:sz="0" w:space="0" w:color="auto"/>
      </w:divBdr>
    </w:div>
    <w:div w:id="903414664">
      <w:bodyDiv w:val="1"/>
      <w:marLeft w:val="0"/>
      <w:marRight w:val="0"/>
      <w:marTop w:val="0"/>
      <w:marBottom w:val="0"/>
      <w:divBdr>
        <w:top w:val="none" w:sz="0" w:space="0" w:color="auto"/>
        <w:left w:val="none" w:sz="0" w:space="0" w:color="auto"/>
        <w:bottom w:val="none" w:sz="0" w:space="0" w:color="auto"/>
        <w:right w:val="none" w:sz="0" w:space="0" w:color="auto"/>
      </w:divBdr>
    </w:div>
    <w:div w:id="913319752">
      <w:bodyDiv w:val="1"/>
      <w:marLeft w:val="0"/>
      <w:marRight w:val="0"/>
      <w:marTop w:val="0"/>
      <w:marBottom w:val="0"/>
      <w:divBdr>
        <w:top w:val="none" w:sz="0" w:space="0" w:color="auto"/>
        <w:left w:val="none" w:sz="0" w:space="0" w:color="auto"/>
        <w:bottom w:val="none" w:sz="0" w:space="0" w:color="auto"/>
        <w:right w:val="none" w:sz="0" w:space="0" w:color="auto"/>
      </w:divBdr>
    </w:div>
    <w:div w:id="914705281">
      <w:bodyDiv w:val="1"/>
      <w:marLeft w:val="0"/>
      <w:marRight w:val="0"/>
      <w:marTop w:val="0"/>
      <w:marBottom w:val="0"/>
      <w:divBdr>
        <w:top w:val="none" w:sz="0" w:space="0" w:color="auto"/>
        <w:left w:val="none" w:sz="0" w:space="0" w:color="auto"/>
        <w:bottom w:val="none" w:sz="0" w:space="0" w:color="auto"/>
        <w:right w:val="none" w:sz="0" w:space="0" w:color="auto"/>
      </w:divBdr>
    </w:div>
    <w:div w:id="916943218">
      <w:bodyDiv w:val="1"/>
      <w:marLeft w:val="0"/>
      <w:marRight w:val="0"/>
      <w:marTop w:val="0"/>
      <w:marBottom w:val="0"/>
      <w:divBdr>
        <w:top w:val="none" w:sz="0" w:space="0" w:color="auto"/>
        <w:left w:val="none" w:sz="0" w:space="0" w:color="auto"/>
        <w:bottom w:val="none" w:sz="0" w:space="0" w:color="auto"/>
        <w:right w:val="none" w:sz="0" w:space="0" w:color="auto"/>
      </w:divBdr>
    </w:div>
    <w:div w:id="925193746">
      <w:bodyDiv w:val="1"/>
      <w:marLeft w:val="0"/>
      <w:marRight w:val="0"/>
      <w:marTop w:val="0"/>
      <w:marBottom w:val="0"/>
      <w:divBdr>
        <w:top w:val="none" w:sz="0" w:space="0" w:color="auto"/>
        <w:left w:val="none" w:sz="0" w:space="0" w:color="auto"/>
        <w:bottom w:val="none" w:sz="0" w:space="0" w:color="auto"/>
        <w:right w:val="none" w:sz="0" w:space="0" w:color="auto"/>
      </w:divBdr>
    </w:div>
    <w:div w:id="927229507">
      <w:bodyDiv w:val="1"/>
      <w:marLeft w:val="0"/>
      <w:marRight w:val="0"/>
      <w:marTop w:val="0"/>
      <w:marBottom w:val="0"/>
      <w:divBdr>
        <w:top w:val="none" w:sz="0" w:space="0" w:color="auto"/>
        <w:left w:val="none" w:sz="0" w:space="0" w:color="auto"/>
        <w:bottom w:val="none" w:sz="0" w:space="0" w:color="auto"/>
        <w:right w:val="none" w:sz="0" w:space="0" w:color="auto"/>
      </w:divBdr>
    </w:div>
    <w:div w:id="930239998">
      <w:bodyDiv w:val="1"/>
      <w:marLeft w:val="0"/>
      <w:marRight w:val="0"/>
      <w:marTop w:val="0"/>
      <w:marBottom w:val="0"/>
      <w:divBdr>
        <w:top w:val="none" w:sz="0" w:space="0" w:color="auto"/>
        <w:left w:val="none" w:sz="0" w:space="0" w:color="auto"/>
        <w:bottom w:val="none" w:sz="0" w:space="0" w:color="auto"/>
        <w:right w:val="none" w:sz="0" w:space="0" w:color="auto"/>
      </w:divBdr>
    </w:div>
    <w:div w:id="937101464">
      <w:bodyDiv w:val="1"/>
      <w:marLeft w:val="0"/>
      <w:marRight w:val="0"/>
      <w:marTop w:val="0"/>
      <w:marBottom w:val="0"/>
      <w:divBdr>
        <w:top w:val="none" w:sz="0" w:space="0" w:color="auto"/>
        <w:left w:val="none" w:sz="0" w:space="0" w:color="auto"/>
        <w:bottom w:val="none" w:sz="0" w:space="0" w:color="auto"/>
        <w:right w:val="none" w:sz="0" w:space="0" w:color="auto"/>
      </w:divBdr>
    </w:div>
    <w:div w:id="946543533">
      <w:bodyDiv w:val="1"/>
      <w:marLeft w:val="0"/>
      <w:marRight w:val="0"/>
      <w:marTop w:val="0"/>
      <w:marBottom w:val="0"/>
      <w:divBdr>
        <w:top w:val="none" w:sz="0" w:space="0" w:color="auto"/>
        <w:left w:val="none" w:sz="0" w:space="0" w:color="auto"/>
        <w:bottom w:val="none" w:sz="0" w:space="0" w:color="auto"/>
        <w:right w:val="none" w:sz="0" w:space="0" w:color="auto"/>
      </w:divBdr>
    </w:div>
    <w:div w:id="951398019">
      <w:bodyDiv w:val="1"/>
      <w:marLeft w:val="0"/>
      <w:marRight w:val="0"/>
      <w:marTop w:val="0"/>
      <w:marBottom w:val="0"/>
      <w:divBdr>
        <w:top w:val="none" w:sz="0" w:space="0" w:color="auto"/>
        <w:left w:val="none" w:sz="0" w:space="0" w:color="auto"/>
        <w:bottom w:val="none" w:sz="0" w:space="0" w:color="auto"/>
        <w:right w:val="none" w:sz="0" w:space="0" w:color="auto"/>
      </w:divBdr>
    </w:div>
    <w:div w:id="962927190">
      <w:bodyDiv w:val="1"/>
      <w:marLeft w:val="0"/>
      <w:marRight w:val="0"/>
      <w:marTop w:val="0"/>
      <w:marBottom w:val="0"/>
      <w:divBdr>
        <w:top w:val="none" w:sz="0" w:space="0" w:color="auto"/>
        <w:left w:val="none" w:sz="0" w:space="0" w:color="auto"/>
        <w:bottom w:val="none" w:sz="0" w:space="0" w:color="auto"/>
        <w:right w:val="none" w:sz="0" w:space="0" w:color="auto"/>
      </w:divBdr>
    </w:div>
    <w:div w:id="963657354">
      <w:bodyDiv w:val="1"/>
      <w:marLeft w:val="0"/>
      <w:marRight w:val="0"/>
      <w:marTop w:val="0"/>
      <w:marBottom w:val="0"/>
      <w:divBdr>
        <w:top w:val="none" w:sz="0" w:space="0" w:color="auto"/>
        <w:left w:val="none" w:sz="0" w:space="0" w:color="auto"/>
        <w:bottom w:val="none" w:sz="0" w:space="0" w:color="auto"/>
        <w:right w:val="none" w:sz="0" w:space="0" w:color="auto"/>
      </w:divBdr>
    </w:div>
    <w:div w:id="970018915">
      <w:bodyDiv w:val="1"/>
      <w:marLeft w:val="0"/>
      <w:marRight w:val="0"/>
      <w:marTop w:val="0"/>
      <w:marBottom w:val="0"/>
      <w:divBdr>
        <w:top w:val="none" w:sz="0" w:space="0" w:color="auto"/>
        <w:left w:val="none" w:sz="0" w:space="0" w:color="auto"/>
        <w:bottom w:val="none" w:sz="0" w:space="0" w:color="auto"/>
        <w:right w:val="none" w:sz="0" w:space="0" w:color="auto"/>
      </w:divBdr>
    </w:div>
    <w:div w:id="978455167">
      <w:bodyDiv w:val="1"/>
      <w:marLeft w:val="0"/>
      <w:marRight w:val="0"/>
      <w:marTop w:val="0"/>
      <w:marBottom w:val="0"/>
      <w:divBdr>
        <w:top w:val="none" w:sz="0" w:space="0" w:color="auto"/>
        <w:left w:val="none" w:sz="0" w:space="0" w:color="auto"/>
        <w:bottom w:val="none" w:sz="0" w:space="0" w:color="auto"/>
        <w:right w:val="none" w:sz="0" w:space="0" w:color="auto"/>
      </w:divBdr>
    </w:div>
    <w:div w:id="986280099">
      <w:bodyDiv w:val="1"/>
      <w:marLeft w:val="0"/>
      <w:marRight w:val="0"/>
      <w:marTop w:val="0"/>
      <w:marBottom w:val="0"/>
      <w:divBdr>
        <w:top w:val="none" w:sz="0" w:space="0" w:color="auto"/>
        <w:left w:val="none" w:sz="0" w:space="0" w:color="auto"/>
        <w:bottom w:val="none" w:sz="0" w:space="0" w:color="auto"/>
        <w:right w:val="none" w:sz="0" w:space="0" w:color="auto"/>
      </w:divBdr>
    </w:div>
    <w:div w:id="995108539">
      <w:bodyDiv w:val="1"/>
      <w:marLeft w:val="0"/>
      <w:marRight w:val="0"/>
      <w:marTop w:val="0"/>
      <w:marBottom w:val="0"/>
      <w:divBdr>
        <w:top w:val="none" w:sz="0" w:space="0" w:color="auto"/>
        <w:left w:val="none" w:sz="0" w:space="0" w:color="auto"/>
        <w:bottom w:val="none" w:sz="0" w:space="0" w:color="auto"/>
        <w:right w:val="none" w:sz="0" w:space="0" w:color="auto"/>
      </w:divBdr>
    </w:div>
    <w:div w:id="997656789">
      <w:bodyDiv w:val="1"/>
      <w:marLeft w:val="0"/>
      <w:marRight w:val="0"/>
      <w:marTop w:val="0"/>
      <w:marBottom w:val="0"/>
      <w:divBdr>
        <w:top w:val="none" w:sz="0" w:space="0" w:color="auto"/>
        <w:left w:val="none" w:sz="0" w:space="0" w:color="auto"/>
        <w:bottom w:val="none" w:sz="0" w:space="0" w:color="auto"/>
        <w:right w:val="none" w:sz="0" w:space="0" w:color="auto"/>
      </w:divBdr>
    </w:div>
    <w:div w:id="1000042419">
      <w:bodyDiv w:val="1"/>
      <w:marLeft w:val="0"/>
      <w:marRight w:val="0"/>
      <w:marTop w:val="0"/>
      <w:marBottom w:val="0"/>
      <w:divBdr>
        <w:top w:val="none" w:sz="0" w:space="0" w:color="auto"/>
        <w:left w:val="none" w:sz="0" w:space="0" w:color="auto"/>
        <w:bottom w:val="none" w:sz="0" w:space="0" w:color="auto"/>
        <w:right w:val="none" w:sz="0" w:space="0" w:color="auto"/>
      </w:divBdr>
    </w:div>
    <w:div w:id="1001002648">
      <w:bodyDiv w:val="1"/>
      <w:marLeft w:val="0"/>
      <w:marRight w:val="0"/>
      <w:marTop w:val="0"/>
      <w:marBottom w:val="0"/>
      <w:divBdr>
        <w:top w:val="none" w:sz="0" w:space="0" w:color="auto"/>
        <w:left w:val="none" w:sz="0" w:space="0" w:color="auto"/>
        <w:bottom w:val="none" w:sz="0" w:space="0" w:color="auto"/>
        <w:right w:val="none" w:sz="0" w:space="0" w:color="auto"/>
      </w:divBdr>
    </w:div>
    <w:div w:id="1004627169">
      <w:bodyDiv w:val="1"/>
      <w:marLeft w:val="0"/>
      <w:marRight w:val="0"/>
      <w:marTop w:val="0"/>
      <w:marBottom w:val="0"/>
      <w:divBdr>
        <w:top w:val="none" w:sz="0" w:space="0" w:color="auto"/>
        <w:left w:val="none" w:sz="0" w:space="0" w:color="auto"/>
        <w:bottom w:val="none" w:sz="0" w:space="0" w:color="auto"/>
        <w:right w:val="none" w:sz="0" w:space="0" w:color="auto"/>
      </w:divBdr>
    </w:div>
    <w:div w:id="1019504369">
      <w:bodyDiv w:val="1"/>
      <w:marLeft w:val="0"/>
      <w:marRight w:val="0"/>
      <w:marTop w:val="0"/>
      <w:marBottom w:val="0"/>
      <w:divBdr>
        <w:top w:val="none" w:sz="0" w:space="0" w:color="auto"/>
        <w:left w:val="none" w:sz="0" w:space="0" w:color="auto"/>
        <w:bottom w:val="none" w:sz="0" w:space="0" w:color="auto"/>
        <w:right w:val="none" w:sz="0" w:space="0" w:color="auto"/>
      </w:divBdr>
    </w:div>
    <w:div w:id="1023901205">
      <w:bodyDiv w:val="1"/>
      <w:marLeft w:val="0"/>
      <w:marRight w:val="0"/>
      <w:marTop w:val="0"/>
      <w:marBottom w:val="0"/>
      <w:divBdr>
        <w:top w:val="none" w:sz="0" w:space="0" w:color="auto"/>
        <w:left w:val="none" w:sz="0" w:space="0" w:color="auto"/>
        <w:bottom w:val="none" w:sz="0" w:space="0" w:color="auto"/>
        <w:right w:val="none" w:sz="0" w:space="0" w:color="auto"/>
      </w:divBdr>
    </w:div>
    <w:div w:id="1041592950">
      <w:bodyDiv w:val="1"/>
      <w:marLeft w:val="0"/>
      <w:marRight w:val="0"/>
      <w:marTop w:val="0"/>
      <w:marBottom w:val="0"/>
      <w:divBdr>
        <w:top w:val="none" w:sz="0" w:space="0" w:color="auto"/>
        <w:left w:val="none" w:sz="0" w:space="0" w:color="auto"/>
        <w:bottom w:val="none" w:sz="0" w:space="0" w:color="auto"/>
        <w:right w:val="none" w:sz="0" w:space="0" w:color="auto"/>
      </w:divBdr>
    </w:div>
    <w:div w:id="1055592212">
      <w:bodyDiv w:val="1"/>
      <w:marLeft w:val="0"/>
      <w:marRight w:val="0"/>
      <w:marTop w:val="0"/>
      <w:marBottom w:val="0"/>
      <w:divBdr>
        <w:top w:val="none" w:sz="0" w:space="0" w:color="auto"/>
        <w:left w:val="none" w:sz="0" w:space="0" w:color="auto"/>
        <w:bottom w:val="none" w:sz="0" w:space="0" w:color="auto"/>
        <w:right w:val="none" w:sz="0" w:space="0" w:color="auto"/>
      </w:divBdr>
    </w:div>
    <w:div w:id="1062757422">
      <w:bodyDiv w:val="1"/>
      <w:marLeft w:val="0"/>
      <w:marRight w:val="0"/>
      <w:marTop w:val="0"/>
      <w:marBottom w:val="0"/>
      <w:divBdr>
        <w:top w:val="none" w:sz="0" w:space="0" w:color="auto"/>
        <w:left w:val="none" w:sz="0" w:space="0" w:color="auto"/>
        <w:bottom w:val="none" w:sz="0" w:space="0" w:color="auto"/>
        <w:right w:val="none" w:sz="0" w:space="0" w:color="auto"/>
      </w:divBdr>
    </w:div>
    <w:div w:id="1072852571">
      <w:bodyDiv w:val="1"/>
      <w:marLeft w:val="0"/>
      <w:marRight w:val="0"/>
      <w:marTop w:val="0"/>
      <w:marBottom w:val="0"/>
      <w:divBdr>
        <w:top w:val="none" w:sz="0" w:space="0" w:color="auto"/>
        <w:left w:val="none" w:sz="0" w:space="0" w:color="auto"/>
        <w:bottom w:val="none" w:sz="0" w:space="0" w:color="auto"/>
        <w:right w:val="none" w:sz="0" w:space="0" w:color="auto"/>
      </w:divBdr>
    </w:div>
    <w:div w:id="1079399591">
      <w:bodyDiv w:val="1"/>
      <w:marLeft w:val="0"/>
      <w:marRight w:val="0"/>
      <w:marTop w:val="0"/>
      <w:marBottom w:val="0"/>
      <w:divBdr>
        <w:top w:val="none" w:sz="0" w:space="0" w:color="auto"/>
        <w:left w:val="none" w:sz="0" w:space="0" w:color="auto"/>
        <w:bottom w:val="none" w:sz="0" w:space="0" w:color="auto"/>
        <w:right w:val="none" w:sz="0" w:space="0" w:color="auto"/>
      </w:divBdr>
    </w:div>
    <w:div w:id="1080516360">
      <w:bodyDiv w:val="1"/>
      <w:marLeft w:val="0"/>
      <w:marRight w:val="0"/>
      <w:marTop w:val="0"/>
      <w:marBottom w:val="0"/>
      <w:divBdr>
        <w:top w:val="none" w:sz="0" w:space="0" w:color="auto"/>
        <w:left w:val="none" w:sz="0" w:space="0" w:color="auto"/>
        <w:bottom w:val="none" w:sz="0" w:space="0" w:color="auto"/>
        <w:right w:val="none" w:sz="0" w:space="0" w:color="auto"/>
      </w:divBdr>
    </w:div>
    <w:div w:id="1080785941">
      <w:bodyDiv w:val="1"/>
      <w:marLeft w:val="0"/>
      <w:marRight w:val="0"/>
      <w:marTop w:val="0"/>
      <w:marBottom w:val="0"/>
      <w:divBdr>
        <w:top w:val="none" w:sz="0" w:space="0" w:color="auto"/>
        <w:left w:val="none" w:sz="0" w:space="0" w:color="auto"/>
        <w:bottom w:val="none" w:sz="0" w:space="0" w:color="auto"/>
        <w:right w:val="none" w:sz="0" w:space="0" w:color="auto"/>
      </w:divBdr>
    </w:div>
    <w:div w:id="1081758273">
      <w:bodyDiv w:val="1"/>
      <w:marLeft w:val="0"/>
      <w:marRight w:val="0"/>
      <w:marTop w:val="0"/>
      <w:marBottom w:val="0"/>
      <w:divBdr>
        <w:top w:val="none" w:sz="0" w:space="0" w:color="auto"/>
        <w:left w:val="none" w:sz="0" w:space="0" w:color="auto"/>
        <w:bottom w:val="none" w:sz="0" w:space="0" w:color="auto"/>
        <w:right w:val="none" w:sz="0" w:space="0" w:color="auto"/>
      </w:divBdr>
    </w:div>
    <w:div w:id="1089236627">
      <w:bodyDiv w:val="1"/>
      <w:marLeft w:val="0"/>
      <w:marRight w:val="0"/>
      <w:marTop w:val="0"/>
      <w:marBottom w:val="0"/>
      <w:divBdr>
        <w:top w:val="none" w:sz="0" w:space="0" w:color="auto"/>
        <w:left w:val="none" w:sz="0" w:space="0" w:color="auto"/>
        <w:bottom w:val="none" w:sz="0" w:space="0" w:color="auto"/>
        <w:right w:val="none" w:sz="0" w:space="0" w:color="auto"/>
      </w:divBdr>
    </w:div>
    <w:div w:id="1096558665">
      <w:bodyDiv w:val="1"/>
      <w:marLeft w:val="0"/>
      <w:marRight w:val="0"/>
      <w:marTop w:val="0"/>
      <w:marBottom w:val="0"/>
      <w:divBdr>
        <w:top w:val="none" w:sz="0" w:space="0" w:color="auto"/>
        <w:left w:val="none" w:sz="0" w:space="0" w:color="auto"/>
        <w:bottom w:val="none" w:sz="0" w:space="0" w:color="auto"/>
        <w:right w:val="none" w:sz="0" w:space="0" w:color="auto"/>
      </w:divBdr>
    </w:div>
    <w:div w:id="1100293465">
      <w:bodyDiv w:val="1"/>
      <w:marLeft w:val="0"/>
      <w:marRight w:val="0"/>
      <w:marTop w:val="0"/>
      <w:marBottom w:val="0"/>
      <w:divBdr>
        <w:top w:val="none" w:sz="0" w:space="0" w:color="auto"/>
        <w:left w:val="none" w:sz="0" w:space="0" w:color="auto"/>
        <w:bottom w:val="none" w:sz="0" w:space="0" w:color="auto"/>
        <w:right w:val="none" w:sz="0" w:space="0" w:color="auto"/>
      </w:divBdr>
    </w:div>
    <w:div w:id="1108816563">
      <w:bodyDiv w:val="1"/>
      <w:marLeft w:val="0"/>
      <w:marRight w:val="0"/>
      <w:marTop w:val="0"/>
      <w:marBottom w:val="0"/>
      <w:divBdr>
        <w:top w:val="none" w:sz="0" w:space="0" w:color="auto"/>
        <w:left w:val="none" w:sz="0" w:space="0" w:color="auto"/>
        <w:bottom w:val="none" w:sz="0" w:space="0" w:color="auto"/>
        <w:right w:val="none" w:sz="0" w:space="0" w:color="auto"/>
      </w:divBdr>
      <w:divsChild>
        <w:div w:id="1519269556">
          <w:marLeft w:val="0"/>
          <w:marRight w:val="0"/>
          <w:marTop w:val="0"/>
          <w:marBottom w:val="0"/>
          <w:divBdr>
            <w:top w:val="none" w:sz="0" w:space="0" w:color="auto"/>
            <w:left w:val="none" w:sz="0" w:space="0" w:color="auto"/>
            <w:bottom w:val="none" w:sz="0" w:space="0" w:color="auto"/>
            <w:right w:val="none" w:sz="0" w:space="0" w:color="auto"/>
          </w:divBdr>
          <w:divsChild>
            <w:div w:id="915475366">
              <w:marLeft w:val="0"/>
              <w:marRight w:val="0"/>
              <w:marTop w:val="0"/>
              <w:marBottom w:val="0"/>
              <w:divBdr>
                <w:top w:val="none" w:sz="0" w:space="0" w:color="auto"/>
                <w:left w:val="none" w:sz="0" w:space="0" w:color="auto"/>
                <w:bottom w:val="none" w:sz="0" w:space="0" w:color="auto"/>
                <w:right w:val="none" w:sz="0" w:space="0" w:color="auto"/>
              </w:divBdr>
              <w:divsChild>
                <w:div w:id="1342898701">
                  <w:marLeft w:val="0"/>
                  <w:marRight w:val="0"/>
                  <w:marTop w:val="0"/>
                  <w:marBottom w:val="0"/>
                  <w:divBdr>
                    <w:top w:val="none" w:sz="0" w:space="0" w:color="auto"/>
                    <w:left w:val="none" w:sz="0" w:space="0" w:color="auto"/>
                    <w:bottom w:val="none" w:sz="0" w:space="0" w:color="auto"/>
                    <w:right w:val="none" w:sz="0" w:space="0" w:color="auto"/>
                  </w:divBdr>
                  <w:divsChild>
                    <w:div w:id="1782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390902">
      <w:bodyDiv w:val="1"/>
      <w:marLeft w:val="0"/>
      <w:marRight w:val="0"/>
      <w:marTop w:val="0"/>
      <w:marBottom w:val="0"/>
      <w:divBdr>
        <w:top w:val="none" w:sz="0" w:space="0" w:color="auto"/>
        <w:left w:val="none" w:sz="0" w:space="0" w:color="auto"/>
        <w:bottom w:val="none" w:sz="0" w:space="0" w:color="auto"/>
        <w:right w:val="none" w:sz="0" w:space="0" w:color="auto"/>
      </w:divBdr>
    </w:div>
    <w:div w:id="1128859130">
      <w:bodyDiv w:val="1"/>
      <w:marLeft w:val="0"/>
      <w:marRight w:val="0"/>
      <w:marTop w:val="0"/>
      <w:marBottom w:val="0"/>
      <w:divBdr>
        <w:top w:val="none" w:sz="0" w:space="0" w:color="auto"/>
        <w:left w:val="none" w:sz="0" w:space="0" w:color="auto"/>
        <w:bottom w:val="none" w:sz="0" w:space="0" w:color="auto"/>
        <w:right w:val="none" w:sz="0" w:space="0" w:color="auto"/>
      </w:divBdr>
    </w:div>
    <w:div w:id="1130198641">
      <w:bodyDiv w:val="1"/>
      <w:marLeft w:val="0"/>
      <w:marRight w:val="0"/>
      <w:marTop w:val="0"/>
      <w:marBottom w:val="0"/>
      <w:divBdr>
        <w:top w:val="none" w:sz="0" w:space="0" w:color="auto"/>
        <w:left w:val="none" w:sz="0" w:space="0" w:color="auto"/>
        <w:bottom w:val="none" w:sz="0" w:space="0" w:color="auto"/>
        <w:right w:val="none" w:sz="0" w:space="0" w:color="auto"/>
      </w:divBdr>
    </w:div>
    <w:div w:id="1131943226">
      <w:bodyDiv w:val="1"/>
      <w:marLeft w:val="0"/>
      <w:marRight w:val="0"/>
      <w:marTop w:val="0"/>
      <w:marBottom w:val="0"/>
      <w:divBdr>
        <w:top w:val="none" w:sz="0" w:space="0" w:color="auto"/>
        <w:left w:val="none" w:sz="0" w:space="0" w:color="auto"/>
        <w:bottom w:val="none" w:sz="0" w:space="0" w:color="auto"/>
        <w:right w:val="none" w:sz="0" w:space="0" w:color="auto"/>
      </w:divBdr>
    </w:div>
    <w:div w:id="1138690069">
      <w:bodyDiv w:val="1"/>
      <w:marLeft w:val="0"/>
      <w:marRight w:val="0"/>
      <w:marTop w:val="0"/>
      <w:marBottom w:val="0"/>
      <w:divBdr>
        <w:top w:val="none" w:sz="0" w:space="0" w:color="auto"/>
        <w:left w:val="none" w:sz="0" w:space="0" w:color="auto"/>
        <w:bottom w:val="none" w:sz="0" w:space="0" w:color="auto"/>
        <w:right w:val="none" w:sz="0" w:space="0" w:color="auto"/>
      </w:divBdr>
    </w:div>
    <w:div w:id="1140150773">
      <w:bodyDiv w:val="1"/>
      <w:marLeft w:val="0"/>
      <w:marRight w:val="0"/>
      <w:marTop w:val="0"/>
      <w:marBottom w:val="0"/>
      <w:divBdr>
        <w:top w:val="none" w:sz="0" w:space="0" w:color="auto"/>
        <w:left w:val="none" w:sz="0" w:space="0" w:color="auto"/>
        <w:bottom w:val="none" w:sz="0" w:space="0" w:color="auto"/>
        <w:right w:val="none" w:sz="0" w:space="0" w:color="auto"/>
      </w:divBdr>
    </w:div>
    <w:div w:id="1141652230">
      <w:bodyDiv w:val="1"/>
      <w:marLeft w:val="0"/>
      <w:marRight w:val="0"/>
      <w:marTop w:val="0"/>
      <w:marBottom w:val="0"/>
      <w:divBdr>
        <w:top w:val="none" w:sz="0" w:space="0" w:color="auto"/>
        <w:left w:val="none" w:sz="0" w:space="0" w:color="auto"/>
        <w:bottom w:val="none" w:sz="0" w:space="0" w:color="auto"/>
        <w:right w:val="none" w:sz="0" w:space="0" w:color="auto"/>
      </w:divBdr>
    </w:div>
    <w:div w:id="1146973452">
      <w:bodyDiv w:val="1"/>
      <w:marLeft w:val="0"/>
      <w:marRight w:val="0"/>
      <w:marTop w:val="0"/>
      <w:marBottom w:val="0"/>
      <w:divBdr>
        <w:top w:val="none" w:sz="0" w:space="0" w:color="auto"/>
        <w:left w:val="none" w:sz="0" w:space="0" w:color="auto"/>
        <w:bottom w:val="none" w:sz="0" w:space="0" w:color="auto"/>
        <w:right w:val="none" w:sz="0" w:space="0" w:color="auto"/>
      </w:divBdr>
    </w:div>
    <w:div w:id="1157964007">
      <w:bodyDiv w:val="1"/>
      <w:marLeft w:val="0"/>
      <w:marRight w:val="0"/>
      <w:marTop w:val="0"/>
      <w:marBottom w:val="0"/>
      <w:divBdr>
        <w:top w:val="none" w:sz="0" w:space="0" w:color="auto"/>
        <w:left w:val="none" w:sz="0" w:space="0" w:color="auto"/>
        <w:bottom w:val="none" w:sz="0" w:space="0" w:color="auto"/>
        <w:right w:val="none" w:sz="0" w:space="0" w:color="auto"/>
      </w:divBdr>
    </w:div>
    <w:div w:id="1162968412">
      <w:bodyDiv w:val="1"/>
      <w:marLeft w:val="0"/>
      <w:marRight w:val="0"/>
      <w:marTop w:val="0"/>
      <w:marBottom w:val="0"/>
      <w:divBdr>
        <w:top w:val="none" w:sz="0" w:space="0" w:color="auto"/>
        <w:left w:val="none" w:sz="0" w:space="0" w:color="auto"/>
        <w:bottom w:val="none" w:sz="0" w:space="0" w:color="auto"/>
        <w:right w:val="none" w:sz="0" w:space="0" w:color="auto"/>
      </w:divBdr>
    </w:div>
    <w:div w:id="1174566814">
      <w:bodyDiv w:val="1"/>
      <w:marLeft w:val="0"/>
      <w:marRight w:val="0"/>
      <w:marTop w:val="0"/>
      <w:marBottom w:val="0"/>
      <w:divBdr>
        <w:top w:val="none" w:sz="0" w:space="0" w:color="auto"/>
        <w:left w:val="none" w:sz="0" w:space="0" w:color="auto"/>
        <w:bottom w:val="none" w:sz="0" w:space="0" w:color="auto"/>
        <w:right w:val="none" w:sz="0" w:space="0" w:color="auto"/>
      </w:divBdr>
    </w:div>
    <w:div w:id="1181352407">
      <w:bodyDiv w:val="1"/>
      <w:marLeft w:val="0"/>
      <w:marRight w:val="0"/>
      <w:marTop w:val="0"/>
      <w:marBottom w:val="0"/>
      <w:divBdr>
        <w:top w:val="none" w:sz="0" w:space="0" w:color="auto"/>
        <w:left w:val="none" w:sz="0" w:space="0" w:color="auto"/>
        <w:bottom w:val="none" w:sz="0" w:space="0" w:color="auto"/>
        <w:right w:val="none" w:sz="0" w:space="0" w:color="auto"/>
      </w:divBdr>
    </w:div>
    <w:div w:id="1189876566">
      <w:bodyDiv w:val="1"/>
      <w:marLeft w:val="0"/>
      <w:marRight w:val="0"/>
      <w:marTop w:val="0"/>
      <w:marBottom w:val="0"/>
      <w:divBdr>
        <w:top w:val="none" w:sz="0" w:space="0" w:color="auto"/>
        <w:left w:val="none" w:sz="0" w:space="0" w:color="auto"/>
        <w:bottom w:val="none" w:sz="0" w:space="0" w:color="auto"/>
        <w:right w:val="none" w:sz="0" w:space="0" w:color="auto"/>
      </w:divBdr>
    </w:div>
    <w:div w:id="1199974105">
      <w:bodyDiv w:val="1"/>
      <w:marLeft w:val="0"/>
      <w:marRight w:val="0"/>
      <w:marTop w:val="0"/>
      <w:marBottom w:val="0"/>
      <w:divBdr>
        <w:top w:val="none" w:sz="0" w:space="0" w:color="auto"/>
        <w:left w:val="none" w:sz="0" w:space="0" w:color="auto"/>
        <w:bottom w:val="none" w:sz="0" w:space="0" w:color="auto"/>
        <w:right w:val="none" w:sz="0" w:space="0" w:color="auto"/>
      </w:divBdr>
    </w:div>
    <w:div w:id="1202591830">
      <w:bodyDiv w:val="1"/>
      <w:marLeft w:val="0"/>
      <w:marRight w:val="0"/>
      <w:marTop w:val="0"/>
      <w:marBottom w:val="0"/>
      <w:divBdr>
        <w:top w:val="none" w:sz="0" w:space="0" w:color="auto"/>
        <w:left w:val="none" w:sz="0" w:space="0" w:color="auto"/>
        <w:bottom w:val="none" w:sz="0" w:space="0" w:color="auto"/>
        <w:right w:val="none" w:sz="0" w:space="0" w:color="auto"/>
      </w:divBdr>
    </w:div>
    <w:div w:id="1225457832">
      <w:bodyDiv w:val="1"/>
      <w:marLeft w:val="0"/>
      <w:marRight w:val="0"/>
      <w:marTop w:val="0"/>
      <w:marBottom w:val="0"/>
      <w:divBdr>
        <w:top w:val="none" w:sz="0" w:space="0" w:color="auto"/>
        <w:left w:val="none" w:sz="0" w:space="0" w:color="auto"/>
        <w:bottom w:val="none" w:sz="0" w:space="0" w:color="auto"/>
        <w:right w:val="none" w:sz="0" w:space="0" w:color="auto"/>
      </w:divBdr>
      <w:divsChild>
        <w:div w:id="38239072">
          <w:marLeft w:val="0"/>
          <w:marRight w:val="0"/>
          <w:marTop w:val="0"/>
          <w:marBottom w:val="0"/>
          <w:divBdr>
            <w:top w:val="none" w:sz="0" w:space="0" w:color="auto"/>
            <w:left w:val="none" w:sz="0" w:space="0" w:color="auto"/>
            <w:bottom w:val="none" w:sz="0" w:space="0" w:color="auto"/>
            <w:right w:val="none" w:sz="0" w:space="0" w:color="auto"/>
          </w:divBdr>
          <w:divsChild>
            <w:div w:id="111168774">
              <w:marLeft w:val="0"/>
              <w:marRight w:val="0"/>
              <w:marTop w:val="0"/>
              <w:marBottom w:val="240"/>
              <w:divBdr>
                <w:top w:val="none" w:sz="0" w:space="0" w:color="auto"/>
                <w:left w:val="none" w:sz="0" w:space="0" w:color="auto"/>
                <w:bottom w:val="none" w:sz="0" w:space="0" w:color="auto"/>
                <w:right w:val="none" w:sz="0" w:space="0" w:color="auto"/>
              </w:divBdr>
            </w:div>
            <w:div w:id="138771660">
              <w:marLeft w:val="0"/>
              <w:marRight w:val="0"/>
              <w:marTop w:val="0"/>
              <w:marBottom w:val="240"/>
              <w:divBdr>
                <w:top w:val="none" w:sz="0" w:space="0" w:color="auto"/>
                <w:left w:val="none" w:sz="0" w:space="0" w:color="auto"/>
                <w:bottom w:val="none" w:sz="0" w:space="0" w:color="auto"/>
                <w:right w:val="none" w:sz="0" w:space="0" w:color="auto"/>
              </w:divBdr>
            </w:div>
            <w:div w:id="144783782">
              <w:marLeft w:val="0"/>
              <w:marRight w:val="0"/>
              <w:marTop w:val="0"/>
              <w:marBottom w:val="240"/>
              <w:divBdr>
                <w:top w:val="none" w:sz="0" w:space="0" w:color="auto"/>
                <w:left w:val="none" w:sz="0" w:space="0" w:color="auto"/>
                <w:bottom w:val="none" w:sz="0" w:space="0" w:color="auto"/>
                <w:right w:val="none" w:sz="0" w:space="0" w:color="auto"/>
              </w:divBdr>
            </w:div>
            <w:div w:id="198976420">
              <w:marLeft w:val="0"/>
              <w:marRight w:val="0"/>
              <w:marTop w:val="0"/>
              <w:marBottom w:val="240"/>
              <w:divBdr>
                <w:top w:val="none" w:sz="0" w:space="0" w:color="auto"/>
                <w:left w:val="none" w:sz="0" w:space="0" w:color="auto"/>
                <w:bottom w:val="none" w:sz="0" w:space="0" w:color="auto"/>
                <w:right w:val="none" w:sz="0" w:space="0" w:color="auto"/>
              </w:divBdr>
            </w:div>
            <w:div w:id="219218783">
              <w:marLeft w:val="0"/>
              <w:marRight w:val="0"/>
              <w:marTop w:val="0"/>
              <w:marBottom w:val="240"/>
              <w:divBdr>
                <w:top w:val="none" w:sz="0" w:space="0" w:color="auto"/>
                <w:left w:val="none" w:sz="0" w:space="0" w:color="auto"/>
                <w:bottom w:val="none" w:sz="0" w:space="0" w:color="auto"/>
                <w:right w:val="none" w:sz="0" w:space="0" w:color="auto"/>
              </w:divBdr>
            </w:div>
            <w:div w:id="220024158">
              <w:marLeft w:val="0"/>
              <w:marRight w:val="0"/>
              <w:marTop w:val="0"/>
              <w:marBottom w:val="240"/>
              <w:divBdr>
                <w:top w:val="none" w:sz="0" w:space="0" w:color="auto"/>
                <w:left w:val="none" w:sz="0" w:space="0" w:color="auto"/>
                <w:bottom w:val="none" w:sz="0" w:space="0" w:color="auto"/>
                <w:right w:val="none" w:sz="0" w:space="0" w:color="auto"/>
              </w:divBdr>
            </w:div>
            <w:div w:id="239871819">
              <w:marLeft w:val="0"/>
              <w:marRight w:val="0"/>
              <w:marTop w:val="0"/>
              <w:marBottom w:val="240"/>
              <w:divBdr>
                <w:top w:val="none" w:sz="0" w:space="0" w:color="auto"/>
                <w:left w:val="none" w:sz="0" w:space="0" w:color="auto"/>
                <w:bottom w:val="none" w:sz="0" w:space="0" w:color="auto"/>
                <w:right w:val="none" w:sz="0" w:space="0" w:color="auto"/>
              </w:divBdr>
            </w:div>
            <w:div w:id="271936557">
              <w:marLeft w:val="0"/>
              <w:marRight w:val="0"/>
              <w:marTop w:val="0"/>
              <w:marBottom w:val="240"/>
              <w:divBdr>
                <w:top w:val="none" w:sz="0" w:space="0" w:color="auto"/>
                <w:left w:val="none" w:sz="0" w:space="0" w:color="auto"/>
                <w:bottom w:val="none" w:sz="0" w:space="0" w:color="auto"/>
                <w:right w:val="none" w:sz="0" w:space="0" w:color="auto"/>
              </w:divBdr>
            </w:div>
            <w:div w:id="300312319">
              <w:marLeft w:val="0"/>
              <w:marRight w:val="0"/>
              <w:marTop w:val="0"/>
              <w:marBottom w:val="240"/>
              <w:divBdr>
                <w:top w:val="none" w:sz="0" w:space="0" w:color="auto"/>
                <w:left w:val="none" w:sz="0" w:space="0" w:color="auto"/>
                <w:bottom w:val="none" w:sz="0" w:space="0" w:color="auto"/>
                <w:right w:val="none" w:sz="0" w:space="0" w:color="auto"/>
              </w:divBdr>
            </w:div>
            <w:div w:id="307705206">
              <w:marLeft w:val="0"/>
              <w:marRight w:val="0"/>
              <w:marTop w:val="0"/>
              <w:marBottom w:val="240"/>
              <w:divBdr>
                <w:top w:val="none" w:sz="0" w:space="0" w:color="auto"/>
                <w:left w:val="none" w:sz="0" w:space="0" w:color="auto"/>
                <w:bottom w:val="none" w:sz="0" w:space="0" w:color="auto"/>
                <w:right w:val="none" w:sz="0" w:space="0" w:color="auto"/>
              </w:divBdr>
            </w:div>
            <w:div w:id="325785758">
              <w:marLeft w:val="0"/>
              <w:marRight w:val="0"/>
              <w:marTop w:val="0"/>
              <w:marBottom w:val="0"/>
              <w:divBdr>
                <w:top w:val="none" w:sz="0" w:space="0" w:color="auto"/>
                <w:left w:val="none" w:sz="0" w:space="0" w:color="auto"/>
                <w:bottom w:val="none" w:sz="0" w:space="0" w:color="auto"/>
                <w:right w:val="none" w:sz="0" w:space="0" w:color="auto"/>
              </w:divBdr>
            </w:div>
            <w:div w:id="327751254">
              <w:marLeft w:val="0"/>
              <w:marRight w:val="0"/>
              <w:marTop w:val="0"/>
              <w:marBottom w:val="240"/>
              <w:divBdr>
                <w:top w:val="none" w:sz="0" w:space="0" w:color="auto"/>
                <w:left w:val="none" w:sz="0" w:space="0" w:color="auto"/>
                <w:bottom w:val="none" w:sz="0" w:space="0" w:color="auto"/>
                <w:right w:val="none" w:sz="0" w:space="0" w:color="auto"/>
              </w:divBdr>
            </w:div>
            <w:div w:id="377050804">
              <w:marLeft w:val="0"/>
              <w:marRight w:val="0"/>
              <w:marTop w:val="0"/>
              <w:marBottom w:val="240"/>
              <w:divBdr>
                <w:top w:val="none" w:sz="0" w:space="0" w:color="auto"/>
                <w:left w:val="none" w:sz="0" w:space="0" w:color="auto"/>
                <w:bottom w:val="none" w:sz="0" w:space="0" w:color="auto"/>
                <w:right w:val="none" w:sz="0" w:space="0" w:color="auto"/>
              </w:divBdr>
            </w:div>
            <w:div w:id="397214846">
              <w:marLeft w:val="0"/>
              <w:marRight w:val="0"/>
              <w:marTop w:val="0"/>
              <w:marBottom w:val="240"/>
              <w:divBdr>
                <w:top w:val="none" w:sz="0" w:space="0" w:color="auto"/>
                <w:left w:val="none" w:sz="0" w:space="0" w:color="auto"/>
                <w:bottom w:val="none" w:sz="0" w:space="0" w:color="auto"/>
                <w:right w:val="none" w:sz="0" w:space="0" w:color="auto"/>
              </w:divBdr>
            </w:div>
            <w:div w:id="433592192">
              <w:marLeft w:val="0"/>
              <w:marRight w:val="0"/>
              <w:marTop w:val="0"/>
              <w:marBottom w:val="240"/>
              <w:divBdr>
                <w:top w:val="none" w:sz="0" w:space="0" w:color="auto"/>
                <w:left w:val="none" w:sz="0" w:space="0" w:color="auto"/>
                <w:bottom w:val="none" w:sz="0" w:space="0" w:color="auto"/>
                <w:right w:val="none" w:sz="0" w:space="0" w:color="auto"/>
              </w:divBdr>
            </w:div>
            <w:div w:id="484277665">
              <w:marLeft w:val="0"/>
              <w:marRight w:val="0"/>
              <w:marTop w:val="0"/>
              <w:marBottom w:val="240"/>
              <w:divBdr>
                <w:top w:val="none" w:sz="0" w:space="0" w:color="auto"/>
                <w:left w:val="none" w:sz="0" w:space="0" w:color="auto"/>
                <w:bottom w:val="none" w:sz="0" w:space="0" w:color="auto"/>
                <w:right w:val="none" w:sz="0" w:space="0" w:color="auto"/>
              </w:divBdr>
            </w:div>
            <w:div w:id="488791923">
              <w:marLeft w:val="0"/>
              <w:marRight w:val="0"/>
              <w:marTop w:val="0"/>
              <w:marBottom w:val="240"/>
              <w:divBdr>
                <w:top w:val="none" w:sz="0" w:space="0" w:color="auto"/>
                <w:left w:val="none" w:sz="0" w:space="0" w:color="auto"/>
                <w:bottom w:val="none" w:sz="0" w:space="0" w:color="auto"/>
                <w:right w:val="none" w:sz="0" w:space="0" w:color="auto"/>
              </w:divBdr>
            </w:div>
            <w:div w:id="519202156">
              <w:marLeft w:val="0"/>
              <w:marRight w:val="0"/>
              <w:marTop w:val="0"/>
              <w:marBottom w:val="240"/>
              <w:divBdr>
                <w:top w:val="none" w:sz="0" w:space="0" w:color="auto"/>
                <w:left w:val="none" w:sz="0" w:space="0" w:color="auto"/>
                <w:bottom w:val="none" w:sz="0" w:space="0" w:color="auto"/>
                <w:right w:val="none" w:sz="0" w:space="0" w:color="auto"/>
              </w:divBdr>
            </w:div>
            <w:div w:id="593904943">
              <w:marLeft w:val="0"/>
              <w:marRight w:val="0"/>
              <w:marTop w:val="0"/>
              <w:marBottom w:val="240"/>
              <w:divBdr>
                <w:top w:val="none" w:sz="0" w:space="0" w:color="auto"/>
                <w:left w:val="none" w:sz="0" w:space="0" w:color="auto"/>
                <w:bottom w:val="none" w:sz="0" w:space="0" w:color="auto"/>
                <w:right w:val="none" w:sz="0" w:space="0" w:color="auto"/>
              </w:divBdr>
            </w:div>
            <w:div w:id="647980288">
              <w:marLeft w:val="0"/>
              <w:marRight w:val="0"/>
              <w:marTop w:val="0"/>
              <w:marBottom w:val="240"/>
              <w:divBdr>
                <w:top w:val="none" w:sz="0" w:space="0" w:color="auto"/>
                <w:left w:val="none" w:sz="0" w:space="0" w:color="auto"/>
                <w:bottom w:val="none" w:sz="0" w:space="0" w:color="auto"/>
                <w:right w:val="none" w:sz="0" w:space="0" w:color="auto"/>
              </w:divBdr>
            </w:div>
            <w:div w:id="667442471">
              <w:marLeft w:val="0"/>
              <w:marRight w:val="0"/>
              <w:marTop w:val="0"/>
              <w:marBottom w:val="240"/>
              <w:divBdr>
                <w:top w:val="none" w:sz="0" w:space="0" w:color="auto"/>
                <w:left w:val="none" w:sz="0" w:space="0" w:color="auto"/>
                <w:bottom w:val="none" w:sz="0" w:space="0" w:color="auto"/>
                <w:right w:val="none" w:sz="0" w:space="0" w:color="auto"/>
              </w:divBdr>
            </w:div>
            <w:div w:id="675619272">
              <w:marLeft w:val="0"/>
              <w:marRight w:val="0"/>
              <w:marTop w:val="0"/>
              <w:marBottom w:val="240"/>
              <w:divBdr>
                <w:top w:val="none" w:sz="0" w:space="0" w:color="auto"/>
                <w:left w:val="none" w:sz="0" w:space="0" w:color="auto"/>
                <w:bottom w:val="none" w:sz="0" w:space="0" w:color="auto"/>
                <w:right w:val="none" w:sz="0" w:space="0" w:color="auto"/>
              </w:divBdr>
            </w:div>
            <w:div w:id="689650208">
              <w:marLeft w:val="0"/>
              <w:marRight w:val="0"/>
              <w:marTop w:val="0"/>
              <w:marBottom w:val="240"/>
              <w:divBdr>
                <w:top w:val="none" w:sz="0" w:space="0" w:color="auto"/>
                <w:left w:val="none" w:sz="0" w:space="0" w:color="auto"/>
                <w:bottom w:val="none" w:sz="0" w:space="0" w:color="auto"/>
                <w:right w:val="none" w:sz="0" w:space="0" w:color="auto"/>
              </w:divBdr>
            </w:div>
            <w:div w:id="697662809">
              <w:marLeft w:val="0"/>
              <w:marRight w:val="0"/>
              <w:marTop w:val="0"/>
              <w:marBottom w:val="240"/>
              <w:divBdr>
                <w:top w:val="none" w:sz="0" w:space="0" w:color="auto"/>
                <w:left w:val="none" w:sz="0" w:space="0" w:color="auto"/>
                <w:bottom w:val="none" w:sz="0" w:space="0" w:color="auto"/>
                <w:right w:val="none" w:sz="0" w:space="0" w:color="auto"/>
              </w:divBdr>
            </w:div>
            <w:div w:id="740374302">
              <w:marLeft w:val="0"/>
              <w:marRight w:val="0"/>
              <w:marTop w:val="0"/>
              <w:marBottom w:val="240"/>
              <w:divBdr>
                <w:top w:val="none" w:sz="0" w:space="0" w:color="auto"/>
                <w:left w:val="none" w:sz="0" w:space="0" w:color="auto"/>
                <w:bottom w:val="none" w:sz="0" w:space="0" w:color="auto"/>
                <w:right w:val="none" w:sz="0" w:space="0" w:color="auto"/>
              </w:divBdr>
            </w:div>
            <w:div w:id="744181067">
              <w:marLeft w:val="0"/>
              <w:marRight w:val="0"/>
              <w:marTop w:val="0"/>
              <w:marBottom w:val="240"/>
              <w:divBdr>
                <w:top w:val="none" w:sz="0" w:space="0" w:color="auto"/>
                <w:left w:val="none" w:sz="0" w:space="0" w:color="auto"/>
                <w:bottom w:val="none" w:sz="0" w:space="0" w:color="auto"/>
                <w:right w:val="none" w:sz="0" w:space="0" w:color="auto"/>
              </w:divBdr>
            </w:div>
            <w:div w:id="764763249">
              <w:marLeft w:val="0"/>
              <w:marRight w:val="0"/>
              <w:marTop w:val="0"/>
              <w:marBottom w:val="240"/>
              <w:divBdr>
                <w:top w:val="none" w:sz="0" w:space="0" w:color="auto"/>
                <w:left w:val="none" w:sz="0" w:space="0" w:color="auto"/>
                <w:bottom w:val="none" w:sz="0" w:space="0" w:color="auto"/>
                <w:right w:val="none" w:sz="0" w:space="0" w:color="auto"/>
              </w:divBdr>
            </w:div>
            <w:div w:id="777020951">
              <w:marLeft w:val="0"/>
              <w:marRight w:val="0"/>
              <w:marTop w:val="0"/>
              <w:marBottom w:val="240"/>
              <w:divBdr>
                <w:top w:val="none" w:sz="0" w:space="0" w:color="auto"/>
                <w:left w:val="none" w:sz="0" w:space="0" w:color="auto"/>
                <w:bottom w:val="none" w:sz="0" w:space="0" w:color="auto"/>
                <w:right w:val="none" w:sz="0" w:space="0" w:color="auto"/>
              </w:divBdr>
            </w:div>
            <w:div w:id="820465979">
              <w:marLeft w:val="0"/>
              <w:marRight w:val="0"/>
              <w:marTop w:val="0"/>
              <w:marBottom w:val="240"/>
              <w:divBdr>
                <w:top w:val="none" w:sz="0" w:space="0" w:color="auto"/>
                <w:left w:val="none" w:sz="0" w:space="0" w:color="auto"/>
                <w:bottom w:val="none" w:sz="0" w:space="0" w:color="auto"/>
                <w:right w:val="none" w:sz="0" w:space="0" w:color="auto"/>
              </w:divBdr>
            </w:div>
            <w:div w:id="829252687">
              <w:marLeft w:val="0"/>
              <w:marRight w:val="0"/>
              <w:marTop w:val="0"/>
              <w:marBottom w:val="240"/>
              <w:divBdr>
                <w:top w:val="none" w:sz="0" w:space="0" w:color="auto"/>
                <w:left w:val="none" w:sz="0" w:space="0" w:color="auto"/>
                <w:bottom w:val="none" w:sz="0" w:space="0" w:color="auto"/>
                <w:right w:val="none" w:sz="0" w:space="0" w:color="auto"/>
              </w:divBdr>
            </w:div>
            <w:div w:id="843084387">
              <w:marLeft w:val="0"/>
              <w:marRight w:val="0"/>
              <w:marTop w:val="0"/>
              <w:marBottom w:val="240"/>
              <w:divBdr>
                <w:top w:val="none" w:sz="0" w:space="0" w:color="auto"/>
                <w:left w:val="none" w:sz="0" w:space="0" w:color="auto"/>
                <w:bottom w:val="none" w:sz="0" w:space="0" w:color="auto"/>
                <w:right w:val="none" w:sz="0" w:space="0" w:color="auto"/>
              </w:divBdr>
            </w:div>
            <w:div w:id="876965755">
              <w:marLeft w:val="0"/>
              <w:marRight w:val="0"/>
              <w:marTop w:val="0"/>
              <w:marBottom w:val="240"/>
              <w:divBdr>
                <w:top w:val="none" w:sz="0" w:space="0" w:color="auto"/>
                <w:left w:val="none" w:sz="0" w:space="0" w:color="auto"/>
                <w:bottom w:val="none" w:sz="0" w:space="0" w:color="auto"/>
                <w:right w:val="none" w:sz="0" w:space="0" w:color="auto"/>
              </w:divBdr>
            </w:div>
            <w:div w:id="893657007">
              <w:marLeft w:val="0"/>
              <w:marRight w:val="0"/>
              <w:marTop w:val="0"/>
              <w:marBottom w:val="240"/>
              <w:divBdr>
                <w:top w:val="none" w:sz="0" w:space="0" w:color="auto"/>
                <w:left w:val="none" w:sz="0" w:space="0" w:color="auto"/>
                <w:bottom w:val="none" w:sz="0" w:space="0" w:color="auto"/>
                <w:right w:val="none" w:sz="0" w:space="0" w:color="auto"/>
              </w:divBdr>
            </w:div>
            <w:div w:id="943146042">
              <w:marLeft w:val="0"/>
              <w:marRight w:val="0"/>
              <w:marTop w:val="0"/>
              <w:marBottom w:val="240"/>
              <w:divBdr>
                <w:top w:val="none" w:sz="0" w:space="0" w:color="auto"/>
                <w:left w:val="none" w:sz="0" w:space="0" w:color="auto"/>
                <w:bottom w:val="none" w:sz="0" w:space="0" w:color="auto"/>
                <w:right w:val="none" w:sz="0" w:space="0" w:color="auto"/>
              </w:divBdr>
            </w:div>
            <w:div w:id="980118975">
              <w:marLeft w:val="0"/>
              <w:marRight w:val="0"/>
              <w:marTop w:val="0"/>
              <w:marBottom w:val="240"/>
              <w:divBdr>
                <w:top w:val="none" w:sz="0" w:space="0" w:color="auto"/>
                <w:left w:val="none" w:sz="0" w:space="0" w:color="auto"/>
                <w:bottom w:val="none" w:sz="0" w:space="0" w:color="auto"/>
                <w:right w:val="none" w:sz="0" w:space="0" w:color="auto"/>
              </w:divBdr>
            </w:div>
            <w:div w:id="992951087">
              <w:marLeft w:val="0"/>
              <w:marRight w:val="0"/>
              <w:marTop w:val="0"/>
              <w:marBottom w:val="240"/>
              <w:divBdr>
                <w:top w:val="none" w:sz="0" w:space="0" w:color="auto"/>
                <w:left w:val="none" w:sz="0" w:space="0" w:color="auto"/>
                <w:bottom w:val="none" w:sz="0" w:space="0" w:color="auto"/>
                <w:right w:val="none" w:sz="0" w:space="0" w:color="auto"/>
              </w:divBdr>
            </w:div>
            <w:div w:id="1041591255">
              <w:marLeft w:val="0"/>
              <w:marRight w:val="0"/>
              <w:marTop w:val="0"/>
              <w:marBottom w:val="240"/>
              <w:divBdr>
                <w:top w:val="none" w:sz="0" w:space="0" w:color="auto"/>
                <w:left w:val="none" w:sz="0" w:space="0" w:color="auto"/>
                <w:bottom w:val="none" w:sz="0" w:space="0" w:color="auto"/>
                <w:right w:val="none" w:sz="0" w:space="0" w:color="auto"/>
              </w:divBdr>
            </w:div>
            <w:div w:id="1084183298">
              <w:marLeft w:val="0"/>
              <w:marRight w:val="0"/>
              <w:marTop w:val="0"/>
              <w:marBottom w:val="240"/>
              <w:divBdr>
                <w:top w:val="none" w:sz="0" w:space="0" w:color="auto"/>
                <w:left w:val="none" w:sz="0" w:space="0" w:color="auto"/>
                <w:bottom w:val="none" w:sz="0" w:space="0" w:color="auto"/>
                <w:right w:val="none" w:sz="0" w:space="0" w:color="auto"/>
              </w:divBdr>
            </w:div>
            <w:div w:id="1086998645">
              <w:marLeft w:val="0"/>
              <w:marRight w:val="0"/>
              <w:marTop w:val="0"/>
              <w:marBottom w:val="240"/>
              <w:divBdr>
                <w:top w:val="none" w:sz="0" w:space="0" w:color="auto"/>
                <w:left w:val="none" w:sz="0" w:space="0" w:color="auto"/>
                <w:bottom w:val="none" w:sz="0" w:space="0" w:color="auto"/>
                <w:right w:val="none" w:sz="0" w:space="0" w:color="auto"/>
              </w:divBdr>
            </w:div>
            <w:div w:id="1088236094">
              <w:marLeft w:val="0"/>
              <w:marRight w:val="0"/>
              <w:marTop w:val="0"/>
              <w:marBottom w:val="240"/>
              <w:divBdr>
                <w:top w:val="none" w:sz="0" w:space="0" w:color="auto"/>
                <w:left w:val="none" w:sz="0" w:space="0" w:color="auto"/>
                <w:bottom w:val="none" w:sz="0" w:space="0" w:color="auto"/>
                <w:right w:val="none" w:sz="0" w:space="0" w:color="auto"/>
              </w:divBdr>
            </w:div>
            <w:div w:id="1090933474">
              <w:marLeft w:val="0"/>
              <w:marRight w:val="0"/>
              <w:marTop w:val="0"/>
              <w:marBottom w:val="240"/>
              <w:divBdr>
                <w:top w:val="none" w:sz="0" w:space="0" w:color="auto"/>
                <w:left w:val="none" w:sz="0" w:space="0" w:color="auto"/>
                <w:bottom w:val="none" w:sz="0" w:space="0" w:color="auto"/>
                <w:right w:val="none" w:sz="0" w:space="0" w:color="auto"/>
              </w:divBdr>
            </w:div>
            <w:div w:id="1105882487">
              <w:marLeft w:val="0"/>
              <w:marRight w:val="0"/>
              <w:marTop w:val="0"/>
              <w:marBottom w:val="240"/>
              <w:divBdr>
                <w:top w:val="none" w:sz="0" w:space="0" w:color="auto"/>
                <w:left w:val="none" w:sz="0" w:space="0" w:color="auto"/>
                <w:bottom w:val="none" w:sz="0" w:space="0" w:color="auto"/>
                <w:right w:val="none" w:sz="0" w:space="0" w:color="auto"/>
              </w:divBdr>
            </w:div>
            <w:div w:id="1107968381">
              <w:marLeft w:val="0"/>
              <w:marRight w:val="0"/>
              <w:marTop w:val="0"/>
              <w:marBottom w:val="240"/>
              <w:divBdr>
                <w:top w:val="none" w:sz="0" w:space="0" w:color="auto"/>
                <w:left w:val="none" w:sz="0" w:space="0" w:color="auto"/>
                <w:bottom w:val="none" w:sz="0" w:space="0" w:color="auto"/>
                <w:right w:val="none" w:sz="0" w:space="0" w:color="auto"/>
              </w:divBdr>
            </w:div>
            <w:div w:id="1134831860">
              <w:marLeft w:val="0"/>
              <w:marRight w:val="0"/>
              <w:marTop w:val="0"/>
              <w:marBottom w:val="240"/>
              <w:divBdr>
                <w:top w:val="none" w:sz="0" w:space="0" w:color="auto"/>
                <w:left w:val="none" w:sz="0" w:space="0" w:color="auto"/>
                <w:bottom w:val="none" w:sz="0" w:space="0" w:color="auto"/>
                <w:right w:val="none" w:sz="0" w:space="0" w:color="auto"/>
              </w:divBdr>
            </w:div>
            <w:div w:id="1136072384">
              <w:marLeft w:val="0"/>
              <w:marRight w:val="0"/>
              <w:marTop w:val="0"/>
              <w:marBottom w:val="240"/>
              <w:divBdr>
                <w:top w:val="none" w:sz="0" w:space="0" w:color="auto"/>
                <w:left w:val="none" w:sz="0" w:space="0" w:color="auto"/>
                <w:bottom w:val="none" w:sz="0" w:space="0" w:color="auto"/>
                <w:right w:val="none" w:sz="0" w:space="0" w:color="auto"/>
              </w:divBdr>
            </w:div>
            <w:div w:id="1143308270">
              <w:marLeft w:val="0"/>
              <w:marRight w:val="0"/>
              <w:marTop w:val="0"/>
              <w:marBottom w:val="240"/>
              <w:divBdr>
                <w:top w:val="none" w:sz="0" w:space="0" w:color="auto"/>
                <w:left w:val="none" w:sz="0" w:space="0" w:color="auto"/>
                <w:bottom w:val="none" w:sz="0" w:space="0" w:color="auto"/>
                <w:right w:val="none" w:sz="0" w:space="0" w:color="auto"/>
              </w:divBdr>
            </w:div>
            <w:div w:id="1202671641">
              <w:marLeft w:val="0"/>
              <w:marRight w:val="0"/>
              <w:marTop w:val="0"/>
              <w:marBottom w:val="240"/>
              <w:divBdr>
                <w:top w:val="none" w:sz="0" w:space="0" w:color="auto"/>
                <w:left w:val="none" w:sz="0" w:space="0" w:color="auto"/>
                <w:bottom w:val="none" w:sz="0" w:space="0" w:color="auto"/>
                <w:right w:val="none" w:sz="0" w:space="0" w:color="auto"/>
              </w:divBdr>
            </w:div>
            <w:div w:id="1218082026">
              <w:marLeft w:val="0"/>
              <w:marRight w:val="0"/>
              <w:marTop w:val="0"/>
              <w:marBottom w:val="240"/>
              <w:divBdr>
                <w:top w:val="none" w:sz="0" w:space="0" w:color="auto"/>
                <w:left w:val="none" w:sz="0" w:space="0" w:color="auto"/>
                <w:bottom w:val="none" w:sz="0" w:space="0" w:color="auto"/>
                <w:right w:val="none" w:sz="0" w:space="0" w:color="auto"/>
              </w:divBdr>
            </w:div>
            <w:div w:id="1278025174">
              <w:marLeft w:val="0"/>
              <w:marRight w:val="0"/>
              <w:marTop w:val="0"/>
              <w:marBottom w:val="240"/>
              <w:divBdr>
                <w:top w:val="none" w:sz="0" w:space="0" w:color="auto"/>
                <w:left w:val="none" w:sz="0" w:space="0" w:color="auto"/>
                <w:bottom w:val="none" w:sz="0" w:space="0" w:color="auto"/>
                <w:right w:val="none" w:sz="0" w:space="0" w:color="auto"/>
              </w:divBdr>
            </w:div>
            <w:div w:id="1278760277">
              <w:marLeft w:val="0"/>
              <w:marRight w:val="0"/>
              <w:marTop w:val="0"/>
              <w:marBottom w:val="240"/>
              <w:divBdr>
                <w:top w:val="none" w:sz="0" w:space="0" w:color="auto"/>
                <w:left w:val="none" w:sz="0" w:space="0" w:color="auto"/>
                <w:bottom w:val="none" w:sz="0" w:space="0" w:color="auto"/>
                <w:right w:val="none" w:sz="0" w:space="0" w:color="auto"/>
              </w:divBdr>
            </w:div>
            <w:div w:id="1280381787">
              <w:marLeft w:val="0"/>
              <w:marRight w:val="0"/>
              <w:marTop w:val="0"/>
              <w:marBottom w:val="240"/>
              <w:divBdr>
                <w:top w:val="none" w:sz="0" w:space="0" w:color="auto"/>
                <w:left w:val="none" w:sz="0" w:space="0" w:color="auto"/>
                <w:bottom w:val="none" w:sz="0" w:space="0" w:color="auto"/>
                <w:right w:val="none" w:sz="0" w:space="0" w:color="auto"/>
              </w:divBdr>
            </w:div>
            <w:div w:id="1319580900">
              <w:marLeft w:val="0"/>
              <w:marRight w:val="0"/>
              <w:marTop w:val="0"/>
              <w:marBottom w:val="240"/>
              <w:divBdr>
                <w:top w:val="none" w:sz="0" w:space="0" w:color="auto"/>
                <w:left w:val="none" w:sz="0" w:space="0" w:color="auto"/>
                <w:bottom w:val="none" w:sz="0" w:space="0" w:color="auto"/>
                <w:right w:val="none" w:sz="0" w:space="0" w:color="auto"/>
              </w:divBdr>
            </w:div>
            <w:div w:id="1377848308">
              <w:marLeft w:val="0"/>
              <w:marRight w:val="0"/>
              <w:marTop w:val="0"/>
              <w:marBottom w:val="240"/>
              <w:divBdr>
                <w:top w:val="none" w:sz="0" w:space="0" w:color="auto"/>
                <w:left w:val="none" w:sz="0" w:space="0" w:color="auto"/>
                <w:bottom w:val="none" w:sz="0" w:space="0" w:color="auto"/>
                <w:right w:val="none" w:sz="0" w:space="0" w:color="auto"/>
              </w:divBdr>
            </w:div>
            <w:div w:id="1400203783">
              <w:marLeft w:val="0"/>
              <w:marRight w:val="0"/>
              <w:marTop w:val="0"/>
              <w:marBottom w:val="240"/>
              <w:divBdr>
                <w:top w:val="none" w:sz="0" w:space="0" w:color="auto"/>
                <w:left w:val="none" w:sz="0" w:space="0" w:color="auto"/>
                <w:bottom w:val="none" w:sz="0" w:space="0" w:color="auto"/>
                <w:right w:val="none" w:sz="0" w:space="0" w:color="auto"/>
              </w:divBdr>
            </w:div>
            <w:div w:id="1413816388">
              <w:marLeft w:val="0"/>
              <w:marRight w:val="0"/>
              <w:marTop w:val="0"/>
              <w:marBottom w:val="240"/>
              <w:divBdr>
                <w:top w:val="none" w:sz="0" w:space="0" w:color="auto"/>
                <w:left w:val="none" w:sz="0" w:space="0" w:color="auto"/>
                <w:bottom w:val="none" w:sz="0" w:space="0" w:color="auto"/>
                <w:right w:val="none" w:sz="0" w:space="0" w:color="auto"/>
              </w:divBdr>
            </w:div>
            <w:div w:id="1488593127">
              <w:marLeft w:val="0"/>
              <w:marRight w:val="0"/>
              <w:marTop w:val="0"/>
              <w:marBottom w:val="240"/>
              <w:divBdr>
                <w:top w:val="none" w:sz="0" w:space="0" w:color="auto"/>
                <w:left w:val="none" w:sz="0" w:space="0" w:color="auto"/>
                <w:bottom w:val="none" w:sz="0" w:space="0" w:color="auto"/>
                <w:right w:val="none" w:sz="0" w:space="0" w:color="auto"/>
              </w:divBdr>
            </w:div>
            <w:div w:id="1491093224">
              <w:marLeft w:val="0"/>
              <w:marRight w:val="0"/>
              <w:marTop w:val="0"/>
              <w:marBottom w:val="240"/>
              <w:divBdr>
                <w:top w:val="none" w:sz="0" w:space="0" w:color="auto"/>
                <w:left w:val="none" w:sz="0" w:space="0" w:color="auto"/>
                <w:bottom w:val="none" w:sz="0" w:space="0" w:color="auto"/>
                <w:right w:val="none" w:sz="0" w:space="0" w:color="auto"/>
              </w:divBdr>
            </w:div>
            <w:div w:id="1494223808">
              <w:marLeft w:val="0"/>
              <w:marRight w:val="0"/>
              <w:marTop w:val="0"/>
              <w:marBottom w:val="240"/>
              <w:divBdr>
                <w:top w:val="none" w:sz="0" w:space="0" w:color="auto"/>
                <w:left w:val="none" w:sz="0" w:space="0" w:color="auto"/>
                <w:bottom w:val="none" w:sz="0" w:space="0" w:color="auto"/>
                <w:right w:val="none" w:sz="0" w:space="0" w:color="auto"/>
              </w:divBdr>
            </w:div>
            <w:div w:id="1495561125">
              <w:marLeft w:val="0"/>
              <w:marRight w:val="0"/>
              <w:marTop w:val="0"/>
              <w:marBottom w:val="240"/>
              <w:divBdr>
                <w:top w:val="none" w:sz="0" w:space="0" w:color="auto"/>
                <w:left w:val="none" w:sz="0" w:space="0" w:color="auto"/>
                <w:bottom w:val="none" w:sz="0" w:space="0" w:color="auto"/>
                <w:right w:val="none" w:sz="0" w:space="0" w:color="auto"/>
              </w:divBdr>
            </w:div>
            <w:div w:id="1501656339">
              <w:marLeft w:val="0"/>
              <w:marRight w:val="0"/>
              <w:marTop w:val="0"/>
              <w:marBottom w:val="240"/>
              <w:divBdr>
                <w:top w:val="none" w:sz="0" w:space="0" w:color="auto"/>
                <w:left w:val="none" w:sz="0" w:space="0" w:color="auto"/>
                <w:bottom w:val="none" w:sz="0" w:space="0" w:color="auto"/>
                <w:right w:val="none" w:sz="0" w:space="0" w:color="auto"/>
              </w:divBdr>
            </w:div>
            <w:div w:id="1507674925">
              <w:marLeft w:val="0"/>
              <w:marRight w:val="0"/>
              <w:marTop w:val="0"/>
              <w:marBottom w:val="240"/>
              <w:divBdr>
                <w:top w:val="none" w:sz="0" w:space="0" w:color="auto"/>
                <w:left w:val="none" w:sz="0" w:space="0" w:color="auto"/>
                <w:bottom w:val="none" w:sz="0" w:space="0" w:color="auto"/>
                <w:right w:val="none" w:sz="0" w:space="0" w:color="auto"/>
              </w:divBdr>
            </w:div>
            <w:div w:id="1511480639">
              <w:marLeft w:val="0"/>
              <w:marRight w:val="0"/>
              <w:marTop w:val="0"/>
              <w:marBottom w:val="240"/>
              <w:divBdr>
                <w:top w:val="none" w:sz="0" w:space="0" w:color="auto"/>
                <w:left w:val="none" w:sz="0" w:space="0" w:color="auto"/>
                <w:bottom w:val="none" w:sz="0" w:space="0" w:color="auto"/>
                <w:right w:val="none" w:sz="0" w:space="0" w:color="auto"/>
              </w:divBdr>
            </w:div>
            <w:div w:id="1535342148">
              <w:marLeft w:val="0"/>
              <w:marRight w:val="0"/>
              <w:marTop w:val="0"/>
              <w:marBottom w:val="240"/>
              <w:divBdr>
                <w:top w:val="none" w:sz="0" w:space="0" w:color="auto"/>
                <w:left w:val="none" w:sz="0" w:space="0" w:color="auto"/>
                <w:bottom w:val="none" w:sz="0" w:space="0" w:color="auto"/>
                <w:right w:val="none" w:sz="0" w:space="0" w:color="auto"/>
              </w:divBdr>
            </w:div>
            <w:div w:id="1542934974">
              <w:marLeft w:val="0"/>
              <w:marRight w:val="0"/>
              <w:marTop w:val="0"/>
              <w:marBottom w:val="240"/>
              <w:divBdr>
                <w:top w:val="none" w:sz="0" w:space="0" w:color="auto"/>
                <w:left w:val="none" w:sz="0" w:space="0" w:color="auto"/>
                <w:bottom w:val="none" w:sz="0" w:space="0" w:color="auto"/>
                <w:right w:val="none" w:sz="0" w:space="0" w:color="auto"/>
              </w:divBdr>
            </w:div>
            <w:div w:id="1550914326">
              <w:marLeft w:val="0"/>
              <w:marRight w:val="0"/>
              <w:marTop w:val="0"/>
              <w:marBottom w:val="240"/>
              <w:divBdr>
                <w:top w:val="none" w:sz="0" w:space="0" w:color="auto"/>
                <w:left w:val="none" w:sz="0" w:space="0" w:color="auto"/>
                <w:bottom w:val="none" w:sz="0" w:space="0" w:color="auto"/>
                <w:right w:val="none" w:sz="0" w:space="0" w:color="auto"/>
              </w:divBdr>
            </w:div>
            <w:div w:id="1557082175">
              <w:marLeft w:val="0"/>
              <w:marRight w:val="0"/>
              <w:marTop w:val="0"/>
              <w:marBottom w:val="240"/>
              <w:divBdr>
                <w:top w:val="none" w:sz="0" w:space="0" w:color="auto"/>
                <w:left w:val="none" w:sz="0" w:space="0" w:color="auto"/>
                <w:bottom w:val="none" w:sz="0" w:space="0" w:color="auto"/>
                <w:right w:val="none" w:sz="0" w:space="0" w:color="auto"/>
              </w:divBdr>
            </w:div>
            <w:div w:id="1576892601">
              <w:marLeft w:val="0"/>
              <w:marRight w:val="0"/>
              <w:marTop w:val="0"/>
              <w:marBottom w:val="240"/>
              <w:divBdr>
                <w:top w:val="none" w:sz="0" w:space="0" w:color="auto"/>
                <w:left w:val="none" w:sz="0" w:space="0" w:color="auto"/>
                <w:bottom w:val="none" w:sz="0" w:space="0" w:color="auto"/>
                <w:right w:val="none" w:sz="0" w:space="0" w:color="auto"/>
              </w:divBdr>
            </w:div>
            <w:div w:id="1586718379">
              <w:marLeft w:val="0"/>
              <w:marRight w:val="0"/>
              <w:marTop w:val="0"/>
              <w:marBottom w:val="240"/>
              <w:divBdr>
                <w:top w:val="none" w:sz="0" w:space="0" w:color="auto"/>
                <w:left w:val="none" w:sz="0" w:space="0" w:color="auto"/>
                <w:bottom w:val="none" w:sz="0" w:space="0" w:color="auto"/>
                <w:right w:val="none" w:sz="0" w:space="0" w:color="auto"/>
              </w:divBdr>
            </w:div>
            <w:div w:id="1591427498">
              <w:marLeft w:val="0"/>
              <w:marRight w:val="0"/>
              <w:marTop w:val="0"/>
              <w:marBottom w:val="240"/>
              <w:divBdr>
                <w:top w:val="none" w:sz="0" w:space="0" w:color="auto"/>
                <w:left w:val="none" w:sz="0" w:space="0" w:color="auto"/>
                <w:bottom w:val="none" w:sz="0" w:space="0" w:color="auto"/>
                <w:right w:val="none" w:sz="0" w:space="0" w:color="auto"/>
              </w:divBdr>
            </w:div>
            <w:div w:id="1630164476">
              <w:marLeft w:val="0"/>
              <w:marRight w:val="0"/>
              <w:marTop w:val="0"/>
              <w:marBottom w:val="240"/>
              <w:divBdr>
                <w:top w:val="none" w:sz="0" w:space="0" w:color="auto"/>
                <w:left w:val="none" w:sz="0" w:space="0" w:color="auto"/>
                <w:bottom w:val="none" w:sz="0" w:space="0" w:color="auto"/>
                <w:right w:val="none" w:sz="0" w:space="0" w:color="auto"/>
              </w:divBdr>
            </w:div>
            <w:div w:id="1632898067">
              <w:marLeft w:val="0"/>
              <w:marRight w:val="0"/>
              <w:marTop w:val="0"/>
              <w:marBottom w:val="240"/>
              <w:divBdr>
                <w:top w:val="none" w:sz="0" w:space="0" w:color="auto"/>
                <w:left w:val="none" w:sz="0" w:space="0" w:color="auto"/>
                <w:bottom w:val="none" w:sz="0" w:space="0" w:color="auto"/>
                <w:right w:val="none" w:sz="0" w:space="0" w:color="auto"/>
              </w:divBdr>
            </w:div>
            <w:div w:id="1675954658">
              <w:marLeft w:val="0"/>
              <w:marRight w:val="0"/>
              <w:marTop w:val="0"/>
              <w:marBottom w:val="240"/>
              <w:divBdr>
                <w:top w:val="none" w:sz="0" w:space="0" w:color="auto"/>
                <w:left w:val="none" w:sz="0" w:space="0" w:color="auto"/>
                <w:bottom w:val="none" w:sz="0" w:space="0" w:color="auto"/>
                <w:right w:val="none" w:sz="0" w:space="0" w:color="auto"/>
              </w:divBdr>
            </w:div>
            <w:div w:id="1681001921">
              <w:marLeft w:val="0"/>
              <w:marRight w:val="0"/>
              <w:marTop w:val="0"/>
              <w:marBottom w:val="240"/>
              <w:divBdr>
                <w:top w:val="none" w:sz="0" w:space="0" w:color="auto"/>
                <w:left w:val="none" w:sz="0" w:space="0" w:color="auto"/>
                <w:bottom w:val="none" w:sz="0" w:space="0" w:color="auto"/>
                <w:right w:val="none" w:sz="0" w:space="0" w:color="auto"/>
              </w:divBdr>
            </w:div>
            <w:div w:id="1683165000">
              <w:marLeft w:val="0"/>
              <w:marRight w:val="0"/>
              <w:marTop w:val="0"/>
              <w:marBottom w:val="240"/>
              <w:divBdr>
                <w:top w:val="none" w:sz="0" w:space="0" w:color="auto"/>
                <w:left w:val="none" w:sz="0" w:space="0" w:color="auto"/>
                <w:bottom w:val="none" w:sz="0" w:space="0" w:color="auto"/>
                <w:right w:val="none" w:sz="0" w:space="0" w:color="auto"/>
              </w:divBdr>
            </w:div>
            <w:div w:id="1707174288">
              <w:marLeft w:val="0"/>
              <w:marRight w:val="0"/>
              <w:marTop w:val="0"/>
              <w:marBottom w:val="240"/>
              <w:divBdr>
                <w:top w:val="none" w:sz="0" w:space="0" w:color="auto"/>
                <w:left w:val="none" w:sz="0" w:space="0" w:color="auto"/>
                <w:bottom w:val="none" w:sz="0" w:space="0" w:color="auto"/>
                <w:right w:val="none" w:sz="0" w:space="0" w:color="auto"/>
              </w:divBdr>
            </w:div>
            <w:div w:id="1770272210">
              <w:marLeft w:val="0"/>
              <w:marRight w:val="0"/>
              <w:marTop w:val="0"/>
              <w:marBottom w:val="240"/>
              <w:divBdr>
                <w:top w:val="none" w:sz="0" w:space="0" w:color="auto"/>
                <w:left w:val="none" w:sz="0" w:space="0" w:color="auto"/>
                <w:bottom w:val="none" w:sz="0" w:space="0" w:color="auto"/>
                <w:right w:val="none" w:sz="0" w:space="0" w:color="auto"/>
              </w:divBdr>
            </w:div>
            <w:div w:id="1776123470">
              <w:marLeft w:val="0"/>
              <w:marRight w:val="0"/>
              <w:marTop w:val="0"/>
              <w:marBottom w:val="240"/>
              <w:divBdr>
                <w:top w:val="none" w:sz="0" w:space="0" w:color="auto"/>
                <w:left w:val="none" w:sz="0" w:space="0" w:color="auto"/>
                <w:bottom w:val="none" w:sz="0" w:space="0" w:color="auto"/>
                <w:right w:val="none" w:sz="0" w:space="0" w:color="auto"/>
              </w:divBdr>
            </w:div>
            <w:div w:id="1780951235">
              <w:marLeft w:val="0"/>
              <w:marRight w:val="0"/>
              <w:marTop w:val="0"/>
              <w:marBottom w:val="240"/>
              <w:divBdr>
                <w:top w:val="none" w:sz="0" w:space="0" w:color="auto"/>
                <w:left w:val="none" w:sz="0" w:space="0" w:color="auto"/>
                <w:bottom w:val="none" w:sz="0" w:space="0" w:color="auto"/>
                <w:right w:val="none" w:sz="0" w:space="0" w:color="auto"/>
              </w:divBdr>
            </w:div>
            <w:div w:id="1801609797">
              <w:marLeft w:val="0"/>
              <w:marRight w:val="0"/>
              <w:marTop w:val="0"/>
              <w:marBottom w:val="240"/>
              <w:divBdr>
                <w:top w:val="none" w:sz="0" w:space="0" w:color="auto"/>
                <w:left w:val="none" w:sz="0" w:space="0" w:color="auto"/>
                <w:bottom w:val="none" w:sz="0" w:space="0" w:color="auto"/>
                <w:right w:val="none" w:sz="0" w:space="0" w:color="auto"/>
              </w:divBdr>
            </w:div>
            <w:div w:id="1808470747">
              <w:marLeft w:val="0"/>
              <w:marRight w:val="0"/>
              <w:marTop w:val="0"/>
              <w:marBottom w:val="240"/>
              <w:divBdr>
                <w:top w:val="none" w:sz="0" w:space="0" w:color="auto"/>
                <w:left w:val="none" w:sz="0" w:space="0" w:color="auto"/>
                <w:bottom w:val="none" w:sz="0" w:space="0" w:color="auto"/>
                <w:right w:val="none" w:sz="0" w:space="0" w:color="auto"/>
              </w:divBdr>
            </w:div>
            <w:div w:id="1831866325">
              <w:marLeft w:val="0"/>
              <w:marRight w:val="0"/>
              <w:marTop w:val="0"/>
              <w:marBottom w:val="240"/>
              <w:divBdr>
                <w:top w:val="none" w:sz="0" w:space="0" w:color="auto"/>
                <w:left w:val="none" w:sz="0" w:space="0" w:color="auto"/>
                <w:bottom w:val="none" w:sz="0" w:space="0" w:color="auto"/>
                <w:right w:val="none" w:sz="0" w:space="0" w:color="auto"/>
              </w:divBdr>
            </w:div>
            <w:div w:id="1849902108">
              <w:marLeft w:val="0"/>
              <w:marRight w:val="0"/>
              <w:marTop w:val="0"/>
              <w:marBottom w:val="240"/>
              <w:divBdr>
                <w:top w:val="none" w:sz="0" w:space="0" w:color="auto"/>
                <w:left w:val="none" w:sz="0" w:space="0" w:color="auto"/>
                <w:bottom w:val="none" w:sz="0" w:space="0" w:color="auto"/>
                <w:right w:val="none" w:sz="0" w:space="0" w:color="auto"/>
              </w:divBdr>
            </w:div>
            <w:div w:id="1893809482">
              <w:marLeft w:val="0"/>
              <w:marRight w:val="0"/>
              <w:marTop w:val="0"/>
              <w:marBottom w:val="240"/>
              <w:divBdr>
                <w:top w:val="none" w:sz="0" w:space="0" w:color="auto"/>
                <w:left w:val="none" w:sz="0" w:space="0" w:color="auto"/>
                <w:bottom w:val="none" w:sz="0" w:space="0" w:color="auto"/>
                <w:right w:val="none" w:sz="0" w:space="0" w:color="auto"/>
              </w:divBdr>
            </w:div>
            <w:div w:id="1903297819">
              <w:marLeft w:val="0"/>
              <w:marRight w:val="0"/>
              <w:marTop w:val="0"/>
              <w:marBottom w:val="240"/>
              <w:divBdr>
                <w:top w:val="none" w:sz="0" w:space="0" w:color="auto"/>
                <w:left w:val="none" w:sz="0" w:space="0" w:color="auto"/>
                <w:bottom w:val="none" w:sz="0" w:space="0" w:color="auto"/>
                <w:right w:val="none" w:sz="0" w:space="0" w:color="auto"/>
              </w:divBdr>
            </w:div>
            <w:div w:id="1926915027">
              <w:marLeft w:val="0"/>
              <w:marRight w:val="0"/>
              <w:marTop w:val="0"/>
              <w:marBottom w:val="240"/>
              <w:divBdr>
                <w:top w:val="none" w:sz="0" w:space="0" w:color="auto"/>
                <w:left w:val="none" w:sz="0" w:space="0" w:color="auto"/>
                <w:bottom w:val="none" w:sz="0" w:space="0" w:color="auto"/>
                <w:right w:val="none" w:sz="0" w:space="0" w:color="auto"/>
              </w:divBdr>
            </w:div>
            <w:div w:id="1930581439">
              <w:marLeft w:val="0"/>
              <w:marRight w:val="0"/>
              <w:marTop w:val="0"/>
              <w:marBottom w:val="240"/>
              <w:divBdr>
                <w:top w:val="none" w:sz="0" w:space="0" w:color="auto"/>
                <w:left w:val="none" w:sz="0" w:space="0" w:color="auto"/>
                <w:bottom w:val="none" w:sz="0" w:space="0" w:color="auto"/>
                <w:right w:val="none" w:sz="0" w:space="0" w:color="auto"/>
              </w:divBdr>
            </w:div>
            <w:div w:id="1957447000">
              <w:marLeft w:val="0"/>
              <w:marRight w:val="0"/>
              <w:marTop w:val="0"/>
              <w:marBottom w:val="240"/>
              <w:divBdr>
                <w:top w:val="none" w:sz="0" w:space="0" w:color="auto"/>
                <w:left w:val="none" w:sz="0" w:space="0" w:color="auto"/>
                <w:bottom w:val="none" w:sz="0" w:space="0" w:color="auto"/>
                <w:right w:val="none" w:sz="0" w:space="0" w:color="auto"/>
              </w:divBdr>
            </w:div>
            <w:div w:id="1993176143">
              <w:marLeft w:val="0"/>
              <w:marRight w:val="0"/>
              <w:marTop w:val="0"/>
              <w:marBottom w:val="240"/>
              <w:divBdr>
                <w:top w:val="none" w:sz="0" w:space="0" w:color="auto"/>
                <w:left w:val="none" w:sz="0" w:space="0" w:color="auto"/>
                <w:bottom w:val="none" w:sz="0" w:space="0" w:color="auto"/>
                <w:right w:val="none" w:sz="0" w:space="0" w:color="auto"/>
              </w:divBdr>
            </w:div>
            <w:div w:id="1999262467">
              <w:marLeft w:val="0"/>
              <w:marRight w:val="0"/>
              <w:marTop w:val="0"/>
              <w:marBottom w:val="240"/>
              <w:divBdr>
                <w:top w:val="none" w:sz="0" w:space="0" w:color="auto"/>
                <w:left w:val="none" w:sz="0" w:space="0" w:color="auto"/>
                <w:bottom w:val="none" w:sz="0" w:space="0" w:color="auto"/>
                <w:right w:val="none" w:sz="0" w:space="0" w:color="auto"/>
              </w:divBdr>
            </w:div>
            <w:div w:id="2055351570">
              <w:marLeft w:val="0"/>
              <w:marRight w:val="0"/>
              <w:marTop w:val="0"/>
              <w:marBottom w:val="240"/>
              <w:divBdr>
                <w:top w:val="none" w:sz="0" w:space="0" w:color="auto"/>
                <w:left w:val="none" w:sz="0" w:space="0" w:color="auto"/>
                <w:bottom w:val="none" w:sz="0" w:space="0" w:color="auto"/>
                <w:right w:val="none" w:sz="0" w:space="0" w:color="auto"/>
              </w:divBdr>
            </w:div>
            <w:div w:id="213968657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27376365">
      <w:bodyDiv w:val="1"/>
      <w:marLeft w:val="0"/>
      <w:marRight w:val="0"/>
      <w:marTop w:val="0"/>
      <w:marBottom w:val="0"/>
      <w:divBdr>
        <w:top w:val="none" w:sz="0" w:space="0" w:color="auto"/>
        <w:left w:val="none" w:sz="0" w:space="0" w:color="auto"/>
        <w:bottom w:val="none" w:sz="0" w:space="0" w:color="auto"/>
        <w:right w:val="none" w:sz="0" w:space="0" w:color="auto"/>
      </w:divBdr>
    </w:div>
    <w:div w:id="1228612714">
      <w:bodyDiv w:val="1"/>
      <w:marLeft w:val="0"/>
      <w:marRight w:val="0"/>
      <w:marTop w:val="0"/>
      <w:marBottom w:val="0"/>
      <w:divBdr>
        <w:top w:val="none" w:sz="0" w:space="0" w:color="auto"/>
        <w:left w:val="none" w:sz="0" w:space="0" w:color="auto"/>
        <w:bottom w:val="none" w:sz="0" w:space="0" w:color="auto"/>
        <w:right w:val="none" w:sz="0" w:space="0" w:color="auto"/>
      </w:divBdr>
    </w:div>
    <w:div w:id="1242644203">
      <w:bodyDiv w:val="1"/>
      <w:marLeft w:val="0"/>
      <w:marRight w:val="0"/>
      <w:marTop w:val="0"/>
      <w:marBottom w:val="0"/>
      <w:divBdr>
        <w:top w:val="none" w:sz="0" w:space="0" w:color="auto"/>
        <w:left w:val="none" w:sz="0" w:space="0" w:color="auto"/>
        <w:bottom w:val="none" w:sz="0" w:space="0" w:color="auto"/>
        <w:right w:val="none" w:sz="0" w:space="0" w:color="auto"/>
      </w:divBdr>
    </w:div>
    <w:div w:id="1248005804">
      <w:bodyDiv w:val="1"/>
      <w:marLeft w:val="0"/>
      <w:marRight w:val="0"/>
      <w:marTop w:val="0"/>
      <w:marBottom w:val="0"/>
      <w:divBdr>
        <w:top w:val="none" w:sz="0" w:space="0" w:color="auto"/>
        <w:left w:val="none" w:sz="0" w:space="0" w:color="auto"/>
        <w:bottom w:val="none" w:sz="0" w:space="0" w:color="auto"/>
        <w:right w:val="none" w:sz="0" w:space="0" w:color="auto"/>
      </w:divBdr>
      <w:divsChild>
        <w:div w:id="370153252">
          <w:marLeft w:val="0"/>
          <w:marRight w:val="0"/>
          <w:marTop w:val="0"/>
          <w:marBottom w:val="0"/>
          <w:divBdr>
            <w:top w:val="none" w:sz="0" w:space="0" w:color="auto"/>
            <w:left w:val="none" w:sz="0" w:space="0" w:color="auto"/>
            <w:bottom w:val="none" w:sz="0" w:space="0" w:color="auto"/>
            <w:right w:val="none" w:sz="0" w:space="0" w:color="auto"/>
          </w:divBdr>
          <w:divsChild>
            <w:div w:id="1628508839">
              <w:marLeft w:val="0"/>
              <w:marRight w:val="0"/>
              <w:marTop w:val="0"/>
              <w:marBottom w:val="0"/>
              <w:divBdr>
                <w:top w:val="none" w:sz="0" w:space="0" w:color="auto"/>
                <w:left w:val="none" w:sz="0" w:space="0" w:color="auto"/>
                <w:bottom w:val="none" w:sz="0" w:space="0" w:color="auto"/>
                <w:right w:val="none" w:sz="0" w:space="0" w:color="auto"/>
              </w:divBdr>
              <w:divsChild>
                <w:div w:id="176548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895505">
      <w:bodyDiv w:val="1"/>
      <w:marLeft w:val="0"/>
      <w:marRight w:val="0"/>
      <w:marTop w:val="0"/>
      <w:marBottom w:val="0"/>
      <w:divBdr>
        <w:top w:val="none" w:sz="0" w:space="0" w:color="auto"/>
        <w:left w:val="none" w:sz="0" w:space="0" w:color="auto"/>
        <w:bottom w:val="none" w:sz="0" w:space="0" w:color="auto"/>
        <w:right w:val="none" w:sz="0" w:space="0" w:color="auto"/>
      </w:divBdr>
    </w:div>
    <w:div w:id="1270695627">
      <w:bodyDiv w:val="1"/>
      <w:marLeft w:val="0"/>
      <w:marRight w:val="0"/>
      <w:marTop w:val="0"/>
      <w:marBottom w:val="0"/>
      <w:divBdr>
        <w:top w:val="none" w:sz="0" w:space="0" w:color="auto"/>
        <w:left w:val="none" w:sz="0" w:space="0" w:color="auto"/>
        <w:bottom w:val="none" w:sz="0" w:space="0" w:color="auto"/>
        <w:right w:val="none" w:sz="0" w:space="0" w:color="auto"/>
      </w:divBdr>
    </w:div>
    <w:div w:id="1276791682">
      <w:bodyDiv w:val="1"/>
      <w:marLeft w:val="0"/>
      <w:marRight w:val="0"/>
      <w:marTop w:val="0"/>
      <w:marBottom w:val="0"/>
      <w:divBdr>
        <w:top w:val="none" w:sz="0" w:space="0" w:color="auto"/>
        <w:left w:val="none" w:sz="0" w:space="0" w:color="auto"/>
        <w:bottom w:val="none" w:sz="0" w:space="0" w:color="auto"/>
        <w:right w:val="none" w:sz="0" w:space="0" w:color="auto"/>
      </w:divBdr>
    </w:div>
    <w:div w:id="1278171663">
      <w:bodyDiv w:val="1"/>
      <w:marLeft w:val="0"/>
      <w:marRight w:val="0"/>
      <w:marTop w:val="0"/>
      <w:marBottom w:val="0"/>
      <w:divBdr>
        <w:top w:val="none" w:sz="0" w:space="0" w:color="auto"/>
        <w:left w:val="none" w:sz="0" w:space="0" w:color="auto"/>
        <w:bottom w:val="none" w:sz="0" w:space="0" w:color="auto"/>
        <w:right w:val="none" w:sz="0" w:space="0" w:color="auto"/>
      </w:divBdr>
    </w:div>
    <w:div w:id="1284193896">
      <w:bodyDiv w:val="1"/>
      <w:marLeft w:val="0"/>
      <w:marRight w:val="0"/>
      <w:marTop w:val="0"/>
      <w:marBottom w:val="0"/>
      <w:divBdr>
        <w:top w:val="none" w:sz="0" w:space="0" w:color="auto"/>
        <w:left w:val="none" w:sz="0" w:space="0" w:color="auto"/>
        <w:bottom w:val="none" w:sz="0" w:space="0" w:color="auto"/>
        <w:right w:val="none" w:sz="0" w:space="0" w:color="auto"/>
      </w:divBdr>
    </w:div>
    <w:div w:id="1285843944">
      <w:bodyDiv w:val="1"/>
      <w:marLeft w:val="0"/>
      <w:marRight w:val="0"/>
      <w:marTop w:val="0"/>
      <w:marBottom w:val="0"/>
      <w:divBdr>
        <w:top w:val="none" w:sz="0" w:space="0" w:color="auto"/>
        <w:left w:val="none" w:sz="0" w:space="0" w:color="auto"/>
        <w:bottom w:val="none" w:sz="0" w:space="0" w:color="auto"/>
        <w:right w:val="none" w:sz="0" w:space="0" w:color="auto"/>
      </w:divBdr>
    </w:div>
    <w:div w:id="1285963094">
      <w:bodyDiv w:val="1"/>
      <w:marLeft w:val="0"/>
      <w:marRight w:val="0"/>
      <w:marTop w:val="0"/>
      <w:marBottom w:val="0"/>
      <w:divBdr>
        <w:top w:val="none" w:sz="0" w:space="0" w:color="auto"/>
        <w:left w:val="none" w:sz="0" w:space="0" w:color="auto"/>
        <w:bottom w:val="none" w:sz="0" w:space="0" w:color="auto"/>
        <w:right w:val="none" w:sz="0" w:space="0" w:color="auto"/>
      </w:divBdr>
      <w:divsChild>
        <w:div w:id="1864247582">
          <w:marLeft w:val="0"/>
          <w:marRight w:val="0"/>
          <w:marTop w:val="0"/>
          <w:marBottom w:val="0"/>
          <w:divBdr>
            <w:top w:val="none" w:sz="0" w:space="0" w:color="auto"/>
            <w:left w:val="none" w:sz="0" w:space="0" w:color="auto"/>
            <w:bottom w:val="none" w:sz="0" w:space="0" w:color="auto"/>
            <w:right w:val="none" w:sz="0" w:space="0" w:color="auto"/>
          </w:divBdr>
          <w:divsChild>
            <w:div w:id="1007900504">
              <w:marLeft w:val="0"/>
              <w:marRight w:val="0"/>
              <w:marTop w:val="0"/>
              <w:marBottom w:val="0"/>
              <w:divBdr>
                <w:top w:val="none" w:sz="0" w:space="0" w:color="auto"/>
                <w:left w:val="none" w:sz="0" w:space="0" w:color="auto"/>
                <w:bottom w:val="none" w:sz="0" w:space="0" w:color="auto"/>
                <w:right w:val="none" w:sz="0" w:space="0" w:color="auto"/>
              </w:divBdr>
              <w:divsChild>
                <w:div w:id="1815024429">
                  <w:marLeft w:val="0"/>
                  <w:marRight w:val="0"/>
                  <w:marTop w:val="0"/>
                  <w:marBottom w:val="0"/>
                  <w:divBdr>
                    <w:top w:val="none" w:sz="0" w:space="0" w:color="auto"/>
                    <w:left w:val="none" w:sz="0" w:space="0" w:color="auto"/>
                    <w:bottom w:val="none" w:sz="0" w:space="0" w:color="auto"/>
                    <w:right w:val="none" w:sz="0" w:space="0" w:color="auto"/>
                  </w:divBdr>
                  <w:divsChild>
                    <w:div w:id="1603685200">
                      <w:marLeft w:val="0"/>
                      <w:marRight w:val="0"/>
                      <w:marTop w:val="0"/>
                      <w:marBottom w:val="0"/>
                      <w:divBdr>
                        <w:top w:val="none" w:sz="0" w:space="0" w:color="auto"/>
                        <w:left w:val="none" w:sz="0" w:space="0" w:color="auto"/>
                        <w:bottom w:val="none" w:sz="0" w:space="0" w:color="auto"/>
                        <w:right w:val="none" w:sz="0" w:space="0" w:color="auto"/>
                      </w:divBdr>
                      <w:divsChild>
                        <w:div w:id="934364848">
                          <w:marLeft w:val="0"/>
                          <w:marRight w:val="0"/>
                          <w:marTop w:val="0"/>
                          <w:marBottom w:val="0"/>
                          <w:divBdr>
                            <w:top w:val="none" w:sz="0" w:space="0" w:color="auto"/>
                            <w:left w:val="none" w:sz="0" w:space="0" w:color="auto"/>
                            <w:bottom w:val="none" w:sz="0" w:space="0" w:color="auto"/>
                            <w:right w:val="none" w:sz="0" w:space="0" w:color="auto"/>
                          </w:divBdr>
                          <w:divsChild>
                            <w:div w:id="2025668484">
                              <w:marLeft w:val="0"/>
                              <w:marRight w:val="0"/>
                              <w:marTop w:val="0"/>
                              <w:marBottom w:val="0"/>
                              <w:divBdr>
                                <w:top w:val="none" w:sz="0" w:space="0" w:color="auto"/>
                                <w:left w:val="none" w:sz="0" w:space="0" w:color="auto"/>
                                <w:bottom w:val="none" w:sz="0" w:space="0" w:color="auto"/>
                                <w:right w:val="none" w:sz="0" w:space="0" w:color="auto"/>
                              </w:divBdr>
                              <w:divsChild>
                                <w:div w:id="590820465">
                                  <w:marLeft w:val="0"/>
                                  <w:marRight w:val="0"/>
                                  <w:marTop w:val="0"/>
                                  <w:marBottom w:val="0"/>
                                  <w:divBdr>
                                    <w:top w:val="none" w:sz="0" w:space="0" w:color="auto"/>
                                    <w:left w:val="none" w:sz="0" w:space="0" w:color="auto"/>
                                    <w:bottom w:val="none" w:sz="0" w:space="0" w:color="auto"/>
                                    <w:right w:val="none" w:sz="0" w:space="0" w:color="auto"/>
                                  </w:divBdr>
                                  <w:divsChild>
                                    <w:div w:id="1194269081">
                                      <w:marLeft w:val="0"/>
                                      <w:marRight w:val="0"/>
                                      <w:marTop w:val="0"/>
                                      <w:marBottom w:val="0"/>
                                      <w:divBdr>
                                        <w:top w:val="none" w:sz="0" w:space="0" w:color="auto"/>
                                        <w:left w:val="none" w:sz="0" w:space="0" w:color="auto"/>
                                        <w:bottom w:val="none" w:sz="0" w:space="0" w:color="auto"/>
                                        <w:right w:val="none" w:sz="0" w:space="0" w:color="auto"/>
                                      </w:divBdr>
                                      <w:divsChild>
                                        <w:div w:id="2095585974">
                                          <w:marLeft w:val="0"/>
                                          <w:marRight w:val="0"/>
                                          <w:marTop w:val="0"/>
                                          <w:marBottom w:val="0"/>
                                          <w:divBdr>
                                            <w:top w:val="none" w:sz="0" w:space="0" w:color="auto"/>
                                            <w:left w:val="none" w:sz="0" w:space="0" w:color="auto"/>
                                            <w:bottom w:val="none" w:sz="0" w:space="0" w:color="auto"/>
                                            <w:right w:val="none" w:sz="0" w:space="0" w:color="auto"/>
                                          </w:divBdr>
                                          <w:divsChild>
                                            <w:div w:id="1594391397">
                                              <w:marLeft w:val="0"/>
                                              <w:marRight w:val="0"/>
                                              <w:marTop w:val="0"/>
                                              <w:marBottom w:val="0"/>
                                              <w:divBdr>
                                                <w:top w:val="none" w:sz="0" w:space="0" w:color="auto"/>
                                                <w:left w:val="none" w:sz="0" w:space="0" w:color="auto"/>
                                                <w:bottom w:val="none" w:sz="0" w:space="0" w:color="auto"/>
                                                <w:right w:val="none" w:sz="0" w:space="0" w:color="auto"/>
                                              </w:divBdr>
                                              <w:divsChild>
                                                <w:div w:id="127012050">
                                                  <w:marLeft w:val="0"/>
                                                  <w:marRight w:val="0"/>
                                                  <w:marTop w:val="0"/>
                                                  <w:marBottom w:val="0"/>
                                                  <w:divBdr>
                                                    <w:top w:val="none" w:sz="0" w:space="0" w:color="auto"/>
                                                    <w:left w:val="none" w:sz="0" w:space="0" w:color="auto"/>
                                                    <w:bottom w:val="none" w:sz="0" w:space="0" w:color="auto"/>
                                                    <w:right w:val="none" w:sz="0" w:space="0" w:color="auto"/>
                                                  </w:divBdr>
                                                  <w:divsChild>
                                                    <w:div w:id="93860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1634980">
          <w:marLeft w:val="0"/>
          <w:marRight w:val="0"/>
          <w:marTop w:val="0"/>
          <w:marBottom w:val="0"/>
          <w:divBdr>
            <w:top w:val="none" w:sz="0" w:space="0" w:color="auto"/>
            <w:left w:val="none" w:sz="0" w:space="0" w:color="auto"/>
            <w:bottom w:val="none" w:sz="0" w:space="0" w:color="auto"/>
            <w:right w:val="none" w:sz="0" w:space="0" w:color="auto"/>
          </w:divBdr>
          <w:divsChild>
            <w:div w:id="127362434">
              <w:marLeft w:val="0"/>
              <w:marRight w:val="0"/>
              <w:marTop w:val="0"/>
              <w:marBottom w:val="0"/>
              <w:divBdr>
                <w:top w:val="none" w:sz="0" w:space="0" w:color="auto"/>
                <w:left w:val="none" w:sz="0" w:space="0" w:color="auto"/>
                <w:bottom w:val="none" w:sz="0" w:space="0" w:color="auto"/>
                <w:right w:val="none" w:sz="0" w:space="0" w:color="auto"/>
              </w:divBdr>
              <w:divsChild>
                <w:div w:id="108474975">
                  <w:marLeft w:val="0"/>
                  <w:marRight w:val="0"/>
                  <w:marTop w:val="0"/>
                  <w:marBottom w:val="0"/>
                  <w:divBdr>
                    <w:top w:val="none" w:sz="0" w:space="0" w:color="auto"/>
                    <w:left w:val="none" w:sz="0" w:space="0" w:color="auto"/>
                    <w:bottom w:val="none" w:sz="0" w:space="0" w:color="auto"/>
                    <w:right w:val="none" w:sz="0" w:space="0" w:color="auto"/>
                  </w:divBdr>
                  <w:divsChild>
                    <w:div w:id="503324631">
                      <w:marLeft w:val="0"/>
                      <w:marRight w:val="0"/>
                      <w:marTop w:val="0"/>
                      <w:marBottom w:val="0"/>
                      <w:divBdr>
                        <w:top w:val="none" w:sz="0" w:space="0" w:color="auto"/>
                        <w:left w:val="none" w:sz="0" w:space="0" w:color="auto"/>
                        <w:bottom w:val="none" w:sz="0" w:space="0" w:color="auto"/>
                        <w:right w:val="none" w:sz="0" w:space="0" w:color="auto"/>
                      </w:divBdr>
                      <w:divsChild>
                        <w:div w:id="230819007">
                          <w:marLeft w:val="0"/>
                          <w:marRight w:val="0"/>
                          <w:marTop w:val="0"/>
                          <w:marBottom w:val="0"/>
                          <w:divBdr>
                            <w:top w:val="none" w:sz="0" w:space="0" w:color="auto"/>
                            <w:left w:val="none" w:sz="0" w:space="0" w:color="auto"/>
                            <w:bottom w:val="none" w:sz="0" w:space="0" w:color="auto"/>
                            <w:right w:val="none" w:sz="0" w:space="0" w:color="auto"/>
                          </w:divBdr>
                          <w:divsChild>
                            <w:div w:id="1494445004">
                              <w:marLeft w:val="0"/>
                              <w:marRight w:val="0"/>
                              <w:marTop w:val="0"/>
                              <w:marBottom w:val="0"/>
                              <w:divBdr>
                                <w:top w:val="none" w:sz="0" w:space="0" w:color="auto"/>
                                <w:left w:val="none" w:sz="0" w:space="0" w:color="auto"/>
                                <w:bottom w:val="none" w:sz="0" w:space="0" w:color="auto"/>
                                <w:right w:val="none" w:sz="0" w:space="0" w:color="auto"/>
                              </w:divBdr>
                              <w:divsChild>
                                <w:div w:id="1393768257">
                                  <w:marLeft w:val="0"/>
                                  <w:marRight w:val="0"/>
                                  <w:marTop w:val="0"/>
                                  <w:marBottom w:val="0"/>
                                  <w:divBdr>
                                    <w:top w:val="none" w:sz="0" w:space="0" w:color="auto"/>
                                    <w:left w:val="none" w:sz="0" w:space="0" w:color="auto"/>
                                    <w:bottom w:val="none" w:sz="0" w:space="0" w:color="auto"/>
                                    <w:right w:val="none" w:sz="0" w:space="0" w:color="auto"/>
                                  </w:divBdr>
                                  <w:divsChild>
                                    <w:div w:id="8870063">
                                      <w:marLeft w:val="0"/>
                                      <w:marRight w:val="0"/>
                                      <w:marTop w:val="0"/>
                                      <w:marBottom w:val="0"/>
                                      <w:divBdr>
                                        <w:top w:val="none" w:sz="0" w:space="0" w:color="auto"/>
                                        <w:left w:val="none" w:sz="0" w:space="0" w:color="auto"/>
                                        <w:bottom w:val="none" w:sz="0" w:space="0" w:color="auto"/>
                                        <w:right w:val="none" w:sz="0" w:space="0" w:color="auto"/>
                                      </w:divBdr>
                                      <w:divsChild>
                                        <w:div w:id="1387532526">
                                          <w:marLeft w:val="0"/>
                                          <w:marRight w:val="0"/>
                                          <w:marTop w:val="0"/>
                                          <w:marBottom w:val="0"/>
                                          <w:divBdr>
                                            <w:top w:val="none" w:sz="0" w:space="0" w:color="auto"/>
                                            <w:left w:val="none" w:sz="0" w:space="0" w:color="auto"/>
                                            <w:bottom w:val="none" w:sz="0" w:space="0" w:color="auto"/>
                                            <w:right w:val="none" w:sz="0" w:space="0" w:color="auto"/>
                                          </w:divBdr>
                                          <w:divsChild>
                                            <w:div w:id="843398574">
                                              <w:marLeft w:val="0"/>
                                              <w:marRight w:val="0"/>
                                              <w:marTop w:val="0"/>
                                              <w:marBottom w:val="0"/>
                                              <w:divBdr>
                                                <w:top w:val="none" w:sz="0" w:space="0" w:color="auto"/>
                                                <w:left w:val="none" w:sz="0" w:space="0" w:color="auto"/>
                                                <w:bottom w:val="none" w:sz="0" w:space="0" w:color="auto"/>
                                                <w:right w:val="none" w:sz="0" w:space="0" w:color="auto"/>
                                              </w:divBdr>
                                              <w:divsChild>
                                                <w:div w:id="355932964">
                                                  <w:marLeft w:val="0"/>
                                                  <w:marRight w:val="0"/>
                                                  <w:marTop w:val="0"/>
                                                  <w:marBottom w:val="0"/>
                                                  <w:divBdr>
                                                    <w:top w:val="none" w:sz="0" w:space="0" w:color="auto"/>
                                                    <w:left w:val="none" w:sz="0" w:space="0" w:color="auto"/>
                                                    <w:bottom w:val="none" w:sz="0" w:space="0" w:color="auto"/>
                                                    <w:right w:val="none" w:sz="0" w:space="0" w:color="auto"/>
                                                  </w:divBdr>
                                                  <w:divsChild>
                                                    <w:div w:id="360742891">
                                                      <w:marLeft w:val="0"/>
                                                      <w:marRight w:val="0"/>
                                                      <w:marTop w:val="0"/>
                                                      <w:marBottom w:val="0"/>
                                                      <w:divBdr>
                                                        <w:top w:val="none" w:sz="0" w:space="0" w:color="auto"/>
                                                        <w:left w:val="none" w:sz="0" w:space="0" w:color="auto"/>
                                                        <w:bottom w:val="none" w:sz="0" w:space="0" w:color="auto"/>
                                                        <w:right w:val="none" w:sz="0" w:space="0" w:color="auto"/>
                                                      </w:divBdr>
                                                      <w:divsChild>
                                                        <w:div w:id="1783760850">
                                                          <w:marLeft w:val="0"/>
                                                          <w:marRight w:val="0"/>
                                                          <w:marTop w:val="0"/>
                                                          <w:marBottom w:val="0"/>
                                                          <w:divBdr>
                                                            <w:top w:val="none" w:sz="0" w:space="0" w:color="auto"/>
                                                            <w:left w:val="none" w:sz="0" w:space="0" w:color="auto"/>
                                                            <w:bottom w:val="none" w:sz="0" w:space="0" w:color="auto"/>
                                                            <w:right w:val="none" w:sz="0" w:space="0" w:color="auto"/>
                                                          </w:divBdr>
                                                          <w:divsChild>
                                                            <w:div w:id="2106417725">
                                                              <w:marLeft w:val="0"/>
                                                              <w:marRight w:val="0"/>
                                                              <w:marTop w:val="0"/>
                                                              <w:marBottom w:val="0"/>
                                                              <w:divBdr>
                                                                <w:top w:val="none" w:sz="0" w:space="0" w:color="auto"/>
                                                                <w:left w:val="none" w:sz="0" w:space="0" w:color="auto"/>
                                                                <w:bottom w:val="none" w:sz="0" w:space="0" w:color="auto"/>
                                                                <w:right w:val="none" w:sz="0" w:space="0" w:color="auto"/>
                                                              </w:divBdr>
                                                              <w:divsChild>
                                                                <w:div w:id="200928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89169204">
      <w:bodyDiv w:val="1"/>
      <w:marLeft w:val="0"/>
      <w:marRight w:val="0"/>
      <w:marTop w:val="0"/>
      <w:marBottom w:val="0"/>
      <w:divBdr>
        <w:top w:val="none" w:sz="0" w:space="0" w:color="auto"/>
        <w:left w:val="none" w:sz="0" w:space="0" w:color="auto"/>
        <w:bottom w:val="none" w:sz="0" w:space="0" w:color="auto"/>
        <w:right w:val="none" w:sz="0" w:space="0" w:color="auto"/>
      </w:divBdr>
    </w:div>
    <w:div w:id="1290430060">
      <w:bodyDiv w:val="1"/>
      <w:marLeft w:val="0"/>
      <w:marRight w:val="0"/>
      <w:marTop w:val="0"/>
      <w:marBottom w:val="0"/>
      <w:divBdr>
        <w:top w:val="none" w:sz="0" w:space="0" w:color="auto"/>
        <w:left w:val="none" w:sz="0" w:space="0" w:color="auto"/>
        <w:bottom w:val="none" w:sz="0" w:space="0" w:color="auto"/>
        <w:right w:val="none" w:sz="0" w:space="0" w:color="auto"/>
      </w:divBdr>
    </w:div>
    <w:div w:id="1296059621">
      <w:bodyDiv w:val="1"/>
      <w:marLeft w:val="0"/>
      <w:marRight w:val="0"/>
      <w:marTop w:val="0"/>
      <w:marBottom w:val="0"/>
      <w:divBdr>
        <w:top w:val="none" w:sz="0" w:space="0" w:color="auto"/>
        <w:left w:val="none" w:sz="0" w:space="0" w:color="auto"/>
        <w:bottom w:val="none" w:sz="0" w:space="0" w:color="auto"/>
        <w:right w:val="none" w:sz="0" w:space="0" w:color="auto"/>
      </w:divBdr>
    </w:div>
    <w:div w:id="1298072830">
      <w:bodyDiv w:val="1"/>
      <w:marLeft w:val="0"/>
      <w:marRight w:val="0"/>
      <w:marTop w:val="0"/>
      <w:marBottom w:val="0"/>
      <w:divBdr>
        <w:top w:val="none" w:sz="0" w:space="0" w:color="auto"/>
        <w:left w:val="none" w:sz="0" w:space="0" w:color="auto"/>
        <w:bottom w:val="none" w:sz="0" w:space="0" w:color="auto"/>
        <w:right w:val="none" w:sz="0" w:space="0" w:color="auto"/>
      </w:divBdr>
      <w:divsChild>
        <w:div w:id="421340896">
          <w:marLeft w:val="600"/>
          <w:marRight w:val="0"/>
          <w:marTop w:val="0"/>
          <w:marBottom w:val="0"/>
          <w:divBdr>
            <w:top w:val="none" w:sz="0" w:space="0" w:color="auto"/>
            <w:left w:val="none" w:sz="0" w:space="0" w:color="auto"/>
            <w:bottom w:val="none" w:sz="0" w:space="0" w:color="auto"/>
            <w:right w:val="none" w:sz="0" w:space="0" w:color="auto"/>
          </w:divBdr>
        </w:div>
        <w:div w:id="433288716">
          <w:marLeft w:val="1200"/>
          <w:marRight w:val="0"/>
          <w:marTop w:val="0"/>
          <w:marBottom w:val="0"/>
          <w:divBdr>
            <w:top w:val="none" w:sz="0" w:space="0" w:color="auto"/>
            <w:left w:val="none" w:sz="0" w:space="0" w:color="auto"/>
            <w:bottom w:val="none" w:sz="0" w:space="0" w:color="auto"/>
            <w:right w:val="none" w:sz="0" w:space="0" w:color="auto"/>
          </w:divBdr>
        </w:div>
        <w:div w:id="834077848">
          <w:marLeft w:val="1200"/>
          <w:marRight w:val="0"/>
          <w:marTop w:val="0"/>
          <w:marBottom w:val="0"/>
          <w:divBdr>
            <w:top w:val="none" w:sz="0" w:space="0" w:color="auto"/>
            <w:left w:val="none" w:sz="0" w:space="0" w:color="auto"/>
            <w:bottom w:val="none" w:sz="0" w:space="0" w:color="auto"/>
            <w:right w:val="none" w:sz="0" w:space="0" w:color="auto"/>
          </w:divBdr>
        </w:div>
        <w:div w:id="1015613938">
          <w:marLeft w:val="0"/>
          <w:marRight w:val="0"/>
          <w:marTop w:val="0"/>
          <w:marBottom w:val="0"/>
          <w:divBdr>
            <w:top w:val="none" w:sz="0" w:space="0" w:color="auto"/>
            <w:left w:val="none" w:sz="0" w:space="0" w:color="auto"/>
            <w:bottom w:val="none" w:sz="0" w:space="0" w:color="auto"/>
            <w:right w:val="none" w:sz="0" w:space="0" w:color="auto"/>
          </w:divBdr>
        </w:div>
        <w:div w:id="1158837731">
          <w:marLeft w:val="1200"/>
          <w:marRight w:val="0"/>
          <w:marTop w:val="0"/>
          <w:marBottom w:val="0"/>
          <w:divBdr>
            <w:top w:val="none" w:sz="0" w:space="0" w:color="auto"/>
            <w:left w:val="none" w:sz="0" w:space="0" w:color="auto"/>
            <w:bottom w:val="none" w:sz="0" w:space="0" w:color="auto"/>
            <w:right w:val="none" w:sz="0" w:space="0" w:color="auto"/>
          </w:divBdr>
        </w:div>
        <w:div w:id="1365443427">
          <w:marLeft w:val="1200"/>
          <w:marRight w:val="0"/>
          <w:marTop w:val="0"/>
          <w:marBottom w:val="0"/>
          <w:divBdr>
            <w:top w:val="none" w:sz="0" w:space="0" w:color="auto"/>
            <w:left w:val="none" w:sz="0" w:space="0" w:color="auto"/>
            <w:bottom w:val="none" w:sz="0" w:space="0" w:color="auto"/>
            <w:right w:val="none" w:sz="0" w:space="0" w:color="auto"/>
          </w:divBdr>
        </w:div>
        <w:div w:id="1480734565">
          <w:marLeft w:val="1200"/>
          <w:marRight w:val="0"/>
          <w:marTop w:val="0"/>
          <w:marBottom w:val="0"/>
          <w:divBdr>
            <w:top w:val="none" w:sz="0" w:space="0" w:color="auto"/>
            <w:left w:val="none" w:sz="0" w:space="0" w:color="auto"/>
            <w:bottom w:val="none" w:sz="0" w:space="0" w:color="auto"/>
            <w:right w:val="none" w:sz="0" w:space="0" w:color="auto"/>
          </w:divBdr>
        </w:div>
        <w:div w:id="1818717474">
          <w:marLeft w:val="1200"/>
          <w:marRight w:val="0"/>
          <w:marTop w:val="0"/>
          <w:marBottom w:val="0"/>
          <w:divBdr>
            <w:top w:val="none" w:sz="0" w:space="0" w:color="auto"/>
            <w:left w:val="none" w:sz="0" w:space="0" w:color="auto"/>
            <w:bottom w:val="none" w:sz="0" w:space="0" w:color="auto"/>
            <w:right w:val="none" w:sz="0" w:space="0" w:color="auto"/>
          </w:divBdr>
        </w:div>
        <w:div w:id="1849906960">
          <w:marLeft w:val="600"/>
          <w:marRight w:val="0"/>
          <w:marTop w:val="0"/>
          <w:marBottom w:val="0"/>
          <w:divBdr>
            <w:top w:val="none" w:sz="0" w:space="0" w:color="auto"/>
            <w:left w:val="none" w:sz="0" w:space="0" w:color="auto"/>
            <w:bottom w:val="none" w:sz="0" w:space="0" w:color="auto"/>
            <w:right w:val="none" w:sz="0" w:space="0" w:color="auto"/>
          </w:divBdr>
        </w:div>
        <w:div w:id="1854493571">
          <w:marLeft w:val="600"/>
          <w:marRight w:val="0"/>
          <w:marTop w:val="0"/>
          <w:marBottom w:val="0"/>
          <w:divBdr>
            <w:top w:val="none" w:sz="0" w:space="0" w:color="auto"/>
            <w:left w:val="none" w:sz="0" w:space="0" w:color="auto"/>
            <w:bottom w:val="none" w:sz="0" w:space="0" w:color="auto"/>
            <w:right w:val="none" w:sz="0" w:space="0" w:color="auto"/>
          </w:divBdr>
        </w:div>
      </w:divsChild>
    </w:div>
    <w:div w:id="1321696150">
      <w:bodyDiv w:val="1"/>
      <w:marLeft w:val="0"/>
      <w:marRight w:val="0"/>
      <w:marTop w:val="0"/>
      <w:marBottom w:val="0"/>
      <w:divBdr>
        <w:top w:val="none" w:sz="0" w:space="0" w:color="auto"/>
        <w:left w:val="none" w:sz="0" w:space="0" w:color="auto"/>
        <w:bottom w:val="none" w:sz="0" w:space="0" w:color="auto"/>
        <w:right w:val="none" w:sz="0" w:space="0" w:color="auto"/>
      </w:divBdr>
    </w:div>
    <w:div w:id="1322657892">
      <w:bodyDiv w:val="1"/>
      <w:marLeft w:val="0"/>
      <w:marRight w:val="0"/>
      <w:marTop w:val="0"/>
      <w:marBottom w:val="0"/>
      <w:divBdr>
        <w:top w:val="none" w:sz="0" w:space="0" w:color="auto"/>
        <w:left w:val="none" w:sz="0" w:space="0" w:color="auto"/>
        <w:bottom w:val="none" w:sz="0" w:space="0" w:color="auto"/>
        <w:right w:val="none" w:sz="0" w:space="0" w:color="auto"/>
      </w:divBdr>
      <w:divsChild>
        <w:div w:id="1797212968">
          <w:marLeft w:val="0"/>
          <w:marRight w:val="0"/>
          <w:marTop w:val="0"/>
          <w:marBottom w:val="0"/>
          <w:divBdr>
            <w:top w:val="none" w:sz="0" w:space="0" w:color="auto"/>
            <w:left w:val="none" w:sz="0" w:space="0" w:color="auto"/>
            <w:bottom w:val="none" w:sz="0" w:space="0" w:color="auto"/>
            <w:right w:val="none" w:sz="0" w:space="0" w:color="auto"/>
          </w:divBdr>
          <w:divsChild>
            <w:div w:id="410809205">
              <w:marLeft w:val="0"/>
              <w:marRight w:val="0"/>
              <w:marTop w:val="0"/>
              <w:marBottom w:val="0"/>
              <w:divBdr>
                <w:top w:val="none" w:sz="0" w:space="0" w:color="auto"/>
                <w:left w:val="none" w:sz="0" w:space="0" w:color="auto"/>
                <w:bottom w:val="none" w:sz="0" w:space="0" w:color="auto"/>
                <w:right w:val="none" w:sz="0" w:space="0" w:color="auto"/>
              </w:divBdr>
              <w:divsChild>
                <w:div w:id="1052653959">
                  <w:marLeft w:val="0"/>
                  <w:marRight w:val="0"/>
                  <w:marTop w:val="0"/>
                  <w:marBottom w:val="0"/>
                  <w:divBdr>
                    <w:top w:val="none" w:sz="0" w:space="0" w:color="auto"/>
                    <w:left w:val="none" w:sz="0" w:space="0" w:color="auto"/>
                    <w:bottom w:val="none" w:sz="0" w:space="0" w:color="auto"/>
                    <w:right w:val="none" w:sz="0" w:space="0" w:color="auto"/>
                  </w:divBdr>
                  <w:divsChild>
                    <w:div w:id="85311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036471">
      <w:bodyDiv w:val="1"/>
      <w:marLeft w:val="0"/>
      <w:marRight w:val="0"/>
      <w:marTop w:val="0"/>
      <w:marBottom w:val="0"/>
      <w:divBdr>
        <w:top w:val="none" w:sz="0" w:space="0" w:color="auto"/>
        <w:left w:val="none" w:sz="0" w:space="0" w:color="auto"/>
        <w:bottom w:val="none" w:sz="0" w:space="0" w:color="auto"/>
        <w:right w:val="none" w:sz="0" w:space="0" w:color="auto"/>
      </w:divBdr>
    </w:div>
    <w:div w:id="1342781556">
      <w:bodyDiv w:val="1"/>
      <w:marLeft w:val="0"/>
      <w:marRight w:val="0"/>
      <w:marTop w:val="0"/>
      <w:marBottom w:val="0"/>
      <w:divBdr>
        <w:top w:val="none" w:sz="0" w:space="0" w:color="auto"/>
        <w:left w:val="none" w:sz="0" w:space="0" w:color="auto"/>
        <w:bottom w:val="none" w:sz="0" w:space="0" w:color="auto"/>
        <w:right w:val="none" w:sz="0" w:space="0" w:color="auto"/>
      </w:divBdr>
    </w:div>
    <w:div w:id="1358115403">
      <w:bodyDiv w:val="1"/>
      <w:marLeft w:val="0"/>
      <w:marRight w:val="0"/>
      <w:marTop w:val="0"/>
      <w:marBottom w:val="0"/>
      <w:divBdr>
        <w:top w:val="none" w:sz="0" w:space="0" w:color="auto"/>
        <w:left w:val="none" w:sz="0" w:space="0" w:color="auto"/>
        <w:bottom w:val="none" w:sz="0" w:space="0" w:color="auto"/>
        <w:right w:val="none" w:sz="0" w:space="0" w:color="auto"/>
      </w:divBdr>
    </w:div>
    <w:div w:id="1359742019">
      <w:bodyDiv w:val="1"/>
      <w:marLeft w:val="0"/>
      <w:marRight w:val="0"/>
      <w:marTop w:val="0"/>
      <w:marBottom w:val="0"/>
      <w:divBdr>
        <w:top w:val="none" w:sz="0" w:space="0" w:color="auto"/>
        <w:left w:val="none" w:sz="0" w:space="0" w:color="auto"/>
        <w:bottom w:val="none" w:sz="0" w:space="0" w:color="auto"/>
        <w:right w:val="none" w:sz="0" w:space="0" w:color="auto"/>
      </w:divBdr>
    </w:div>
    <w:div w:id="1362440942">
      <w:bodyDiv w:val="1"/>
      <w:marLeft w:val="0"/>
      <w:marRight w:val="0"/>
      <w:marTop w:val="0"/>
      <w:marBottom w:val="0"/>
      <w:divBdr>
        <w:top w:val="none" w:sz="0" w:space="0" w:color="auto"/>
        <w:left w:val="none" w:sz="0" w:space="0" w:color="auto"/>
        <w:bottom w:val="none" w:sz="0" w:space="0" w:color="auto"/>
        <w:right w:val="none" w:sz="0" w:space="0" w:color="auto"/>
      </w:divBdr>
    </w:div>
    <w:div w:id="1366523338">
      <w:bodyDiv w:val="1"/>
      <w:marLeft w:val="0"/>
      <w:marRight w:val="0"/>
      <w:marTop w:val="0"/>
      <w:marBottom w:val="0"/>
      <w:divBdr>
        <w:top w:val="none" w:sz="0" w:space="0" w:color="auto"/>
        <w:left w:val="none" w:sz="0" w:space="0" w:color="auto"/>
        <w:bottom w:val="none" w:sz="0" w:space="0" w:color="auto"/>
        <w:right w:val="none" w:sz="0" w:space="0" w:color="auto"/>
      </w:divBdr>
    </w:div>
    <w:div w:id="1368411472">
      <w:bodyDiv w:val="1"/>
      <w:marLeft w:val="0"/>
      <w:marRight w:val="0"/>
      <w:marTop w:val="0"/>
      <w:marBottom w:val="0"/>
      <w:divBdr>
        <w:top w:val="none" w:sz="0" w:space="0" w:color="auto"/>
        <w:left w:val="none" w:sz="0" w:space="0" w:color="auto"/>
        <w:bottom w:val="none" w:sz="0" w:space="0" w:color="auto"/>
        <w:right w:val="none" w:sz="0" w:space="0" w:color="auto"/>
      </w:divBdr>
    </w:div>
    <w:div w:id="1369258493">
      <w:bodyDiv w:val="1"/>
      <w:marLeft w:val="0"/>
      <w:marRight w:val="0"/>
      <w:marTop w:val="0"/>
      <w:marBottom w:val="0"/>
      <w:divBdr>
        <w:top w:val="none" w:sz="0" w:space="0" w:color="auto"/>
        <w:left w:val="none" w:sz="0" w:space="0" w:color="auto"/>
        <w:bottom w:val="none" w:sz="0" w:space="0" w:color="auto"/>
        <w:right w:val="none" w:sz="0" w:space="0" w:color="auto"/>
      </w:divBdr>
    </w:div>
    <w:div w:id="1371493768">
      <w:bodyDiv w:val="1"/>
      <w:marLeft w:val="0"/>
      <w:marRight w:val="0"/>
      <w:marTop w:val="0"/>
      <w:marBottom w:val="0"/>
      <w:divBdr>
        <w:top w:val="none" w:sz="0" w:space="0" w:color="auto"/>
        <w:left w:val="none" w:sz="0" w:space="0" w:color="auto"/>
        <w:bottom w:val="none" w:sz="0" w:space="0" w:color="auto"/>
        <w:right w:val="none" w:sz="0" w:space="0" w:color="auto"/>
      </w:divBdr>
    </w:div>
    <w:div w:id="1380401812">
      <w:bodyDiv w:val="1"/>
      <w:marLeft w:val="0"/>
      <w:marRight w:val="0"/>
      <w:marTop w:val="0"/>
      <w:marBottom w:val="0"/>
      <w:divBdr>
        <w:top w:val="none" w:sz="0" w:space="0" w:color="auto"/>
        <w:left w:val="none" w:sz="0" w:space="0" w:color="auto"/>
        <w:bottom w:val="none" w:sz="0" w:space="0" w:color="auto"/>
        <w:right w:val="none" w:sz="0" w:space="0" w:color="auto"/>
      </w:divBdr>
    </w:div>
    <w:div w:id="1382557953">
      <w:bodyDiv w:val="1"/>
      <w:marLeft w:val="0"/>
      <w:marRight w:val="0"/>
      <w:marTop w:val="0"/>
      <w:marBottom w:val="0"/>
      <w:divBdr>
        <w:top w:val="none" w:sz="0" w:space="0" w:color="auto"/>
        <w:left w:val="none" w:sz="0" w:space="0" w:color="auto"/>
        <w:bottom w:val="none" w:sz="0" w:space="0" w:color="auto"/>
        <w:right w:val="none" w:sz="0" w:space="0" w:color="auto"/>
      </w:divBdr>
    </w:div>
    <w:div w:id="1382560317">
      <w:bodyDiv w:val="1"/>
      <w:marLeft w:val="0"/>
      <w:marRight w:val="0"/>
      <w:marTop w:val="0"/>
      <w:marBottom w:val="0"/>
      <w:divBdr>
        <w:top w:val="none" w:sz="0" w:space="0" w:color="auto"/>
        <w:left w:val="none" w:sz="0" w:space="0" w:color="auto"/>
        <w:bottom w:val="none" w:sz="0" w:space="0" w:color="auto"/>
        <w:right w:val="none" w:sz="0" w:space="0" w:color="auto"/>
      </w:divBdr>
    </w:div>
    <w:div w:id="1383748451">
      <w:bodyDiv w:val="1"/>
      <w:marLeft w:val="0"/>
      <w:marRight w:val="0"/>
      <w:marTop w:val="0"/>
      <w:marBottom w:val="0"/>
      <w:divBdr>
        <w:top w:val="none" w:sz="0" w:space="0" w:color="auto"/>
        <w:left w:val="none" w:sz="0" w:space="0" w:color="auto"/>
        <w:bottom w:val="none" w:sz="0" w:space="0" w:color="auto"/>
        <w:right w:val="none" w:sz="0" w:space="0" w:color="auto"/>
      </w:divBdr>
    </w:div>
    <w:div w:id="1388800688">
      <w:bodyDiv w:val="1"/>
      <w:marLeft w:val="0"/>
      <w:marRight w:val="0"/>
      <w:marTop w:val="0"/>
      <w:marBottom w:val="0"/>
      <w:divBdr>
        <w:top w:val="none" w:sz="0" w:space="0" w:color="auto"/>
        <w:left w:val="none" w:sz="0" w:space="0" w:color="auto"/>
        <w:bottom w:val="none" w:sz="0" w:space="0" w:color="auto"/>
        <w:right w:val="none" w:sz="0" w:space="0" w:color="auto"/>
      </w:divBdr>
    </w:div>
    <w:div w:id="1406761655">
      <w:bodyDiv w:val="1"/>
      <w:marLeft w:val="0"/>
      <w:marRight w:val="0"/>
      <w:marTop w:val="0"/>
      <w:marBottom w:val="0"/>
      <w:divBdr>
        <w:top w:val="none" w:sz="0" w:space="0" w:color="auto"/>
        <w:left w:val="none" w:sz="0" w:space="0" w:color="auto"/>
        <w:bottom w:val="none" w:sz="0" w:space="0" w:color="auto"/>
        <w:right w:val="none" w:sz="0" w:space="0" w:color="auto"/>
      </w:divBdr>
      <w:divsChild>
        <w:div w:id="74324362">
          <w:marLeft w:val="0"/>
          <w:marRight w:val="0"/>
          <w:marTop w:val="0"/>
          <w:marBottom w:val="0"/>
          <w:divBdr>
            <w:top w:val="none" w:sz="0" w:space="0" w:color="auto"/>
            <w:left w:val="none" w:sz="0" w:space="0" w:color="auto"/>
            <w:bottom w:val="none" w:sz="0" w:space="0" w:color="auto"/>
            <w:right w:val="none" w:sz="0" w:space="0" w:color="auto"/>
          </w:divBdr>
          <w:divsChild>
            <w:div w:id="1479886016">
              <w:marLeft w:val="0"/>
              <w:marRight w:val="0"/>
              <w:marTop w:val="0"/>
              <w:marBottom w:val="0"/>
              <w:divBdr>
                <w:top w:val="none" w:sz="0" w:space="0" w:color="auto"/>
                <w:left w:val="none" w:sz="0" w:space="0" w:color="auto"/>
                <w:bottom w:val="none" w:sz="0" w:space="0" w:color="auto"/>
                <w:right w:val="none" w:sz="0" w:space="0" w:color="auto"/>
              </w:divBdr>
              <w:divsChild>
                <w:div w:id="278606620">
                  <w:marLeft w:val="0"/>
                  <w:marRight w:val="0"/>
                  <w:marTop w:val="0"/>
                  <w:marBottom w:val="0"/>
                  <w:divBdr>
                    <w:top w:val="none" w:sz="0" w:space="0" w:color="auto"/>
                    <w:left w:val="none" w:sz="0" w:space="0" w:color="auto"/>
                    <w:bottom w:val="none" w:sz="0" w:space="0" w:color="auto"/>
                    <w:right w:val="none" w:sz="0" w:space="0" w:color="auto"/>
                  </w:divBdr>
                  <w:divsChild>
                    <w:div w:id="145065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841321">
      <w:bodyDiv w:val="1"/>
      <w:marLeft w:val="0"/>
      <w:marRight w:val="0"/>
      <w:marTop w:val="0"/>
      <w:marBottom w:val="0"/>
      <w:divBdr>
        <w:top w:val="none" w:sz="0" w:space="0" w:color="auto"/>
        <w:left w:val="none" w:sz="0" w:space="0" w:color="auto"/>
        <w:bottom w:val="none" w:sz="0" w:space="0" w:color="auto"/>
        <w:right w:val="none" w:sz="0" w:space="0" w:color="auto"/>
      </w:divBdr>
    </w:div>
    <w:div w:id="1414163920">
      <w:bodyDiv w:val="1"/>
      <w:marLeft w:val="0"/>
      <w:marRight w:val="0"/>
      <w:marTop w:val="0"/>
      <w:marBottom w:val="0"/>
      <w:divBdr>
        <w:top w:val="none" w:sz="0" w:space="0" w:color="auto"/>
        <w:left w:val="none" w:sz="0" w:space="0" w:color="auto"/>
        <w:bottom w:val="none" w:sz="0" w:space="0" w:color="auto"/>
        <w:right w:val="none" w:sz="0" w:space="0" w:color="auto"/>
      </w:divBdr>
    </w:div>
    <w:div w:id="1426875486">
      <w:bodyDiv w:val="1"/>
      <w:marLeft w:val="0"/>
      <w:marRight w:val="0"/>
      <w:marTop w:val="0"/>
      <w:marBottom w:val="0"/>
      <w:divBdr>
        <w:top w:val="none" w:sz="0" w:space="0" w:color="auto"/>
        <w:left w:val="none" w:sz="0" w:space="0" w:color="auto"/>
        <w:bottom w:val="none" w:sz="0" w:space="0" w:color="auto"/>
        <w:right w:val="none" w:sz="0" w:space="0" w:color="auto"/>
      </w:divBdr>
    </w:div>
    <w:div w:id="1437679148">
      <w:bodyDiv w:val="1"/>
      <w:marLeft w:val="0"/>
      <w:marRight w:val="0"/>
      <w:marTop w:val="0"/>
      <w:marBottom w:val="0"/>
      <w:divBdr>
        <w:top w:val="none" w:sz="0" w:space="0" w:color="auto"/>
        <w:left w:val="none" w:sz="0" w:space="0" w:color="auto"/>
        <w:bottom w:val="none" w:sz="0" w:space="0" w:color="auto"/>
        <w:right w:val="none" w:sz="0" w:space="0" w:color="auto"/>
      </w:divBdr>
    </w:div>
    <w:div w:id="1438260081">
      <w:bodyDiv w:val="1"/>
      <w:marLeft w:val="0"/>
      <w:marRight w:val="0"/>
      <w:marTop w:val="0"/>
      <w:marBottom w:val="0"/>
      <w:divBdr>
        <w:top w:val="none" w:sz="0" w:space="0" w:color="auto"/>
        <w:left w:val="none" w:sz="0" w:space="0" w:color="auto"/>
        <w:bottom w:val="none" w:sz="0" w:space="0" w:color="auto"/>
        <w:right w:val="none" w:sz="0" w:space="0" w:color="auto"/>
      </w:divBdr>
    </w:div>
    <w:div w:id="1447650753">
      <w:bodyDiv w:val="1"/>
      <w:marLeft w:val="0"/>
      <w:marRight w:val="0"/>
      <w:marTop w:val="0"/>
      <w:marBottom w:val="0"/>
      <w:divBdr>
        <w:top w:val="none" w:sz="0" w:space="0" w:color="auto"/>
        <w:left w:val="none" w:sz="0" w:space="0" w:color="auto"/>
        <w:bottom w:val="none" w:sz="0" w:space="0" w:color="auto"/>
        <w:right w:val="none" w:sz="0" w:space="0" w:color="auto"/>
      </w:divBdr>
    </w:div>
    <w:div w:id="1459571212">
      <w:bodyDiv w:val="1"/>
      <w:marLeft w:val="0"/>
      <w:marRight w:val="0"/>
      <w:marTop w:val="0"/>
      <w:marBottom w:val="0"/>
      <w:divBdr>
        <w:top w:val="none" w:sz="0" w:space="0" w:color="auto"/>
        <w:left w:val="none" w:sz="0" w:space="0" w:color="auto"/>
        <w:bottom w:val="none" w:sz="0" w:space="0" w:color="auto"/>
        <w:right w:val="none" w:sz="0" w:space="0" w:color="auto"/>
      </w:divBdr>
    </w:div>
    <w:div w:id="1469009130">
      <w:bodyDiv w:val="1"/>
      <w:marLeft w:val="0"/>
      <w:marRight w:val="0"/>
      <w:marTop w:val="0"/>
      <w:marBottom w:val="0"/>
      <w:divBdr>
        <w:top w:val="none" w:sz="0" w:space="0" w:color="auto"/>
        <w:left w:val="none" w:sz="0" w:space="0" w:color="auto"/>
        <w:bottom w:val="none" w:sz="0" w:space="0" w:color="auto"/>
        <w:right w:val="none" w:sz="0" w:space="0" w:color="auto"/>
      </w:divBdr>
    </w:div>
    <w:div w:id="1493447645">
      <w:bodyDiv w:val="1"/>
      <w:marLeft w:val="0"/>
      <w:marRight w:val="0"/>
      <w:marTop w:val="0"/>
      <w:marBottom w:val="0"/>
      <w:divBdr>
        <w:top w:val="none" w:sz="0" w:space="0" w:color="auto"/>
        <w:left w:val="none" w:sz="0" w:space="0" w:color="auto"/>
        <w:bottom w:val="none" w:sz="0" w:space="0" w:color="auto"/>
        <w:right w:val="none" w:sz="0" w:space="0" w:color="auto"/>
      </w:divBdr>
    </w:div>
    <w:div w:id="1496190601">
      <w:bodyDiv w:val="1"/>
      <w:marLeft w:val="0"/>
      <w:marRight w:val="0"/>
      <w:marTop w:val="0"/>
      <w:marBottom w:val="0"/>
      <w:divBdr>
        <w:top w:val="none" w:sz="0" w:space="0" w:color="auto"/>
        <w:left w:val="none" w:sz="0" w:space="0" w:color="auto"/>
        <w:bottom w:val="none" w:sz="0" w:space="0" w:color="auto"/>
        <w:right w:val="none" w:sz="0" w:space="0" w:color="auto"/>
      </w:divBdr>
    </w:div>
    <w:div w:id="1498763439">
      <w:bodyDiv w:val="1"/>
      <w:marLeft w:val="0"/>
      <w:marRight w:val="0"/>
      <w:marTop w:val="0"/>
      <w:marBottom w:val="0"/>
      <w:divBdr>
        <w:top w:val="none" w:sz="0" w:space="0" w:color="auto"/>
        <w:left w:val="none" w:sz="0" w:space="0" w:color="auto"/>
        <w:bottom w:val="none" w:sz="0" w:space="0" w:color="auto"/>
        <w:right w:val="none" w:sz="0" w:space="0" w:color="auto"/>
      </w:divBdr>
    </w:div>
    <w:div w:id="1501234306">
      <w:bodyDiv w:val="1"/>
      <w:marLeft w:val="0"/>
      <w:marRight w:val="0"/>
      <w:marTop w:val="0"/>
      <w:marBottom w:val="0"/>
      <w:divBdr>
        <w:top w:val="none" w:sz="0" w:space="0" w:color="auto"/>
        <w:left w:val="none" w:sz="0" w:space="0" w:color="auto"/>
        <w:bottom w:val="none" w:sz="0" w:space="0" w:color="auto"/>
        <w:right w:val="none" w:sz="0" w:space="0" w:color="auto"/>
      </w:divBdr>
    </w:div>
    <w:div w:id="1501969934">
      <w:bodyDiv w:val="1"/>
      <w:marLeft w:val="0"/>
      <w:marRight w:val="0"/>
      <w:marTop w:val="0"/>
      <w:marBottom w:val="0"/>
      <w:divBdr>
        <w:top w:val="none" w:sz="0" w:space="0" w:color="auto"/>
        <w:left w:val="none" w:sz="0" w:space="0" w:color="auto"/>
        <w:bottom w:val="none" w:sz="0" w:space="0" w:color="auto"/>
        <w:right w:val="none" w:sz="0" w:space="0" w:color="auto"/>
      </w:divBdr>
    </w:div>
    <w:div w:id="1502349717">
      <w:bodyDiv w:val="1"/>
      <w:marLeft w:val="0"/>
      <w:marRight w:val="0"/>
      <w:marTop w:val="0"/>
      <w:marBottom w:val="0"/>
      <w:divBdr>
        <w:top w:val="none" w:sz="0" w:space="0" w:color="auto"/>
        <w:left w:val="none" w:sz="0" w:space="0" w:color="auto"/>
        <w:bottom w:val="none" w:sz="0" w:space="0" w:color="auto"/>
        <w:right w:val="none" w:sz="0" w:space="0" w:color="auto"/>
      </w:divBdr>
    </w:div>
    <w:div w:id="1515613826">
      <w:bodyDiv w:val="1"/>
      <w:marLeft w:val="0"/>
      <w:marRight w:val="0"/>
      <w:marTop w:val="0"/>
      <w:marBottom w:val="0"/>
      <w:divBdr>
        <w:top w:val="none" w:sz="0" w:space="0" w:color="auto"/>
        <w:left w:val="none" w:sz="0" w:space="0" w:color="auto"/>
        <w:bottom w:val="none" w:sz="0" w:space="0" w:color="auto"/>
        <w:right w:val="none" w:sz="0" w:space="0" w:color="auto"/>
      </w:divBdr>
    </w:div>
    <w:div w:id="1517768907">
      <w:bodyDiv w:val="1"/>
      <w:marLeft w:val="0"/>
      <w:marRight w:val="0"/>
      <w:marTop w:val="0"/>
      <w:marBottom w:val="0"/>
      <w:divBdr>
        <w:top w:val="none" w:sz="0" w:space="0" w:color="auto"/>
        <w:left w:val="none" w:sz="0" w:space="0" w:color="auto"/>
        <w:bottom w:val="none" w:sz="0" w:space="0" w:color="auto"/>
        <w:right w:val="none" w:sz="0" w:space="0" w:color="auto"/>
      </w:divBdr>
    </w:div>
    <w:div w:id="1530533949">
      <w:bodyDiv w:val="1"/>
      <w:marLeft w:val="0"/>
      <w:marRight w:val="0"/>
      <w:marTop w:val="0"/>
      <w:marBottom w:val="0"/>
      <w:divBdr>
        <w:top w:val="none" w:sz="0" w:space="0" w:color="auto"/>
        <w:left w:val="none" w:sz="0" w:space="0" w:color="auto"/>
        <w:bottom w:val="none" w:sz="0" w:space="0" w:color="auto"/>
        <w:right w:val="none" w:sz="0" w:space="0" w:color="auto"/>
      </w:divBdr>
    </w:div>
    <w:div w:id="1554271824">
      <w:bodyDiv w:val="1"/>
      <w:marLeft w:val="0"/>
      <w:marRight w:val="0"/>
      <w:marTop w:val="0"/>
      <w:marBottom w:val="0"/>
      <w:divBdr>
        <w:top w:val="none" w:sz="0" w:space="0" w:color="auto"/>
        <w:left w:val="none" w:sz="0" w:space="0" w:color="auto"/>
        <w:bottom w:val="none" w:sz="0" w:space="0" w:color="auto"/>
        <w:right w:val="none" w:sz="0" w:space="0" w:color="auto"/>
      </w:divBdr>
    </w:div>
    <w:div w:id="1562600703">
      <w:bodyDiv w:val="1"/>
      <w:marLeft w:val="0"/>
      <w:marRight w:val="0"/>
      <w:marTop w:val="0"/>
      <w:marBottom w:val="0"/>
      <w:divBdr>
        <w:top w:val="none" w:sz="0" w:space="0" w:color="auto"/>
        <w:left w:val="none" w:sz="0" w:space="0" w:color="auto"/>
        <w:bottom w:val="none" w:sz="0" w:space="0" w:color="auto"/>
        <w:right w:val="none" w:sz="0" w:space="0" w:color="auto"/>
      </w:divBdr>
    </w:div>
    <w:div w:id="1566834713">
      <w:bodyDiv w:val="1"/>
      <w:marLeft w:val="0"/>
      <w:marRight w:val="0"/>
      <w:marTop w:val="0"/>
      <w:marBottom w:val="0"/>
      <w:divBdr>
        <w:top w:val="none" w:sz="0" w:space="0" w:color="auto"/>
        <w:left w:val="none" w:sz="0" w:space="0" w:color="auto"/>
        <w:bottom w:val="none" w:sz="0" w:space="0" w:color="auto"/>
        <w:right w:val="none" w:sz="0" w:space="0" w:color="auto"/>
      </w:divBdr>
    </w:div>
    <w:div w:id="1571234272">
      <w:bodyDiv w:val="1"/>
      <w:marLeft w:val="0"/>
      <w:marRight w:val="0"/>
      <w:marTop w:val="0"/>
      <w:marBottom w:val="0"/>
      <w:divBdr>
        <w:top w:val="none" w:sz="0" w:space="0" w:color="auto"/>
        <w:left w:val="none" w:sz="0" w:space="0" w:color="auto"/>
        <w:bottom w:val="none" w:sz="0" w:space="0" w:color="auto"/>
        <w:right w:val="none" w:sz="0" w:space="0" w:color="auto"/>
      </w:divBdr>
    </w:div>
    <w:div w:id="1575356039">
      <w:bodyDiv w:val="1"/>
      <w:marLeft w:val="0"/>
      <w:marRight w:val="0"/>
      <w:marTop w:val="0"/>
      <w:marBottom w:val="0"/>
      <w:divBdr>
        <w:top w:val="none" w:sz="0" w:space="0" w:color="auto"/>
        <w:left w:val="none" w:sz="0" w:space="0" w:color="auto"/>
        <w:bottom w:val="none" w:sz="0" w:space="0" w:color="auto"/>
        <w:right w:val="none" w:sz="0" w:space="0" w:color="auto"/>
      </w:divBdr>
    </w:div>
    <w:div w:id="1577282309">
      <w:bodyDiv w:val="1"/>
      <w:marLeft w:val="0"/>
      <w:marRight w:val="0"/>
      <w:marTop w:val="0"/>
      <w:marBottom w:val="0"/>
      <w:divBdr>
        <w:top w:val="none" w:sz="0" w:space="0" w:color="auto"/>
        <w:left w:val="none" w:sz="0" w:space="0" w:color="auto"/>
        <w:bottom w:val="none" w:sz="0" w:space="0" w:color="auto"/>
        <w:right w:val="none" w:sz="0" w:space="0" w:color="auto"/>
      </w:divBdr>
    </w:div>
    <w:div w:id="1593932748">
      <w:bodyDiv w:val="1"/>
      <w:marLeft w:val="0"/>
      <w:marRight w:val="0"/>
      <w:marTop w:val="0"/>
      <w:marBottom w:val="0"/>
      <w:divBdr>
        <w:top w:val="none" w:sz="0" w:space="0" w:color="auto"/>
        <w:left w:val="none" w:sz="0" w:space="0" w:color="auto"/>
        <w:bottom w:val="none" w:sz="0" w:space="0" w:color="auto"/>
        <w:right w:val="none" w:sz="0" w:space="0" w:color="auto"/>
      </w:divBdr>
    </w:div>
    <w:div w:id="1595358165">
      <w:bodyDiv w:val="1"/>
      <w:marLeft w:val="0"/>
      <w:marRight w:val="0"/>
      <w:marTop w:val="0"/>
      <w:marBottom w:val="0"/>
      <w:divBdr>
        <w:top w:val="none" w:sz="0" w:space="0" w:color="auto"/>
        <w:left w:val="none" w:sz="0" w:space="0" w:color="auto"/>
        <w:bottom w:val="none" w:sz="0" w:space="0" w:color="auto"/>
        <w:right w:val="none" w:sz="0" w:space="0" w:color="auto"/>
      </w:divBdr>
    </w:div>
    <w:div w:id="1595479637">
      <w:bodyDiv w:val="1"/>
      <w:marLeft w:val="0"/>
      <w:marRight w:val="0"/>
      <w:marTop w:val="0"/>
      <w:marBottom w:val="0"/>
      <w:divBdr>
        <w:top w:val="none" w:sz="0" w:space="0" w:color="auto"/>
        <w:left w:val="none" w:sz="0" w:space="0" w:color="auto"/>
        <w:bottom w:val="none" w:sz="0" w:space="0" w:color="auto"/>
        <w:right w:val="none" w:sz="0" w:space="0" w:color="auto"/>
      </w:divBdr>
    </w:div>
    <w:div w:id="1596745033">
      <w:bodyDiv w:val="1"/>
      <w:marLeft w:val="0"/>
      <w:marRight w:val="0"/>
      <w:marTop w:val="0"/>
      <w:marBottom w:val="0"/>
      <w:divBdr>
        <w:top w:val="none" w:sz="0" w:space="0" w:color="auto"/>
        <w:left w:val="none" w:sz="0" w:space="0" w:color="auto"/>
        <w:bottom w:val="none" w:sz="0" w:space="0" w:color="auto"/>
        <w:right w:val="none" w:sz="0" w:space="0" w:color="auto"/>
      </w:divBdr>
    </w:div>
    <w:div w:id="1608388304">
      <w:bodyDiv w:val="1"/>
      <w:marLeft w:val="0"/>
      <w:marRight w:val="0"/>
      <w:marTop w:val="0"/>
      <w:marBottom w:val="0"/>
      <w:divBdr>
        <w:top w:val="none" w:sz="0" w:space="0" w:color="auto"/>
        <w:left w:val="none" w:sz="0" w:space="0" w:color="auto"/>
        <w:bottom w:val="none" w:sz="0" w:space="0" w:color="auto"/>
        <w:right w:val="none" w:sz="0" w:space="0" w:color="auto"/>
      </w:divBdr>
    </w:div>
    <w:div w:id="1610164278">
      <w:bodyDiv w:val="1"/>
      <w:marLeft w:val="0"/>
      <w:marRight w:val="0"/>
      <w:marTop w:val="0"/>
      <w:marBottom w:val="0"/>
      <w:divBdr>
        <w:top w:val="none" w:sz="0" w:space="0" w:color="auto"/>
        <w:left w:val="none" w:sz="0" w:space="0" w:color="auto"/>
        <w:bottom w:val="none" w:sz="0" w:space="0" w:color="auto"/>
        <w:right w:val="none" w:sz="0" w:space="0" w:color="auto"/>
      </w:divBdr>
    </w:div>
    <w:div w:id="1611618583">
      <w:bodyDiv w:val="1"/>
      <w:marLeft w:val="0"/>
      <w:marRight w:val="0"/>
      <w:marTop w:val="0"/>
      <w:marBottom w:val="0"/>
      <w:divBdr>
        <w:top w:val="none" w:sz="0" w:space="0" w:color="auto"/>
        <w:left w:val="none" w:sz="0" w:space="0" w:color="auto"/>
        <w:bottom w:val="none" w:sz="0" w:space="0" w:color="auto"/>
        <w:right w:val="none" w:sz="0" w:space="0" w:color="auto"/>
      </w:divBdr>
    </w:div>
    <w:div w:id="1615475385">
      <w:bodyDiv w:val="1"/>
      <w:marLeft w:val="0"/>
      <w:marRight w:val="0"/>
      <w:marTop w:val="0"/>
      <w:marBottom w:val="0"/>
      <w:divBdr>
        <w:top w:val="none" w:sz="0" w:space="0" w:color="auto"/>
        <w:left w:val="none" w:sz="0" w:space="0" w:color="auto"/>
        <w:bottom w:val="none" w:sz="0" w:space="0" w:color="auto"/>
        <w:right w:val="none" w:sz="0" w:space="0" w:color="auto"/>
      </w:divBdr>
    </w:div>
    <w:div w:id="1616400124">
      <w:bodyDiv w:val="1"/>
      <w:marLeft w:val="0"/>
      <w:marRight w:val="0"/>
      <w:marTop w:val="0"/>
      <w:marBottom w:val="0"/>
      <w:divBdr>
        <w:top w:val="none" w:sz="0" w:space="0" w:color="auto"/>
        <w:left w:val="none" w:sz="0" w:space="0" w:color="auto"/>
        <w:bottom w:val="none" w:sz="0" w:space="0" w:color="auto"/>
        <w:right w:val="none" w:sz="0" w:space="0" w:color="auto"/>
      </w:divBdr>
      <w:divsChild>
        <w:div w:id="1618560761">
          <w:marLeft w:val="0"/>
          <w:marRight w:val="0"/>
          <w:marTop w:val="0"/>
          <w:marBottom w:val="0"/>
          <w:divBdr>
            <w:top w:val="none" w:sz="0" w:space="0" w:color="auto"/>
            <w:left w:val="none" w:sz="0" w:space="0" w:color="auto"/>
            <w:bottom w:val="none" w:sz="0" w:space="0" w:color="auto"/>
            <w:right w:val="none" w:sz="0" w:space="0" w:color="auto"/>
          </w:divBdr>
          <w:divsChild>
            <w:div w:id="1476334215">
              <w:marLeft w:val="0"/>
              <w:marRight w:val="0"/>
              <w:marTop w:val="0"/>
              <w:marBottom w:val="0"/>
              <w:divBdr>
                <w:top w:val="none" w:sz="0" w:space="0" w:color="auto"/>
                <w:left w:val="none" w:sz="0" w:space="0" w:color="auto"/>
                <w:bottom w:val="none" w:sz="0" w:space="0" w:color="auto"/>
                <w:right w:val="none" w:sz="0" w:space="0" w:color="auto"/>
              </w:divBdr>
              <w:divsChild>
                <w:div w:id="805241345">
                  <w:marLeft w:val="0"/>
                  <w:marRight w:val="0"/>
                  <w:marTop w:val="0"/>
                  <w:marBottom w:val="0"/>
                  <w:divBdr>
                    <w:top w:val="none" w:sz="0" w:space="0" w:color="auto"/>
                    <w:left w:val="none" w:sz="0" w:space="0" w:color="auto"/>
                    <w:bottom w:val="none" w:sz="0" w:space="0" w:color="auto"/>
                    <w:right w:val="none" w:sz="0" w:space="0" w:color="auto"/>
                  </w:divBdr>
                  <w:divsChild>
                    <w:div w:id="79737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378579">
      <w:bodyDiv w:val="1"/>
      <w:marLeft w:val="0"/>
      <w:marRight w:val="0"/>
      <w:marTop w:val="0"/>
      <w:marBottom w:val="0"/>
      <w:divBdr>
        <w:top w:val="none" w:sz="0" w:space="0" w:color="auto"/>
        <w:left w:val="none" w:sz="0" w:space="0" w:color="auto"/>
        <w:bottom w:val="none" w:sz="0" w:space="0" w:color="auto"/>
        <w:right w:val="none" w:sz="0" w:space="0" w:color="auto"/>
      </w:divBdr>
    </w:div>
    <w:div w:id="1625378862">
      <w:bodyDiv w:val="1"/>
      <w:marLeft w:val="0"/>
      <w:marRight w:val="0"/>
      <w:marTop w:val="0"/>
      <w:marBottom w:val="0"/>
      <w:divBdr>
        <w:top w:val="none" w:sz="0" w:space="0" w:color="auto"/>
        <w:left w:val="none" w:sz="0" w:space="0" w:color="auto"/>
        <w:bottom w:val="none" w:sz="0" w:space="0" w:color="auto"/>
        <w:right w:val="none" w:sz="0" w:space="0" w:color="auto"/>
      </w:divBdr>
    </w:div>
    <w:div w:id="1627934228">
      <w:bodyDiv w:val="1"/>
      <w:marLeft w:val="0"/>
      <w:marRight w:val="0"/>
      <w:marTop w:val="0"/>
      <w:marBottom w:val="0"/>
      <w:divBdr>
        <w:top w:val="none" w:sz="0" w:space="0" w:color="auto"/>
        <w:left w:val="none" w:sz="0" w:space="0" w:color="auto"/>
        <w:bottom w:val="none" w:sz="0" w:space="0" w:color="auto"/>
        <w:right w:val="none" w:sz="0" w:space="0" w:color="auto"/>
      </w:divBdr>
      <w:divsChild>
        <w:div w:id="991638077">
          <w:marLeft w:val="0"/>
          <w:marRight w:val="0"/>
          <w:marTop w:val="0"/>
          <w:marBottom w:val="0"/>
          <w:divBdr>
            <w:top w:val="none" w:sz="0" w:space="0" w:color="auto"/>
            <w:left w:val="none" w:sz="0" w:space="0" w:color="auto"/>
            <w:bottom w:val="none" w:sz="0" w:space="0" w:color="auto"/>
            <w:right w:val="none" w:sz="0" w:space="0" w:color="auto"/>
          </w:divBdr>
          <w:divsChild>
            <w:div w:id="2142379822">
              <w:marLeft w:val="0"/>
              <w:marRight w:val="0"/>
              <w:marTop w:val="0"/>
              <w:marBottom w:val="0"/>
              <w:divBdr>
                <w:top w:val="none" w:sz="0" w:space="0" w:color="auto"/>
                <w:left w:val="none" w:sz="0" w:space="0" w:color="auto"/>
                <w:bottom w:val="none" w:sz="0" w:space="0" w:color="auto"/>
                <w:right w:val="none" w:sz="0" w:space="0" w:color="auto"/>
              </w:divBdr>
              <w:divsChild>
                <w:div w:id="1459183626">
                  <w:marLeft w:val="0"/>
                  <w:marRight w:val="0"/>
                  <w:marTop w:val="0"/>
                  <w:marBottom w:val="0"/>
                  <w:divBdr>
                    <w:top w:val="none" w:sz="0" w:space="0" w:color="auto"/>
                    <w:left w:val="none" w:sz="0" w:space="0" w:color="auto"/>
                    <w:bottom w:val="none" w:sz="0" w:space="0" w:color="auto"/>
                    <w:right w:val="none" w:sz="0" w:space="0" w:color="auto"/>
                  </w:divBdr>
                  <w:divsChild>
                    <w:div w:id="840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798549">
      <w:bodyDiv w:val="1"/>
      <w:marLeft w:val="0"/>
      <w:marRight w:val="0"/>
      <w:marTop w:val="0"/>
      <w:marBottom w:val="0"/>
      <w:divBdr>
        <w:top w:val="none" w:sz="0" w:space="0" w:color="auto"/>
        <w:left w:val="none" w:sz="0" w:space="0" w:color="auto"/>
        <w:bottom w:val="none" w:sz="0" w:space="0" w:color="auto"/>
        <w:right w:val="none" w:sz="0" w:space="0" w:color="auto"/>
      </w:divBdr>
    </w:div>
    <w:div w:id="1664355070">
      <w:bodyDiv w:val="1"/>
      <w:marLeft w:val="0"/>
      <w:marRight w:val="0"/>
      <w:marTop w:val="0"/>
      <w:marBottom w:val="0"/>
      <w:divBdr>
        <w:top w:val="none" w:sz="0" w:space="0" w:color="auto"/>
        <w:left w:val="none" w:sz="0" w:space="0" w:color="auto"/>
        <w:bottom w:val="none" w:sz="0" w:space="0" w:color="auto"/>
        <w:right w:val="none" w:sz="0" w:space="0" w:color="auto"/>
      </w:divBdr>
    </w:div>
    <w:div w:id="1669597281">
      <w:bodyDiv w:val="1"/>
      <w:marLeft w:val="0"/>
      <w:marRight w:val="0"/>
      <w:marTop w:val="0"/>
      <w:marBottom w:val="0"/>
      <w:divBdr>
        <w:top w:val="none" w:sz="0" w:space="0" w:color="auto"/>
        <w:left w:val="none" w:sz="0" w:space="0" w:color="auto"/>
        <w:bottom w:val="none" w:sz="0" w:space="0" w:color="auto"/>
        <w:right w:val="none" w:sz="0" w:space="0" w:color="auto"/>
      </w:divBdr>
    </w:div>
    <w:div w:id="1670593977">
      <w:bodyDiv w:val="1"/>
      <w:marLeft w:val="0"/>
      <w:marRight w:val="0"/>
      <w:marTop w:val="0"/>
      <w:marBottom w:val="0"/>
      <w:divBdr>
        <w:top w:val="none" w:sz="0" w:space="0" w:color="auto"/>
        <w:left w:val="none" w:sz="0" w:space="0" w:color="auto"/>
        <w:bottom w:val="none" w:sz="0" w:space="0" w:color="auto"/>
        <w:right w:val="none" w:sz="0" w:space="0" w:color="auto"/>
      </w:divBdr>
    </w:div>
    <w:div w:id="1671907534">
      <w:bodyDiv w:val="1"/>
      <w:marLeft w:val="0"/>
      <w:marRight w:val="0"/>
      <w:marTop w:val="0"/>
      <w:marBottom w:val="0"/>
      <w:divBdr>
        <w:top w:val="none" w:sz="0" w:space="0" w:color="auto"/>
        <w:left w:val="none" w:sz="0" w:space="0" w:color="auto"/>
        <w:bottom w:val="none" w:sz="0" w:space="0" w:color="auto"/>
        <w:right w:val="none" w:sz="0" w:space="0" w:color="auto"/>
      </w:divBdr>
    </w:div>
    <w:div w:id="1678074617">
      <w:bodyDiv w:val="1"/>
      <w:marLeft w:val="0"/>
      <w:marRight w:val="0"/>
      <w:marTop w:val="0"/>
      <w:marBottom w:val="0"/>
      <w:divBdr>
        <w:top w:val="none" w:sz="0" w:space="0" w:color="auto"/>
        <w:left w:val="none" w:sz="0" w:space="0" w:color="auto"/>
        <w:bottom w:val="none" w:sz="0" w:space="0" w:color="auto"/>
        <w:right w:val="none" w:sz="0" w:space="0" w:color="auto"/>
      </w:divBdr>
    </w:div>
    <w:div w:id="1682850099">
      <w:bodyDiv w:val="1"/>
      <w:marLeft w:val="0"/>
      <w:marRight w:val="0"/>
      <w:marTop w:val="0"/>
      <w:marBottom w:val="0"/>
      <w:divBdr>
        <w:top w:val="none" w:sz="0" w:space="0" w:color="auto"/>
        <w:left w:val="none" w:sz="0" w:space="0" w:color="auto"/>
        <w:bottom w:val="none" w:sz="0" w:space="0" w:color="auto"/>
        <w:right w:val="none" w:sz="0" w:space="0" w:color="auto"/>
      </w:divBdr>
    </w:div>
    <w:div w:id="1685354241">
      <w:bodyDiv w:val="1"/>
      <w:marLeft w:val="0"/>
      <w:marRight w:val="0"/>
      <w:marTop w:val="0"/>
      <w:marBottom w:val="0"/>
      <w:divBdr>
        <w:top w:val="none" w:sz="0" w:space="0" w:color="auto"/>
        <w:left w:val="none" w:sz="0" w:space="0" w:color="auto"/>
        <w:bottom w:val="none" w:sz="0" w:space="0" w:color="auto"/>
        <w:right w:val="none" w:sz="0" w:space="0" w:color="auto"/>
      </w:divBdr>
    </w:div>
    <w:div w:id="1694380536">
      <w:bodyDiv w:val="1"/>
      <w:marLeft w:val="0"/>
      <w:marRight w:val="0"/>
      <w:marTop w:val="0"/>
      <w:marBottom w:val="0"/>
      <w:divBdr>
        <w:top w:val="none" w:sz="0" w:space="0" w:color="auto"/>
        <w:left w:val="none" w:sz="0" w:space="0" w:color="auto"/>
        <w:bottom w:val="none" w:sz="0" w:space="0" w:color="auto"/>
        <w:right w:val="none" w:sz="0" w:space="0" w:color="auto"/>
      </w:divBdr>
      <w:divsChild>
        <w:div w:id="13586956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0160144">
      <w:bodyDiv w:val="1"/>
      <w:marLeft w:val="0"/>
      <w:marRight w:val="0"/>
      <w:marTop w:val="0"/>
      <w:marBottom w:val="0"/>
      <w:divBdr>
        <w:top w:val="none" w:sz="0" w:space="0" w:color="auto"/>
        <w:left w:val="none" w:sz="0" w:space="0" w:color="auto"/>
        <w:bottom w:val="none" w:sz="0" w:space="0" w:color="auto"/>
        <w:right w:val="none" w:sz="0" w:space="0" w:color="auto"/>
      </w:divBdr>
    </w:div>
    <w:div w:id="1701007422">
      <w:bodyDiv w:val="1"/>
      <w:marLeft w:val="0"/>
      <w:marRight w:val="0"/>
      <w:marTop w:val="0"/>
      <w:marBottom w:val="0"/>
      <w:divBdr>
        <w:top w:val="none" w:sz="0" w:space="0" w:color="auto"/>
        <w:left w:val="none" w:sz="0" w:space="0" w:color="auto"/>
        <w:bottom w:val="none" w:sz="0" w:space="0" w:color="auto"/>
        <w:right w:val="none" w:sz="0" w:space="0" w:color="auto"/>
      </w:divBdr>
    </w:div>
    <w:div w:id="1711416149">
      <w:bodyDiv w:val="1"/>
      <w:marLeft w:val="0"/>
      <w:marRight w:val="0"/>
      <w:marTop w:val="0"/>
      <w:marBottom w:val="0"/>
      <w:divBdr>
        <w:top w:val="none" w:sz="0" w:space="0" w:color="auto"/>
        <w:left w:val="none" w:sz="0" w:space="0" w:color="auto"/>
        <w:bottom w:val="none" w:sz="0" w:space="0" w:color="auto"/>
        <w:right w:val="none" w:sz="0" w:space="0" w:color="auto"/>
      </w:divBdr>
      <w:divsChild>
        <w:div w:id="13587022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7849940">
      <w:bodyDiv w:val="1"/>
      <w:marLeft w:val="0"/>
      <w:marRight w:val="0"/>
      <w:marTop w:val="0"/>
      <w:marBottom w:val="0"/>
      <w:divBdr>
        <w:top w:val="none" w:sz="0" w:space="0" w:color="auto"/>
        <w:left w:val="none" w:sz="0" w:space="0" w:color="auto"/>
        <w:bottom w:val="none" w:sz="0" w:space="0" w:color="auto"/>
        <w:right w:val="none" w:sz="0" w:space="0" w:color="auto"/>
      </w:divBdr>
    </w:div>
    <w:div w:id="1723286965">
      <w:bodyDiv w:val="1"/>
      <w:marLeft w:val="0"/>
      <w:marRight w:val="0"/>
      <w:marTop w:val="0"/>
      <w:marBottom w:val="0"/>
      <w:divBdr>
        <w:top w:val="none" w:sz="0" w:space="0" w:color="auto"/>
        <w:left w:val="none" w:sz="0" w:space="0" w:color="auto"/>
        <w:bottom w:val="none" w:sz="0" w:space="0" w:color="auto"/>
        <w:right w:val="none" w:sz="0" w:space="0" w:color="auto"/>
      </w:divBdr>
    </w:div>
    <w:div w:id="1723477951">
      <w:bodyDiv w:val="1"/>
      <w:marLeft w:val="0"/>
      <w:marRight w:val="0"/>
      <w:marTop w:val="0"/>
      <w:marBottom w:val="0"/>
      <w:divBdr>
        <w:top w:val="none" w:sz="0" w:space="0" w:color="auto"/>
        <w:left w:val="none" w:sz="0" w:space="0" w:color="auto"/>
        <w:bottom w:val="none" w:sz="0" w:space="0" w:color="auto"/>
        <w:right w:val="none" w:sz="0" w:space="0" w:color="auto"/>
      </w:divBdr>
      <w:divsChild>
        <w:div w:id="198058122">
          <w:marLeft w:val="0"/>
          <w:marRight w:val="0"/>
          <w:marTop w:val="0"/>
          <w:marBottom w:val="0"/>
          <w:divBdr>
            <w:top w:val="none" w:sz="0" w:space="0" w:color="auto"/>
            <w:left w:val="none" w:sz="0" w:space="0" w:color="auto"/>
            <w:bottom w:val="none" w:sz="0" w:space="0" w:color="auto"/>
            <w:right w:val="none" w:sz="0" w:space="0" w:color="auto"/>
          </w:divBdr>
          <w:divsChild>
            <w:div w:id="919026425">
              <w:marLeft w:val="0"/>
              <w:marRight w:val="0"/>
              <w:marTop w:val="0"/>
              <w:marBottom w:val="0"/>
              <w:divBdr>
                <w:top w:val="none" w:sz="0" w:space="0" w:color="auto"/>
                <w:left w:val="none" w:sz="0" w:space="0" w:color="auto"/>
                <w:bottom w:val="none" w:sz="0" w:space="0" w:color="auto"/>
                <w:right w:val="none" w:sz="0" w:space="0" w:color="auto"/>
              </w:divBdr>
              <w:divsChild>
                <w:div w:id="206189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600860">
      <w:bodyDiv w:val="1"/>
      <w:marLeft w:val="0"/>
      <w:marRight w:val="0"/>
      <w:marTop w:val="0"/>
      <w:marBottom w:val="0"/>
      <w:divBdr>
        <w:top w:val="none" w:sz="0" w:space="0" w:color="auto"/>
        <w:left w:val="none" w:sz="0" w:space="0" w:color="auto"/>
        <w:bottom w:val="none" w:sz="0" w:space="0" w:color="auto"/>
        <w:right w:val="none" w:sz="0" w:space="0" w:color="auto"/>
      </w:divBdr>
    </w:div>
    <w:div w:id="1753702334">
      <w:bodyDiv w:val="1"/>
      <w:marLeft w:val="0"/>
      <w:marRight w:val="0"/>
      <w:marTop w:val="0"/>
      <w:marBottom w:val="0"/>
      <w:divBdr>
        <w:top w:val="none" w:sz="0" w:space="0" w:color="auto"/>
        <w:left w:val="none" w:sz="0" w:space="0" w:color="auto"/>
        <w:bottom w:val="none" w:sz="0" w:space="0" w:color="auto"/>
        <w:right w:val="none" w:sz="0" w:space="0" w:color="auto"/>
      </w:divBdr>
    </w:div>
    <w:div w:id="1756628498">
      <w:bodyDiv w:val="1"/>
      <w:marLeft w:val="0"/>
      <w:marRight w:val="0"/>
      <w:marTop w:val="0"/>
      <w:marBottom w:val="0"/>
      <w:divBdr>
        <w:top w:val="none" w:sz="0" w:space="0" w:color="auto"/>
        <w:left w:val="none" w:sz="0" w:space="0" w:color="auto"/>
        <w:bottom w:val="none" w:sz="0" w:space="0" w:color="auto"/>
        <w:right w:val="none" w:sz="0" w:space="0" w:color="auto"/>
      </w:divBdr>
    </w:div>
    <w:div w:id="1763606286">
      <w:bodyDiv w:val="1"/>
      <w:marLeft w:val="0"/>
      <w:marRight w:val="0"/>
      <w:marTop w:val="0"/>
      <w:marBottom w:val="0"/>
      <w:divBdr>
        <w:top w:val="none" w:sz="0" w:space="0" w:color="auto"/>
        <w:left w:val="none" w:sz="0" w:space="0" w:color="auto"/>
        <w:bottom w:val="none" w:sz="0" w:space="0" w:color="auto"/>
        <w:right w:val="none" w:sz="0" w:space="0" w:color="auto"/>
      </w:divBdr>
    </w:div>
    <w:div w:id="1780949133">
      <w:bodyDiv w:val="1"/>
      <w:marLeft w:val="0"/>
      <w:marRight w:val="0"/>
      <w:marTop w:val="0"/>
      <w:marBottom w:val="0"/>
      <w:divBdr>
        <w:top w:val="none" w:sz="0" w:space="0" w:color="auto"/>
        <w:left w:val="none" w:sz="0" w:space="0" w:color="auto"/>
        <w:bottom w:val="none" w:sz="0" w:space="0" w:color="auto"/>
        <w:right w:val="none" w:sz="0" w:space="0" w:color="auto"/>
      </w:divBdr>
    </w:div>
    <w:div w:id="1783301650">
      <w:bodyDiv w:val="1"/>
      <w:marLeft w:val="0"/>
      <w:marRight w:val="0"/>
      <w:marTop w:val="0"/>
      <w:marBottom w:val="0"/>
      <w:divBdr>
        <w:top w:val="none" w:sz="0" w:space="0" w:color="auto"/>
        <w:left w:val="none" w:sz="0" w:space="0" w:color="auto"/>
        <w:bottom w:val="none" w:sz="0" w:space="0" w:color="auto"/>
        <w:right w:val="none" w:sz="0" w:space="0" w:color="auto"/>
      </w:divBdr>
      <w:divsChild>
        <w:div w:id="1182747349">
          <w:marLeft w:val="0"/>
          <w:marRight w:val="0"/>
          <w:marTop w:val="0"/>
          <w:marBottom w:val="0"/>
          <w:divBdr>
            <w:top w:val="none" w:sz="0" w:space="0" w:color="auto"/>
            <w:left w:val="none" w:sz="0" w:space="0" w:color="auto"/>
            <w:bottom w:val="none" w:sz="0" w:space="0" w:color="auto"/>
            <w:right w:val="none" w:sz="0" w:space="0" w:color="auto"/>
          </w:divBdr>
          <w:divsChild>
            <w:div w:id="2127310683">
              <w:marLeft w:val="0"/>
              <w:marRight w:val="0"/>
              <w:marTop w:val="0"/>
              <w:marBottom w:val="0"/>
              <w:divBdr>
                <w:top w:val="none" w:sz="0" w:space="0" w:color="auto"/>
                <w:left w:val="none" w:sz="0" w:space="0" w:color="auto"/>
                <w:bottom w:val="none" w:sz="0" w:space="0" w:color="auto"/>
                <w:right w:val="none" w:sz="0" w:space="0" w:color="auto"/>
              </w:divBdr>
              <w:divsChild>
                <w:div w:id="1112700362">
                  <w:marLeft w:val="0"/>
                  <w:marRight w:val="0"/>
                  <w:marTop w:val="0"/>
                  <w:marBottom w:val="0"/>
                  <w:divBdr>
                    <w:top w:val="none" w:sz="0" w:space="0" w:color="auto"/>
                    <w:left w:val="none" w:sz="0" w:space="0" w:color="auto"/>
                    <w:bottom w:val="none" w:sz="0" w:space="0" w:color="auto"/>
                    <w:right w:val="none" w:sz="0" w:space="0" w:color="auto"/>
                  </w:divBdr>
                  <w:divsChild>
                    <w:div w:id="403142489">
                      <w:marLeft w:val="0"/>
                      <w:marRight w:val="0"/>
                      <w:marTop w:val="0"/>
                      <w:marBottom w:val="0"/>
                      <w:divBdr>
                        <w:top w:val="none" w:sz="0" w:space="0" w:color="auto"/>
                        <w:left w:val="none" w:sz="0" w:space="0" w:color="auto"/>
                        <w:bottom w:val="none" w:sz="0" w:space="0" w:color="auto"/>
                        <w:right w:val="none" w:sz="0" w:space="0" w:color="auto"/>
                      </w:divBdr>
                    </w:div>
                  </w:divsChild>
                </w:div>
                <w:div w:id="1832091037">
                  <w:marLeft w:val="0"/>
                  <w:marRight w:val="0"/>
                  <w:marTop w:val="0"/>
                  <w:marBottom w:val="0"/>
                  <w:divBdr>
                    <w:top w:val="none" w:sz="0" w:space="0" w:color="auto"/>
                    <w:left w:val="none" w:sz="0" w:space="0" w:color="auto"/>
                    <w:bottom w:val="none" w:sz="0" w:space="0" w:color="auto"/>
                    <w:right w:val="none" w:sz="0" w:space="0" w:color="auto"/>
                  </w:divBdr>
                  <w:divsChild>
                    <w:div w:id="168994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504370">
      <w:bodyDiv w:val="1"/>
      <w:marLeft w:val="0"/>
      <w:marRight w:val="0"/>
      <w:marTop w:val="0"/>
      <w:marBottom w:val="0"/>
      <w:divBdr>
        <w:top w:val="none" w:sz="0" w:space="0" w:color="auto"/>
        <w:left w:val="none" w:sz="0" w:space="0" w:color="auto"/>
        <w:bottom w:val="none" w:sz="0" w:space="0" w:color="auto"/>
        <w:right w:val="none" w:sz="0" w:space="0" w:color="auto"/>
      </w:divBdr>
      <w:divsChild>
        <w:div w:id="1323393694">
          <w:marLeft w:val="0"/>
          <w:marRight w:val="0"/>
          <w:marTop w:val="0"/>
          <w:marBottom w:val="0"/>
          <w:divBdr>
            <w:top w:val="none" w:sz="0" w:space="0" w:color="auto"/>
            <w:left w:val="none" w:sz="0" w:space="0" w:color="auto"/>
            <w:bottom w:val="none" w:sz="0" w:space="0" w:color="auto"/>
            <w:right w:val="none" w:sz="0" w:space="0" w:color="auto"/>
          </w:divBdr>
          <w:divsChild>
            <w:div w:id="616527168">
              <w:marLeft w:val="0"/>
              <w:marRight w:val="0"/>
              <w:marTop w:val="0"/>
              <w:marBottom w:val="0"/>
              <w:divBdr>
                <w:top w:val="none" w:sz="0" w:space="0" w:color="auto"/>
                <w:left w:val="none" w:sz="0" w:space="0" w:color="auto"/>
                <w:bottom w:val="none" w:sz="0" w:space="0" w:color="auto"/>
                <w:right w:val="none" w:sz="0" w:space="0" w:color="auto"/>
              </w:divBdr>
              <w:divsChild>
                <w:div w:id="140483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868925">
      <w:bodyDiv w:val="1"/>
      <w:marLeft w:val="0"/>
      <w:marRight w:val="0"/>
      <w:marTop w:val="0"/>
      <w:marBottom w:val="0"/>
      <w:divBdr>
        <w:top w:val="none" w:sz="0" w:space="0" w:color="auto"/>
        <w:left w:val="none" w:sz="0" w:space="0" w:color="auto"/>
        <w:bottom w:val="none" w:sz="0" w:space="0" w:color="auto"/>
        <w:right w:val="none" w:sz="0" w:space="0" w:color="auto"/>
      </w:divBdr>
    </w:div>
    <w:div w:id="1814246959">
      <w:bodyDiv w:val="1"/>
      <w:marLeft w:val="0"/>
      <w:marRight w:val="0"/>
      <w:marTop w:val="0"/>
      <w:marBottom w:val="0"/>
      <w:divBdr>
        <w:top w:val="none" w:sz="0" w:space="0" w:color="auto"/>
        <w:left w:val="none" w:sz="0" w:space="0" w:color="auto"/>
        <w:bottom w:val="none" w:sz="0" w:space="0" w:color="auto"/>
        <w:right w:val="none" w:sz="0" w:space="0" w:color="auto"/>
      </w:divBdr>
    </w:div>
    <w:div w:id="1814256108">
      <w:bodyDiv w:val="1"/>
      <w:marLeft w:val="0"/>
      <w:marRight w:val="0"/>
      <w:marTop w:val="0"/>
      <w:marBottom w:val="0"/>
      <w:divBdr>
        <w:top w:val="none" w:sz="0" w:space="0" w:color="auto"/>
        <w:left w:val="none" w:sz="0" w:space="0" w:color="auto"/>
        <w:bottom w:val="none" w:sz="0" w:space="0" w:color="auto"/>
        <w:right w:val="none" w:sz="0" w:space="0" w:color="auto"/>
      </w:divBdr>
    </w:div>
    <w:div w:id="1819031569">
      <w:bodyDiv w:val="1"/>
      <w:marLeft w:val="0"/>
      <w:marRight w:val="0"/>
      <w:marTop w:val="0"/>
      <w:marBottom w:val="0"/>
      <w:divBdr>
        <w:top w:val="none" w:sz="0" w:space="0" w:color="auto"/>
        <w:left w:val="none" w:sz="0" w:space="0" w:color="auto"/>
        <w:bottom w:val="none" w:sz="0" w:space="0" w:color="auto"/>
        <w:right w:val="none" w:sz="0" w:space="0" w:color="auto"/>
      </w:divBdr>
    </w:div>
    <w:div w:id="1820533225">
      <w:bodyDiv w:val="1"/>
      <w:marLeft w:val="0"/>
      <w:marRight w:val="0"/>
      <w:marTop w:val="0"/>
      <w:marBottom w:val="0"/>
      <w:divBdr>
        <w:top w:val="none" w:sz="0" w:space="0" w:color="auto"/>
        <w:left w:val="none" w:sz="0" w:space="0" w:color="auto"/>
        <w:bottom w:val="none" w:sz="0" w:space="0" w:color="auto"/>
        <w:right w:val="none" w:sz="0" w:space="0" w:color="auto"/>
      </w:divBdr>
    </w:div>
    <w:div w:id="1824615615">
      <w:bodyDiv w:val="1"/>
      <w:marLeft w:val="0"/>
      <w:marRight w:val="0"/>
      <w:marTop w:val="0"/>
      <w:marBottom w:val="0"/>
      <w:divBdr>
        <w:top w:val="none" w:sz="0" w:space="0" w:color="auto"/>
        <w:left w:val="none" w:sz="0" w:space="0" w:color="auto"/>
        <w:bottom w:val="none" w:sz="0" w:space="0" w:color="auto"/>
        <w:right w:val="none" w:sz="0" w:space="0" w:color="auto"/>
      </w:divBdr>
    </w:div>
    <w:div w:id="1827815587">
      <w:bodyDiv w:val="1"/>
      <w:marLeft w:val="0"/>
      <w:marRight w:val="0"/>
      <w:marTop w:val="0"/>
      <w:marBottom w:val="0"/>
      <w:divBdr>
        <w:top w:val="none" w:sz="0" w:space="0" w:color="auto"/>
        <w:left w:val="none" w:sz="0" w:space="0" w:color="auto"/>
        <w:bottom w:val="none" w:sz="0" w:space="0" w:color="auto"/>
        <w:right w:val="none" w:sz="0" w:space="0" w:color="auto"/>
      </w:divBdr>
    </w:div>
    <w:div w:id="1833984111">
      <w:bodyDiv w:val="1"/>
      <w:marLeft w:val="0"/>
      <w:marRight w:val="0"/>
      <w:marTop w:val="0"/>
      <w:marBottom w:val="0"/>
      <w:divBdr>
        <w:top w:val="none" w:sz="0" w:space="0" w:color="auto"/>
        <w:left w:val="none" w:sz="0" w:space="0" w:color="auto"/>
        <w:bottom w:val="none" w:sz="0" w:space="0" w:color="auto"/>
        <w:right w:val="none" w:sz="0" w:space="0" w:color="auto"/>
      </w:divBdr>
    </w:div>
    <w:div w:id="1837720463">
      <w:bodyDiv w:val="1"/>
      <w:marLeft w:val="0"/>
      <w:marRight w:val="0"/>
      <w:marTop w:val="0"/>
      <w:marBottom w:val="0"/>
      <w:divBdr>
        <w:top w:val="none" w:sz="0" w:space="0" w:color="auto"/>
        <w:left w:val="none" w:sz="0" w:space="0" w:color="auto"/>
        <w:bottom w:val="none" w:sz="0" w:space="0" w:color="auto"/>
        <w:right w:val="none" w:sz="0" w:space="0" w:color="auto"/>
      </w:divBdr>
      <w:divsChild>
        <w:div w:id="1346790316">
          <w:marLeft w:val="0"/>
          <w:marRight w:val="0"/>
          <w:marTop w:val="0"/>
          <w:marBottom w:val="0"/>
          <w:divBdr>
            <w:top w:val="none" w:sz="0" w:space="0" w:color="auto"/>
            <w:left w:val="none" w:sz="0" w:space="0" w:color="auto"/>
            <w:bottom w:val="none" w:sz="0" w:space="0" w:color="auto"/>
            <w:right w:val="none" w:sz="0" w:space="0" w:color="auto"/>
          </w:divBdr>
          <w:divsChild>
            <w:div w:id="1856004">
              <w:marLeft w:val="0"/>
              <w:marRight w:val="0"/>
              <w:marTop w:val="0"/>
              <w:marBottom w:val="240"/>
              <w:divBdr>
                <w:top w:val="none" w:sz="0" w:space="0" w:color="auto"/>
                <w:left w:val="none" w:sz="0" w:space="0" w:color="auto"/>
                <w:bottom w:val="none" w:sz="0" w:space="0" w:color="auto"/>
                <w:right w:val="none" w:sz="0" w:space="0" w:color="auto"/>
              </w:divBdr>
            </w:div>
            <w:div w:id="31227749">
              <w:marLeft w:val="0"/>
              <w:marRight w:val="0"/>
              <w:marTop w:val="0"/>
              <w:marBottom w:val="240"/>
              <w:divBdr>
                <w:top w:val="none" w:sz="0" w:space="0" w:color="auto"/>
                <w:left w:val="none" w:sz="0" w:space="0" w:color="auto"/>
                <w:bottom w:val="none" w:sz="0" w:space="0" w:color="auto"/>
                <w:right w:val="none" w:sz="0" w:space="0" w:color="auto"/>
              </w:divBdr>
            </w:div>
            <w:div w:id="57095165">
              <w:marLeft w:val="0"/>
              <w:marRight w:val="0"/>
              <w:marTop w:val="0"/>
              <w:marBottom w:val="240"/>
              <w:divBdr>
                <w:top w:val="none" w:sz="0" w:space="0" w:color="auto"/>
                <w:left w:val="none" w:sz="0" w:space="0" w:color="auto"/>
                <w:bottom w:val="none" w:sz="0" w:space="0" w:color="auto"/>
                <w:right w:val="none" w:sz="0" w:space="0" w:color="auto"/>
              </w:divBdr>
            </w:div>
            <w:div w:id="63065674">
              <w:marLeft w:val="0"/>
              <w:marRight w:val="0"/>
              <w:marTop w:val="0"/>
              <w:marBottom w:val="240"/>
              <w:divBdr>
                <w:top w:val="none" w:sz="0" w:space="0" w:color="auto"/>
                <w:left w:val="none" w:sz="0" w:space="0" w:color="auto"/>
                <w:bottom w:val="none" w:sz="0" w:space="0" w:color="auto"/>
                <w:right w:val="none" w:sz="0" w:space="0" w:color="auto"/>
              </w:divBdr>
            </w:div>
            <w:div w:id="67768304">
              <w:marLeft w:val="0"/>
              <w:marRight w:val="0"/>
              <w:marTop w:val="0"/>
              <w:marBottom w:val="240"/>
              <w:divBdr>
                <w:top w:val="none" w:sz="0" w:space="0" w:color="auto"/>
                <w:left w:val="none" w:sz="0" w:space="0" w:color="auto"/>
                <w:bottom w:val="none" w:sz="0" w:space="0" w:color="auto"/>
                <w:right w:val="none" w:sz="0" w:space="0" w:color="auto"/>
              </w:divBdr>
            </w:div>
            <w:div w:id="109787538">
              <w:marLeft w:val="0"/>
              <w:marRight w:val="0"/>
              <w:marTop w:val="0"/>
              <w:marBottom w:val="240"/>
              <w:divBdr>
                <w:top w:val="none" w:sz="0" w:space="0" w:color="auto"/>
                <w:left w:val="none" w:sz="0" w:space="0" w:color="auto"/>
                <w:bottom w:val="none" w:sz="0" w:space="0" w:color="auto"/>
                <w:right w:val="none" w:sz="0" w:space="0" w:color="auto"/>
              </w:divBdr>
            </w:div>
            <w:div w:id="122501277">
              <w:marLeft w:val="0"/>
              <w:marRight w:val="0"/>
              <w:marTop w:val="0"/>
              <w:marBottom w:val="240"/>
              <w:divBdr>
                <w:top w:val="none" w:sz="0" w:space="0" w:color="auto"/>
                <w:left w:val="none" w:sz="0" w:space="0" w:color="auto"/>
                <w:bottom w:val="none" w:sz="0" w:space="0" w:color="auto"/>
                <w:right w:val="none" w:sz="0" w:space="0" w:color="auto"/>
              </w:divBdr>
            </w:div>
            <w:div w:id="134034116">
              <w:marLeft w:val="0"/>
              <w:marRight w:val="0"/>
              <w:marTop w:val="0"/>
              <w:marBottom w:val="240"/>
              <w:divBdr>
                <w:top w:val="none" w:sz="0" w:space="0" w:color="auto"/>
                <w:left w:val="none" w:sz="0" w:space="0" w:color="auto"/>
                <w:bottom w:val="none" w:sz="0" w:space="0" w:color="auto"/>
                <w:right w:val="none" w:sz="0" w:space="0" w:color="auto"/>
              </w:divBdr>
            </w:div>
            <w:div w:id="140467262">
              <w:marLeft w:val="0"/>
              <w:marRight w:val="0"/>
              <w:marTop w:val="0"/>
              <w:marBottom w:val="240"/>
              <w:divBdr>
                <w:top w:val="none" w:sz="0" w:space="0" w:color="auto"/>
                <w:left w:val="none" w:sz="0" w:space="0" w:color="auto"/>
                <w:bottom w:val="none" w:sz="0" w:space="0" w:color="auto"/>
                <w:right w:val="none" w:sz="0" w:space="0" w:color="auto"/>
              </w:divBdr>
            </w:div>
            <w:div w:id="143010720">
              <w:marLeft w:val="0"/>
              <w:marRight w:val="0"/>
              <w:marTop w:val="0"/>
              <w:marBottom w:val="240"/>
              <w:divBdr>
                <w:top w:val="none" w:sz="0" w:space="0" w:color="auto"/>
                <w:left w:val="none" w:sz="0" w:space="0" w:color="auto"/>
                <w:bottom w:val="none" w:sz="0" w:space="0" w:color="auto"/>
                <w:right w:val="none" w:sz="0" w:space="0" w:color="auto"/>
              </w:divBdr>
            </w:div>
            <w:div w:id="220601329">
              <w:marLeft w:val="0"/>
              <w:marRight w:val="0"/>
              <w:marTop w:val="0"/>
              <w:marBottom w:val="240"/>
              <w:divBdr>
                <w:top w:val="none" w:sz="0" w:space="0" w:color="auto"/>
                <w:left w:val="none" w:sz="0" w:space="0" w:color="auto"/>
                <w:bottom w:val="none" w:sz="0" w:space="0" w:color="auto"/>
                <w:right w:val="none" w:sz="0" w:space="0" w:color="auto"/>
              </w:divBdr>
            </w:div>
            <w:div w:id="289551437">
              <w:marLeft w:val="0"/>
              <w:marRight w:val="0"/>
              <w:marTop w:val="0"/>
              <w:marBottom w:val="240"/>
              <w:divBdr>
                <w:top w:val="none" w:sz="0" w:space="0" w:color="auto"/>
                <w:left w:val="none" w:sz="0" w:space="0" w:color="auto"/>
                <w:bottom w:val="none" w:sz="0" w:space="0" w:color="auto"/>
                <w:right w:val="none" w:sz="0" w:space="0" w:color="auto"/>
              </w:divBdr>
            </w:div>
            <w:div w:id="333342182">
              <w:marLeft w:val="0"/>
              <w:marRight w:val="0"/>
              <w:marTop w:val="0"/>
              <w:marBottom w:val="240"/>
              <w:divBdr>
                <w:top w:val="none" w:sz="0" w:space="0" w:color="auto"/>
                <w:left w:val="none" w:sz="0" w:space="0" w:color="auto"/>
                <w:bottom w:val="none" w:sz="0" w:space="0" w:color="auto"/>
                <w:right w:val="none" w:sz="0" w:space="0" w:color="auto"/>
              </w:divBdr>
            </w:div>
            <w:div w:id="364135531">
              <w:marLeft w:val="0"/>
              <w:marRight w:val="0"/>
              <w:marTop w:val="0"/>
              <w:marBottom w:val="240"/>
              <w:divBdr>
                <w:top w:val="none" w:sz="0" w:space="0" w:color="auto"/>
                <w:left w:val="none" w:sz="0" w:space="0" w:color="auto"/>
                <w:bottom w:val="none" w:sz="0" w:space="0" w:color="auto"/>
                <w:right w:val="none" w:sz="0" w:space="0" w:color="auto"/>
              </w:divBdr>
            </w:div>
            <w:div w:id="375088869">
              <w:marLeft w:val="0"/>
              <w:marRight w:val="0"/>
              <w:marTop w:val="0"/>
              <w:marBottom w:val="240"/>
              <w:divBdr>
                <w:top w:val="none" w:sz="0" w:space="0" w:color="auto"/>
                <w:left w:val="none" w:sz="0" w:space="0" w:color="auto"/>
                <w:bottom w:val="none" w:sz="0" w:space="0" w:color="auto"/>
                <w:right w:val="none" w:sz="0" w:space="0" w:color="auto"/>
              </w:divBdr>
            </w:div>
            <w:div w:id="395860259">
              <w:marLeft w:val="0"/>
              <w:marRight w:val="0"/>
              <w:marTop w:val="0"/>
              <w:marBottom w:val="240"/>
              <w:divBdr>
                <w:top w:val="none" w:sz="0" w:space="0" w:color="auto"/>
                <w:left w:val="none" w:sz="0" w:space="0" w:color="auto"/>
                <w:bottom w:val="none" w:sz="0" w:space="0" w:color="auto"/>
                <w:right w:val="none" w:sz="0" w:space="0" w:color="auto"/>
              </w:divBdr>
            </w:div>
            <w:div w:id="396321132">
              <w:marLeft w:val="0"/>
              <w:marRight w:val="0"/>
              <w:marTop w:val="0"/>
              <w:marBottom w:val="240"/>
              <w:divBdr>
                <w:top w:val="none" w:sz="0" w:space="0" w:color="auto"/>
                <w:left w:val="none" w:sz="0" w:space="0" w:color="auto"/>
                <w:bottom w:val="none" w:sz="0" w:space="0" w:color="auto"/>
                <w:right w:val="none" w:sz="0" w:space="0" w:color="auto"/>
              </w:divBdr>
            </w:div>
            <w:div w:id="494298718">
              <w:marLeft w:val="0"/>
              <w:marRight w:val="0"/>
              <w:marTop w:val="0"/>
              <w:marBottom w:val="240"/>
              <w:divBdr>
                <w:top w:val="none" w:sz="0" w:space="0" w:color="auto"/>
                <w:left w:val="none" w:sz="0" w:space="0" w:color="auto"/>
                <w:bottom w:val="none" w:sz="0" w:space="0" w:color="auto"/>
                <w:right w:val="none" w:sz="0" w:space="0" w:color="auto"/>
              </w:divBdr>
            </w:div>
            <w:div w:id="559560291">
              <w:marLeft w:val="0"/>
              <w:marRight w:val="0"/>
              <w:marTop w:val="0"/>
              <w:marBottom w:val="240"/>
              <w:divBdr>
                <w:top w:val="none" w:sz="0" w:space="0" w:color="auto"/>
                <w:left w:val="none" w:sz="0" w:space="0" w:color="auto"/>
                <w:bottom w:val="none" w:sz="0" w:space="0" w:color="auto"/>
                <w:right w:val="none" w:sz="0" w:space="0" w:color="auto"/>
              </w:divBdr>
            </w:div>
            <w:div w:id="590890487">
              <w:marLeft w:val="0"/>
              <w:marRight w:val="0"/>
              <w:marTop w:val="0"/>
              <w:marBottom w:val="240"/>
              <w:divBdr>
                <w:top w:val="none" w:sz="0" w:space="0" w:color="auto"/>
                <w:left w:val="none" w:sz="0" w:space="0" w:color="auto"/>
                <w:bottom w:val="none" w:sz="0" w:space="0" w:color="auto"/>
                <w:right w:val="none" w:sz="0" w:space="0" w:color="auto"/>
              </w:divBdr>
            </w:div>
            <w:div w:id="600188150">
              <w:marLeft w:val="0"/>
              <w:marRight w:val="0"/>
              <w:marTop w:val="0"/>
              <w:marBottom w:val="240"/>
              <w:divBdr>
                <w:top w:val="none" w:sz="0" w:space="0" w:color="auto"/>
                <w:left w:val="none" w:sz="0" w:space="0" w:color="auto"/>
                <w:bottom w:val="none" w:sz="0" w:space="0" w:color="auto"/>
                <w:right w:val="none" w:sz="0" w:space="0" w:color="auto"/>
              </w:divBdr>
            </w:div>
            <w:div w:id="769592769">
              <w:marLeft w:val="0"/>
              <w:marRight w:val="0"/>
              <w:marTop w:val="0"/>
              <w:marBottom w:val="240"/>
              <w:divBdr>
                <w:top w:val="none" w:sz="0" w:space="0" w:color="auto"/>
                <w:left w:val="none" w:sz="0" w:space="0" w:color="auto"/>
                <w:bottom w:val="none" w:sz="0" w:space="0" w:color="auto"/>
                <w:right w:val="none" w:sz="0" w:space="0" w:color="auto"/>
              </w:divBdr>
            </w:div>
            <w:div w:id="809713732">
              <w:marLeft w:val="0"/>
              <w:marRight w:val="0"/>
              <w:marTop w:val="0"/>
              <w:marBottom w:val="240"/>
              <w:divBdr>
                <w:top w:val="none" w:sz="0" w:space="0" w:color="auto"/>
                <w:left w:val="none" w:sz="0" w:space="0" w:color="auto"/>
                <w:bottom w:val="none" w:sz="0" w:space="0" w:color="auto"/>
                <w:right w:val="none" w:sz="0" w:space="0" w:color="auto"/>
              </w:divBdr>
            </w:div>
            <w:div w:id="811681011">
              <w:marLeft w:val="0"/>
              <w:marRight w:val="0"/>
              <w:marTop w:val="0"/>
              <w:marBottom w:val="240"/>
              <w:divBdr>
                <w:top w:val="none" w:sz="0" w:space="0" w:color="auto"/>
                <w:left w:val="none" w:sz="0" w:space="0" w:color="auto"/>
                <w:bottom w:val="none" w:sz="0" w:space="0" w:color="auto"/>
                <w:right w:val="none" w:sz="0" w:space="0" w:color="auto"/>
              </w:divBdr>
            </w:div>
            <w:div w:id="829173500">
              <w:marLeft w:val="0"/>
              <w:marRight w:val="0"/>
              <w:marTop w:val="0"/>
              <w:marBottom w:val="240"/>
              <w:divBdr>
                <w:top w:val="none" w:sz="0" w:space="0" w:color="auto"/>
                <w:left w:val="none" w:sz="0" w:space="0" w:color="auto"/>
                <w:bottom w:val="none" w:sz="0" w:space="0" w:color="auto"/>
                <w:right w:val="none" w:sz="0" w:space="0" w:color="auto"/>
              </w:divBdr>
            </w:div>
            <w:div w:id="838613909">
              <w:marLeft w:val="0"/>
              <w:marRight w:val="0"/>
              <w:marTop w:val="0"/>
              <w:marBottom w:val="240"/>
              <w:divBdr>
                <w:top w:val="none" w:sz="0" w:space="0" w:color="auto"/>
                <w:left w:val="none" w:sz="0" w:space="0" w:color="auto"/>
                <w:bottom w:val="none" w:sz="0" w:space="0" w:color="auto"/>
                <w:right w:val="none" w:sz="0" w:space="0" w:color="auto"/>
              </w:divBdr>
            </w:div>
            <w:div w:id="854803721">
              <w:marLeft w:val="0"/>
              <w:marRight w:val="0"/>
              <w:marTop w:val="0"/>
              <w:marBottom w:val="240"/>
              <w:divBdr>
                <w:top w:val="none" w:sz="0" w:space="0" w:color="auto"/>
                <w:left w:val="none" w:sz="0" w:space="0" w:color="auto"/>
                <w:bottom w:val="none" w:sz="0" w:space="0" w:color="auto"/>
                <w:right w:val="none" w:sz="0" w:space="0" w:color="auto"/>
              </w:divBdr>
            </w:div>
            <w:div w:id="861750002">
              <w:marLeft w:val="0"/>
              <w:marRight w:val="0"/>
              <w:marTop w:val="0"/>
              <w:marBottom w:val="240"/>
              <w:divBdr>
                <w:top w:val="none" w:sz="0" w:space="0" w:color="auto"/>
                <w:left w:val="none" w:sz="0" w:space="0" w:color="auto"/>
                <w:bottom w:val="none" w:sz="0" w:space="0" w:color="auto"/>
                <w:right w:val="none" w:sz="0" w:space="0" w:color="auto"/>
              </w:divBdr>
            </w:div>
            <w:div w:id="871770456">
              <w:marLeft w:val="0"/>
              <w:marRight w:val="0"/>
              <w:marTop w:val="0"/>
              <w:marBottom w:val="240"/>
              <w:divBdr>
                <w:top w:val="none" w:sz="0" w:space="0" w:color="auto"/>
                <w:left w:val="none" w:sz="0" w:space="0" w:color="auto"/>
                <w:bottom w:val="none" w:sz="0" w:space="0" w:color="auto"/>
                <w:right w:val="none" w:sz="0" w:space="0" w:color="auto"/>
              </w:divBdr>
            </w:div>
            <w:div w:id="949513249">
              <w:marLeft w:val="0"/>
              <w:marRight w:val="0"/>
              <w:marTop w:val="0"/>
              <w:marBottom w:val="240"/>
              <w:divBdr>
                <w:top w:val="none" w:sz="0" w:space="0" w:color="auto"/>
                <w:left w:val="none" w:sz="0" w:space="0" w:color="auto"/>
                <w:bottom w:val="none" w:sz="0" w:space="0" w:color="auto"/>
                <w:right w:val="none" w:sz="0" w:space="0" w:color="auto"/>
              </w:divBdr>
            </w:div>
            <w:div w:id="961418061">
              <w:marLeft w:val="0"/>
              <w:marRight w:val="0"/>
              <w:marTop w:val="0"/>
              <w:marBottom w:val="240"/>
              <w:divBdr>
                <w:top w:val="none" w:sz="0" w:space="0" w:color="auto"/>
                <w:left w:val="none" w:sz="0" w:space="0" w:color="auto"/>
                <w:bottom w:val="none" w:sz="0" w:space="0" w:color="auto"/>
                <w:right w:val="none" w:sz="0" w:space="0" w:color="auto"/>
              </w:divBdr>
            </w:div>
            <w:div w:id="1078090302">
              <w:marLeft w:val="0"/>
              <w:marRight w:val="0"/>
              <w:marTop w:val="0"/>
              <w:marBottom w:val="240"/>
              <w:divBdr>
                <w:top w:val="none" w:sz="0" w:space="0" w:color="auto"/>
                <w:left w:val="none" w:sz="0" w:space="0" w:color="auto"/>
                <w:bottom w:val="none" w:sz="0" w:space="0" w:color="auto"/>
                <w:right w:val="none" w:sz="0" w:space="0" w:color="auto"/>
              </w:divBdr>
            </w:div>
            <w:div w:id="1082458631">
              <w:marLeft w:val="0"/>
              <w:marRight w:val="0"/>
              <w:marTop w:val="0"/>
              <w:marBottom w:val="240"/>
              <w:divBdr>
                <w:top w:val="none" w:sz="0" w:space="0" w:color="auto"/>
                <w:left w:val="none" w:sz="0" w:space="0" w:color="auto"/>
                <w:bottom w:val="none" w:sz="0" w:space="0" w:color="auto"/>
                <w:right w:val="none" w:sz="0" w:space="0" w:color="auto"/>
              </w:divBdr>
            </w:div>
            <w:div w:id="1145511235">
              <w:marLeft w:val="0"/>
              <w:marRight w:val="0"/>
              <w:marTop w:val="0"/>
              <w:marBottom w:val="240"/>
              <w:divBdr>
                <w:top w:val="none" w:sz="0" w:space="0" w:color="auto"/>
                <w:left w:val="none" w:sz="0" w:space="0" w:color="auto"/>
                <w:bottom w:val="none" w:sz="0" w:space="0" w:color="auto"/>
                <w:right w:val="none" w:sz="0" w:space="0" w:color="auto"/>
              </w:divBdr>
            </w:div>
            <w:div w:id="1261448708">
              <w:marLeft w:val="0"/>
              <w:marRight w:val="0"/>
              <w:marTop w:val="0"/>
              <w:marBottom w:val="240"/>
              <w:divBdr>
                <w:top w:val="none" w:sz="0" w:space="0" w:color="auto"/>
                <w:left w:val="none" w:sz="0" w:space="0" w:color="auto"/>
                <w:bottom w:val="none" w:sz="0" w:space="0" w:color="auto"/>
                <w:right w:val="none" w:sz="0" w:space="0" w:color="auto"/>
              </w:divBdr>
            </w:div>
            <w:div w:id="1265073237">
              <w:marLeft w:val="0"/>
              <w:marRight w:val="0"/>
              <w:marTop w:val="0"/>
              <w:marBottom w:val="240"/>
              <w:divBdr>
                <w:top w:val="none" w:sz="0" w:space="0" w:color="auto"/>
                <w:left w:val="none" w:sz="0" w:space="0" w:color="auto"/>
                <w:bottom w:val="none" w:sz="0" w:space="0" w:color="auto"/>
                <w:right w:val="none" w:sz="0" w:space="0" w:color="auto"/>
              </w:divBdr>
            </w:div>
            <w:div w:id="1274049090">
              <w:marLeft w:val="0"/>
              <w:marRight w:val="0"/>
              <w:marTop w:val="0"/>
              <w:marBottom w:val="240"/>
              <w:divBdr>
                <w:top w:val="none" w:sz="0" w:space="0" w:color="auto"/>
                <w:left w:val="none" w:sz="0" w:space="0" w:color="auto"/>
                <w:bottom w:val="none" w:sz="0" w:space="0" w:color="auto"/>
                <w:right w:val="none" w:sz="0" w:space="0" w:color="auto"/>
              </w:divBdr>
            </w:div>
            <w:div w:id="1299454694">
              <w:marLeft w:val="0"/>
              <w:marRight w:val="0"/>
              <w:marTop w:val="0"/>
              <w:marBottom w:val="240"/>
              <w:divBdr>
                <w:top w:val="none" w:sz="0" w:space="0" w:color="auto"/>
                <w:left w:val="none" w:sz="0" w:space="0" w:color="auto"/>
                <w:bottom w:val="none" w:sz="0" w:space="0" w:color="auto"/>
                <w:right w:val="none" w:sz="0" w:space="0" w:color="auto"/>
              </w:divBdr>
            </w:div>
            <w:div w:id="1317563794">
              <w:marLeft w:val="0"/>
              <w:marRight w:val="0"/>
              <w:marTop w:val="0"/>
              <w:marBottom w:val="240"/>
              <w:divBdr>
                <w:top w:val="none" w:sz="0" w:space="0" w:color="auto"/>
                <w:left w:val="none" w:sz="0" w:space="0" w:color="auto"/>
                <w:bottom w:val="none" w:sz="0" w:space="0" w:color="auto"/>
                <w:right w:val="none" w:sz="0" w:space="0" w:color="auto"/>
              </w:divBdr>
            </w:div>
            <w:div w:id="1377898205">
              <w:marLeft w:val="0"/>
              <w:marRight w:val="0"/>
              <w:marTop w:val="0"/>
              <w:marBottom w:val="240"/>
              <w:divBdr>
                <w:top w:val="none" w:sz="0" w:space="0" w:color="auto"/>
                <w:left w:val="none" w:sz="0" w:space="0" w:color="auto"/>
                <w:bottom w:val="none" w:sz="0" w:space="0" w:color="auto"/>
                <w:right w:val="none" w:sz="0" w:space="0" w:color="auto"/>
              </w:divBdr>
            </w:div>
            <w:div w:id="1403064411">
              <w:marLeft w:val="0"/>
              <w:marRight w:val="0"/>
              <w:marTop w:val="0"/>
              <w:marBottom w:val="240"/>
              <w:divBdr>
                <w:top w:val="none" w:sz="0" w:space="0" w:color="auto"/>
                <w:left w:val="none" w:sz="0" w:space="0" w:color="auto"/>
                <w:bottom w:val="none" w:sz="0" w:space="0" w:color="auto"/>
                <w:right w:val="none" w:sz="0" w:space="0" w:color="auto"/>
              </w:divBdr>
            </w:div>
            <w:div w:id="1542279994">
              <w:marLeft w:val="0"/>
              <w:marRight w:val="0"/>
              <w:marTop w:val="0"/>
              <w:marBottom w:val="240"/>
              <w:divBdr>
                <w:top w:val="none" w:sz="0" w:space="0" w:color="auto"/>
                <w:left w:val="none" w:sz="0" w:space="0" w:color="auto"/>
                <w:bottom w:val="none" w:sz="0" w:space="0" w:color="auto"/>
                <w:right w:val="none" w:sz="0" w:space="0" w:color="auto"/>
              </w:divBdr>
            </w:div>
            <w:div w:id="1652439474">
              <w:marLeft w:val="0"/>
              <w:marRight w:val="0"/>
              <w:marTop w:val="0"/>
              <w:marBottom w:val="240"/>
              <w:divBdr>
                <w:top w:val="none" w:sz="0" w:space="0" w:color="auto"/>
                <w:left w:val="none" w:sz="0" w:space="0" w:color="auto"/>
                <w:bottom w:val="none" w:sz="0" w:space="0" w:color="auto"/>
                <w:right w:val="none" w:sz="0" w:space="0" w:color="auto"/>
              </w:divBdr>
            </w:div>
            <w:div w:id="1656909052">
              <w:marLeft w:val="0"/>
              <w:marRight w:val="0"/>
              <w:marTop w:val="0"/>
              <w:marBottom w:val="240"/>
              <w:divBdr>
                <w:top w:val="none" w:sz="0" w:space="0" w:color="auto"/>
                <w:left w:val="none" w:sz="0" w:space="0" w:color="auto"/>
                <w:bottom w:val="none" w:sz="0" w:space="0" w:color="auto"/>
                <w:right w:val="none" w:sz="0" w:space="0" w:color="auto"/>
              </w:divBdr>
            </w:div>
            <w:div w:id="1680309856">
              <w:marLeft w:val="0"/>
              <w:marRight w:val="0"/>
              <w:marTop w:val="0"/>
              <w:marBottom w:val="240"/>
              <w:divBdr>
                <w:top w:val="none" w:sz="0" w:space="0" w:color="auto"/>
                <w:left w:val="none" w:sz="0" w:space="0" w:color="auto"/>
                <w:bottom w:val="none" w:sz="0" w:space="0" w:color="auto"/>
                <w:right w:val="none" w:sz="0" w:space="0" w:color="auto"/>
              </w:divBdr>
            </w:div>
            <w:div w:id="1688827892">
              <w:marLeft w:val="0"/>
              <w:marRight w:val="0"/>
              <w:marTop w:val="0"/>
              <w:marBottom w:val="240"/>
              <w:divBdr>
                <w:top w:val="none" w:sz="0" w:space="0" w:color="auto"/>
                <w:left w:val="none" w:sz="0" w:space="0" w:color="auto"/>
                <w:bottom w:val="none" w:sz="0" w:space="0" w:color="auto"/>
                <w:right w:val="none" w:sz="0" w:space="0" w:color="auto"/>
              </w:divBdr>
            </w:div>
            <w:div w:id="1714963852">
              <w:marLeft w:val="0"/>
              <w:marRight w:val="0"/>
              <w:marTop w:val="0"/>
              <w:marBottom w:val="240"/>
              <w:divBdr>
                <w:top w:val="none" w:sz="0" w:space="0" w:color="auto"/>
                <w:left w:val="none" w:sz="0" w:space="0" w:color="auto"/>
                <w:bottom w:val="none" w:sz="0" w:space="0" w:color="auto"/>
                <w:right w:val="none" w:sz="0" w:space="0" w:color="auto"/>
              </w:divBdr>
            </w:div>
            <w:div w:id="1767461427">
              <w:marLeft w:val="0"/>
              <w:marRight w:val="0"/>
              <w:marTop w:val="0"/>
              <w:marBottom w:val="240"/>
              <w:divBdr>
                <w:top w:val="none" w:sz="0" w:space="0" w:color="auto"/>
                <w:left w:val="none" w:sz="0" w:space="0" w:color="auto"/>
                <w:bottom w:val="none" w:sz="0" w:space="0" w:color="auto"/>
                <w:right w:val="none" w:sz="0" w:space="0" w:color="auto"/>
              </w:divBdr>
            </w:div>
            <w:div w:id="1800799125">
              <w:marLeft w:val="0"/>
              <w:marRight w:val="0"/>
              <w:marTop w:val="0"/>
              <w:marBottom w:val="240"/>
              <w:divBdr>
                <w:top w:val="none" w:sz="0" w:space="0" w:color="auto"/>
                <w:left w:val="none" w:sz="0" w:space="0" w:color="auto"/>
                <w:bottom w:val="none" w:sz="0" w:space="0" w:color="auto"/>
                <w:right w:val="none" w:sz="0" w:space="0" w:color="auto"/>
              </w:divBdr>
            </w:div>
            <w:div w:id="1808887582">
              <w:marLeft w:val="0"/>
              <w:marRight w:val="0"/>
              <w:marTop w:val="0"/>
              <w:marBottom w:val="240"/>
              <w:divBdr>
                <w:top w:val="none" w:sz="0" w:space="0" w:color="auto"/>
                <w:left w:val="none" w:sz="0" w:space="0" w:color="auto"/>
                <w:bottom w:val="none" w:sz="0" w:space="0" w:color="auto"/>
                <w:right w:val="none" w:sz="0" w:space="0" w:color="auto"/>
              </w:divBdr>
            </w:div>
            <w:div w:id="1843276681">
              <w:marLeft w:val="0"/>
              <w:marRight w:val="0"/>
              <w:marTop w:val="0"/>
              <w:marBottom w:val="240"/>
              <w:divBdr>
                <w:top w:val="none" w:sz="0" w:space="0" w:color="auto"/>
                <w:left w:val="none" w:sz="0" w:space="0" w:color="auto"/>
                <w:bottom w:val="none" w:sz="0" w:space="0" w:color="auto"/>
                <w:right w:val="none" w:sz="0" w:space="0" w:color="auto"/>
              </w:divBdr>
            </w:div>
            <w:div w:id="1968974906">
              <w:marLeft w:val="0"/>
              <w:marRight w:val="0"/>
              <w:marTop w:val="0"/>
              <w:marBottom w:val="0"/>
              <w:divBdr>
                <w:top w:val="none" w:sz="0" w:space="0" w:color="auto"/>
                <w:left w:val="none" w:sz="0" w:space="0" w:color="auto"/>
                <w:bottom w:val="none" w:sz="0" w:space="0" w:color="auto"/>
                <w:right w:val="none" w:sz="0" w:space="0" w:color="auto"/>
              </w:divBdr>
            </w:div>
            <w:div w:id="2037728391">
              <w:marLeft w:val="0"/>
              <w:marRight w:val="0"/>
              <w:marTop w:val="0"/>
              <w:marBottom w:val="240"/>
              <w:divBdr>
                <w:top w:val="none" w:sz="0" w:space="0" w:color="auto"/>
                <w:left w:val="none" w:sz="0" w:space="0" w:color="auto"/>
                <w:bottom w:val="none" w:sz="0" w:space="0" w:color="auto"/>
                <w:right w:val="none" w:sz="0" w:space="0" w:color="auto"/>
              </w:divBdr>
            </w:div>
            <w:div w:id="2048337431">
              <w:marLeft w:val="0"/>
              <w:marRight w:val="0"/>
              <w:marTop w:val="0"/>
              <w:marBottom w:val="240"/>
              <w:divBdr>
                <w:top w:val="none" w:sz="0" w:space="0" w:color="auto"/>
                <w:left w:val="none" w:sz="0" w:space="0" w:color="auto"/>
                <w:bottom w:val="none" w:sz="0" w:space="0" w:color="auto"/>
                <w:right w:val="none" w:sz="0" w:space="0" w:color="auto"/>
              </w:divBdr>
            </w:div>
            <w:div w:id="2087453894">
              <w:marLeft w:val="0"/>
              <w:marRight w:val="0"/>
              <w:marTop w:val="0"/>
              <w:marBottom w:val="240"/>
              <w:divBdr>
                <w:top w:val="none" w:sz="0" w:space="0" w:color="auto"/>
                <w:left w:val="none" w:sz="0" w:space="0" w:color="auto"/>
                <w:bottom w:val="none" w:sz="0" w:space="0" w:color="auto"/>
                <w:right w:val="none" w:sz="0" w:space="0" w:color="auto"/>
              </w:divBdr>
            </w:div>
            <w:div w:id="21077282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838887467">
      <w:bodyDiv w:val="1"/>
      <w:marLeft w:val="0"/>
      <w:marRight w:val="0"/>
      <w:marTop w:val="0"/>
      <w:marBottom w:val="0"/>
      <w:divBdr>
        <w:top w:val="none" w:sz="0" w:space="0" w:color="auto"/>
        <w:left w:val="none" w:sz="0" w:space="0" w:color="auto"/>
        <w:bottom w:val="none" w:sz="0" w:space="0" w:color="auto"/>
        <w:right w:val="none" w:sz="0" w:space="0" w:color="auto"/>
      </w:divBdr>
      <w:divsChild>
        <w:div w:id="1663774606">
          <w:marLeft w:val="0"/>
          <w:marRight w:val="0"/>
          <w:marTop w:val="0"/>
          <w:marBottom w:val="0"/>
          <w:divBdr>
            <w:top w:val="none" w:sz="0" w:space="0" w:color="auto"/>
            <w:left w:val="none" w:sz="0" w:space="0" w:color="auto"/>
            <w:bottom w:val="none" w:sz="0" w:space="0" w:color="auto"/>
            <w:right w:val="none" w:sz="0" w:space="0" w:color="auto"/>
          </w:divBdr>
          <w:divsChild>
            <w:div w:id="1879586435">
              <w:marLeft w:val="0"/>
              <w:marRight w:val="0"/>
              <w:marTop w:val="0"/>
              <w:marBottom w:val="0"/>
              <w:divBdr>
                <w:top w:val="none" w:sz="0" w:space="0" w:color="auto"/>
                <w:left w:val="none" w:sz="0" w:space="0" w:color="auto"/>
                <w:bottom w:val="none" w:sz="0" w:space="0" w:color="auto"/>
                <w:right w:val="none" w:sz="0" w:space="0" w:color="auto"/>
              </w:divBdr>
              <w:divsChild>
                <w:div w:id="611324238">
                  <w:marLeft w:val="0"/>
                  <w:marRight w:val="0"/>
                  <w:marTop w:val="0"/>
                  <w:marBottom w:val="0"/>
                  <w:divBdr>
                    <w:top w:val="none" w:sz="0" w:space="0" w:color="auto"/>
                    <w:left w:val="none" w:sz="0" w:space="0" w:color="auto"/>
                    <w:bottom w:val="none" w:sz="0" w:space="0" w:color="auto"/>
                    <w:right w:val="none" w:sz="0" w:space="0" w:color="auto"/>
                  </w:divBdr>
                  <w:divsChild>
                    <w:div w:id="4281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387233">
      <w:bodyDiv w:val="1"/>
      <w:marLeft w:val="0"/>
      <w:marRight w:val="0"/>
      <w:marTop w:val="0"/>
      <w:marBottom w:val="0"/>
      <w:divBdr>
        <w:top w:val="none" w:sz="0" w:space="0" w:color="auto"/>
        <w:left w:val="none" w:sz="0" w:space="0" w:color="auto"/>
        <w:bottom w:val="none" w:sz="0" w:space="0" w:color="auto"/>
        <w:right w:val="none" w:sz="0" w:space="0" w:color="auto"/>
      </w:divBdr>
    </w:div>
    <w:div w:id="1857845920">
      <w:bodyDiv w:val="1"/>
      <w:marLeft w:val="0"/>
      <w:marRight w:val="0"/>
      <w:marTop w:val="0"/>
      <w:marBottom w:val="0"/>
      <w:divBdr>
        <w:top w:val="none" w:sz="0" w:space="0" w:color="auto"/>
        <w:left w:val="none" w:sz="0" w:space="0" w:color="auto"/>
        <w:bottom w:val="none" w:sz="0" w:space="0" w:color="auto"/>
        <w:right w:val="none" w:sz="0" w:space="0" w:color="auto"/>
      </w:divBdr>
    </w:div>
    <w:div w:id="1872111791">
      <w:bodyDiv w:val="1"/>
      <w:marLeft w:val="0"/>
      <w:marRight w:val="0"/>
      <w:marTop w:val="0"/>
      <w:marBottom w:val="0"/>
      <w:divBdr>
        <w:top w:val="none" w:sz="0" w:space="0" w:color="auto"/>
        <w:left w:val="none" w:sz="0" w:space="0" w:color="auto"/>
        <w:bottom w:val="none" w:sz="0" w:space="0" w:color="auto"/>
        <w:right w:val="none" w:sz="0" w:space="0" w:color="auto"/>
      </w:divBdr>
    </w:div>
    <w:div w:id="1881240637">
      <w:bodyDiv w:val="1"/>
      <w:marLeft w:val="0"/>
      <w:marRight w:val="0"/>
      <w:marTop w:val="0"/>
      <w:marBottom w:val="0"/>
      <w:divBdr>
        <w:top w:val="none" w:sz="0" w:space="0" w:color="auto"/>
        <w:left w:val="none" w:sz="0" w:space="0" w:color="auto"/>
        <w:bottom w:val="none" w:sz="0" w:space="0" w:color="auto"/>
        <w:right w:val="none" w:sz="0" w:space="0" w:color="auto"/>
      </w:divBdr>
    </w:div>
    <w:div w:id="1895700135">
      <w:bodyDiv w:val="1"/>
      <w:marLeft w:val="0"/>
      <w:marRight w:val="0"/>
      <w:marTop w:val="0"/>
      <w:marBottom w:val="0"/>
      <w:divBdr>
        <w:top w:val="none" w:sz="0" w:space="0" w:color="auto"/>
        <w:left w:val="none" w:sz="0" w:space="0" w:color="auto"/>
        <w:bottom w:val="none" w:sz="0" w:space="0" w:color="auto"/>
        <w:right w:val="none" w:sz="0" w:space="0" w:color="auto"/>
      </w:divBdr>
    </w:div>
    <w:div w:id="1900357743">
      <w:bodyDiv w:val="1"/>
      <w:marLeft w:val="0"/>
      <w:marRight w:val="0"/>
      <w:marTop w:val="0"/>
      <w:marBottom w:val="0"/>
      <w:divBdr>
        <w:top w:val="none" w:sz="0" w:space="0" w:color="auto"/>
        <w:left w:val="none" w:sz="0" w:space="0" w:color="auto"/>
        <w:bottom w:val="none" w:sz="0" w:space="0" w:color="auto"/>
        <w:right w:val="none" w:sz="0" w:space="0" w:color="auto"/>
      </w:divBdr>
    </w:div>
    <w:div w:id="1921518563">
      <w:bodyDiv w:val="1"/>
      <w:marLeft w:val="0"/>
      <w:marRight w:val="0"/>
      <w:marTop w:val="0"/>
      <w:marBottom w:val="0"/>
      <w:divBdr>
        <w:top w:val="none" w:sz="0" w:space="0" w:color="auto"/>
        <w:left w:val="none" w:sz="0" w:space="0" w:color="auto"/>
        <w:bottom w:val="none" w:sz="0" w:space="0" w:color="auto"/>
        <w:right w:val="none" w:sz="0" w:space="0" w:color="auto"/>
      </w:divBdr>
    </w:div>
    <w:div w:id="1922328514">
      <w:bodyDiv w:val="1"/>
      <w:marLeft w:val="0"/>
      <w:marRight w:val="0"/>
      <w:marTop w:val="0"/>
      <w:marBottom w:val="0"/>
      <w:divBdr>
        <w:top w:val="none" w:sz="0" w:space="0" w:color="auto"/>
        <w:left w:val="none" w:sz="0" w:space="0" w:color="auto"/>
        <w:bottom w:val="none" w:sz="0" w:space="0" w:color="auto"/>
        <w:right w:val="none" w:sz="0" w:space="0" w:color="auto"/>
      </w:divBdr>
    </w:div>
    <w:div w:id="1926307375">
      <w:bodyDiv w:val="1"/>
      <w:marLeft w:val="0"/>
      <w:marRight w:val="0"/>
      <w:marTop w:val="0"/>
      <w:marBottom w:val="0"/>
      <w:divBdr>
        <w:top w:val="none" w:sz="0" w:space="0" w:color="auto"/>
        <w:left w:val="none" w:sz="0" w:space="0" w:color="auto"/>
        <w:bottom w:val="none" w:sz="0" w:space="0" w:color="auto"/>
        <w:right w:val="none" w:sz="0" w:space="0" w:color="auto"/>
      </w:divBdr>
    </w:div>
    <w:div w:id="1926956494">
      <w:bodyDiv w:val="1"/>
      <w:marLeft w:val="0"/>
      <w:marRight w:val="0"/>
      <w:marTop w:val="0"/>
      <w:marBottom w:val="0"/>
      <w:divBdr>
        <w:top w:val="none" w:sz="0" w:space="0" w:color="auto"/>
        <w:left w:val="none" w:sz="0" w:space="0" w:color="auto"/>
        <w:bottom w:val="none" w:sz="0" w:space="0" w:color="auto"/>
        <w:right w:val="none" w:sz="0" w:space="0" w:color="auto"/>
      </w:divBdr>
      <w:divsChild>
        <w:div w:id="395978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7054042">
      <w:bodyDiv w:val="1"/>
      <w:marLeft w:val="0"/>
      <w:marRight w:val="0"/>
      <w:marTop w:val="0"/>
      <w:marBottom w:val="0"/>
      <w:divBdr>
        <w:top w:val="none" w:sz="0" w:space="0" w:color="auto"/>
        <w:left w:val="none" w:sz="0" w:space="0" w:color="auto"/>
        <w:bottom w:val="none" w:sz="0" w:space="0" w:color="auto"/>
        <w:right w:val="none" w:sz="0" w:space="0" w:color="auto"/>
      </w:divBdr>
    </w:div>
    <w:div w:id="1953971809">
      <w:bodyDiv w:val="1"/>
      <w:marLeft w:val="0"/>
      <w:marRight w:val="0"/>
      <w:marTop w:val="0"/>
      <w:marBottom w:val="0"/>
      <w:divBdr>
        <w:top w:val="none" w:sz="0" w:space="0" w:color="auto"/>
        <w:left w:val="none" w:sz="0" w:space="0" w:color="auto"/>
        <w:bottom w:val="none" w:sz="0" w:space="0" w:color="auto"/>
        <w:right w:val="none" w:sz="0" w:space="0" w:color="auto"/>
      </w:divBdr>
    </w:div>
    <w:div w:id="1953978349">
      <w:bodyDiv w:val="1"/>
      <w:marLeft w:val="0"/>
      <w:marRight w:val="0"/>
      <w:marTop w:val="0"/>
      <w:marBottom w:val="0"/>
      <w:divBdr>
        <w:top w:val="none" w:sz="0" w:space="0" w:color="auto"/>
        <w:left w:val="none" w:sz="0" w:space="0" w:color="auto"/>
        <w:bottom w:val="none" w:sz="0" w:space="0" w:color="auto"/>
        <w:right w:val="none" w:sz="0" w:space="0" w:color="auto"/>
      </w:divBdr>
    </w:div>
    <w:div w:id="1972831648">
      <w:bodyDiv w:val="1"/>
      <w:marLeft w:val="0"/>
      <w:marRight w:val="0"/>
      <w:marTop w:val="0"/>
      <w:marBottom w:val="0"/>
      <w:divBdr>
        <w:top w:val="none" w:sz="0" w:space="0" w:color="auto"/>
        <w:left w:val="none" w:sz="0" w:space="0" w:color="auto"/>
        <w:bottom w:val="none" w:sz="0" w:space="0" w:color="auto"/>
        <w:right w:val="none" w:sz="0" w:space="0" w:color="auto"/>
      </w:divBdr>
    </w:div>
    <w:div w:id="1978220934">
      <w:bodyDiv w:val="1"/>
      <w:marLeft w:val="0"/>
      <w:marRight w:val="0"/>
      <w:marTop w:val="0"/>
      <w:marBottom w:val="0"/>
      <w:divBdr>
        <w:top w:val="none" w:sz="0" w:space="0" w:color="auto"/>
        <w:left w:val="none" w:sz="0" w:space="0" w:color="auto"/>
        <w:bottom w:val="none" w:sz="0" w:space="0" w:color="auto"/>
        <w:right w:val="none" w:sz="0" w:space="0" w:color="auto"/>
      </w:divBdr>
    </w:div>
    <w:div w:id="1978946473">
      <w:bodyDiv w:val="1"/>
      <w:marLeft w:val="0"/>
      <w:marRight w:val="0"/>
      <w:marTop w:val="0"/>
      <w:marBottom w:val="0"/>
      <w:divBdr>
        <w:top w:val="none" w:sz="0" w:space="0" w:color="auto"/>
        <w:left w:val="none" w:sz="0" w:space="0" w:color="auto"/>
        <w:bottom w:val="none" w:sz="0" w:space="0" w:color="auto"/>
        <w:right w:val="none" w:sz="0" w:space="0" w:color="auto"/>
      </w:divBdr>
    </w:div>
    <w:div w:id="1983729129">
      <w:bodyDiv w:val="1"/>
      <w:marLeft w:val="0"/>
      <w:marRight w:val="0"/>
      <w:marTop w:val="0"/>
      <w:marBottom w:val="0"/>
      <w:divBdr>
        <w:top w:val="none" w:sz="0" w:space="0" w:color="auto"/>
        <w:left w:val="none" w:sz="0" w:space="0" w:color="auto"/>
        <w:bottom w:val="none" w:sz="0" w:space="0" w:color="auto"/>
        <w:right w:val="none" w:sz="0" w:space="0" w:color="auto"/>
      </w:divBdr>
    </w:div>
    <w:div w:id="1987004933">
      <w:bodyDiv w:val="1"/>
      <w:marLeft w:val="0"/>
      <w:marRight w:val="0"/>
      <w:marTop w:val="0"/>
      <w:marBottom w:val="0"/>
      <w:divBdr>
        <w:top w:val="none" w:sz="0" w:space="0" w:color="auto"/>
        <w:left w:val="none" w:sz="0" w:space="0" w:color="auto"/>
        <w:bottom w:val="none" w:sz="0" w:space="0" w:color="auto"/>
        <w:right w:val="none" w:sz="0" w:space="0" w:color="auto"/>
      </w:divBdr>
    </w:div>
    <w:div w:id="1989435921">
      <w:bodyDiv w:val="1"/>
      <w:marLeft w:val="0"/>
      <w:marRight w:val="0"/>
      <w:marTop w:val="0"/>
      <w:marBottom w:val="0"/>
      <w:divBdr>
        <w:top w:val="none" w:sz="0" w:space="0" w:color="auto"/>
        <w:left w:val="none" w:sz="0" w:space="0" w:color="auto"/>
        <w:bottom w:val="none" w:sz="0" w:space="0" w:color="auto"/>
        <w:right w:val="none" w:sz="0" w:space="0" w:color="auto"/>
      </w:divBdr>
    </w:div>
    <w:div w:id="1994722380">
      <w:bodyDiv w:val="1"/>
      <w:marLeft w:val="0"/>
      <w:marRight w:val="0"/>
      <w:marTop w:val="0"/>
      <w:marBottom w:val="0"/>
      <w:divBdr>
        <w:top w:val="none" w:sz="0" w:space="0" w:color="auto"/>
        <w:left w:val="none" w:sz="0" w:space="0" w:color="auto"/>
        <w:bottom w:val="none" w:sz="0" w:space="0" w:color="auto"/>
        <w:right w:val="none" w:sz="0" w:space="0" w:color="auto"/>
      </w:divBdr>
    </w:div>
    <w:div w:id="2002850341">
      <w:bodyDiv w:val="1"/>
      <w:marLeft w:val="0"/>
      <w:marRight w:val="0"/>
      <w:marTop w:val="0"/>
      <w:marBottom w:val="0"/>
      <w:divBdr>
        <w:top w:val="none" w:sz="0" w:space="0" w:color="auto"/>
        <w:left w:val="none" w:sz="0" w:space="0" w:color="auto"/>
        <w:bottom w:val="none" w:sz="0" w:space="0" w:color="auto"/>
        <w:right w:val="none" w:sz="0" w:space="0" w:color="auto"/>
      </w:divBdr>
    </w:div>
    <w:div w:id="2004620096">
      <w:bodyDiv w:val="1"/>
      <w:marLeft w:val="0"/>
      <w:marRight w:val="0"/>
      <w:marTop w:val="0"/>
      <w:marBottom w:val="0"/>
      <w:divBdr>
        <w:top w:val="none" w:sz="0" w:space="0" w:color="auto"/>
        <w:left w:val="none" w:sz="0" w:space="0" w:color="auto"/>
        <w:bottom w:val="none" w:sz="0" w:space="0" w:color="auto"/>
        <w:right w:val="none" w:sz="0" w:space="0" w:color="auto"/>
      </w:divBdr>
      <w:divsChild>
        <w:div w:id="1598754723">
          <w:marLeft w:val="0"/>
          <w:marRight w:val="0"/>
          <w:marTop w:val="0"/>
          <w:marBottom w:val="0"/>
          <w:divBdr>
            <w:top w:val="none" w:sz="0" w:space="0" w:color="auto"/>
            <w:left w:val="none" w:sz="0" w:space="0" w:color="auto"/>
            <w:bottom w:val="none" w:sz="0" w:space="0" w:color="auto"/>
            <w:right w:val="none" w:sz="0" w:space="0" w:color="auto"/>
          </w:divBdr>
          <w:divsChild>
            <w:div w:id="1894925569">
              <w:marLeft w:val="0"/>
              <w:marRight w:val="0"/>
              <w:marTop w:val="0"/>
              <w:marBottom w:val="0"/>
              <w:divBdr>
                <w:top w:val="none" w:sz="0" w:space="0" w:color="auto"/>
                <w:left w:val="none" w:sz="0" w:space="0" w:color="auto"/>
                <w:bottom w:val="none" w:sz="0" w:space="0" w:color="auto"/>
                <w:right w:val="none" w:sz="0" w:space="0" w:color="auto"/>
              </w:divBdr>
              <w:divsChild>
                <w:div w:id="106394431">
                  <w:marLeft w:val="0"/>
                  <w:marRight w:val="0"/>
                  <w:marTop w:val="0"/>
                  <w:marBottom w:val="0"/>
                  <w:divBdr>
                    <w:top w:val="none" w:sz="0" w:space="0" w:color="auto"/>
                    <w:left w:val="none" w:sz="0" w:space="0" w:color="auto"/>
                    <w:bottom w:val="none" w:sz="0" w:space="0" w:color="auto"/>
                    <w:right w:val="none" w:sz="0" w:space="0" w:color="auto"/>
                  </w:divBdr>
                  <w:divsChild>
                    <w:div w:id="209350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786237">
      <w:bodyDiv w:val="1"/>
      <w:marLeft w:val="0"/>
      <w:marRight w:val="0"/>
      <w:marTop w:val="0"/>
      <w:marBottom w:val="0"/>
      <w:divBdr>
        <w:top w:val="none" w:sz="0" w:space="0" w:color="auto"/>
        <w:left w:val="none" w:sz="0" w:space="0" w:color="auto"/>
        <w:bottom w:val="none" w:sz="0" w:space="0" w:color="auto"/>
        <w:right w:val="none" w:sz="0" w:space="0" w:color="auto"/>
      </w:divBdr>
    </w:div>
    <w:div w:id="2013095339">
      <w:bodyDiv w:val="1"/>
      <w:marLeft w:val="0"/>
      <w:marRight w:val="0"/>
      <w:marTop w:val="0"/>
      <w:marBottom w:val="0"/>
      <w:divBdr>
        <w:top w:val="none" w:sz="0" w:space="0" w:color="auto"/>
        <w:left w:val="none" w:sz="0" w:space="0" w:color="auto"/>
        <w:bottom w:val="none" w:sz="0" w:space="0" w:color="auto"/>
        <w:right w:val="none" w:sz="0" w:space="0" w:color="auto"/>
      </w:divBdr>
      <w:divsChild>
        <w:div w:id="2134714154">
          <w:marLeft w:val="0"/>
          <w:marRight w:val="0"/>
          <w:marTop w:val="0"/>
          <w:marBottom w:val="0"/>
          <w:divBdr>
            <w:top w:val="none" w:sz="0" w:space="0" w:color="auto"/>
            <w:left w:val="none" w:sz="0" w:space="0" w:color="auto"/>
            <w:bottom w:val="none" w:sz="0" w:space="0" w:color="auto"/>
            <w:right w:val="none" w:sz="0" w:space="0" w:color="auto"/>
          </w:divBdr>
          <w:divsChild>
            <w:div w:id="773327702">
              <w:marLeft w:val="0"/>
              <w:marRight w:val="0"/>
              <w:marTop w:val="0"/>
              <w:marBottom w:val="0"/>
              <w:divBdr>
                <w:top w:val="none" w:sz="0" w:space="0" w:color="auto"/>
                <w:left w:val="none" w:sz="0" w:space="0" w:color="auto"/>
                <w:bottom w:val="none" w:sz="0" w:space="0" w:color="auto"/>
                <w:right w:val="none" w:sz="0" w:space="0" w:color="auto"/>
              </w:divBdr>
              <w:divsChild>
                <w:div w:id="137403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491579">
      <w:bodyDiv w:val="1"/>
      <w:marLeft w:val="0"/>
      <w:marRight w:val="0"/>
      <w:marTop w:val="0"/>
      <w:marBottom w:val="0"/>
      <w:divBdr>
        <w:top w:val="none" w:sz="0" w:space="0" w:color="auto"/>
        <w:left w:val="none" w:sz="0" w:space="0" w:color="auto"/>
        <w:bottom w:val="none" w:sz="0" w:space="0" w:color="auto"/>
        <w:right w:val="none" w:sz="0" w:space="0" w:color="auto"/>
      </w:divBdr>
      <w:divsChild>
        <w:div w:id="1274705004">
          <w:marLeft w:val="0"/>
          <w:marRight w:val="0"/>
          <w:marTop w:val="0"/>
          <w:marBottom w:val="0"/>
          <w:divBdr>
            <w:top w:val="none" w:sz="0" w:space="0" w:color="auto"/>
            <w:left w:val="none" w:sz="0" w:space="0" w:color="auto"/>
            <w:bottom w:val="none" w:sz="0" w:space="0" w:color="auto"/>
            <w:right w:val="none" w:sz="0" w:space="0" w:color="auto"/>
          </w:divBdr>
          <w:divsChild>
            <w:div w:id="1805729865">
              <w:marLeft w:val="0"/>
              <w:marRight w:val="0"/>
              <w:marTop w:val="0"/>
              <w:marBottom w:val="0"/>
              <w:divBdr>
                <w:top w:val="none" w:sz="0" w:space="0" w:color="auto"/>
                <w:left w:val="none" w:sz="0" w:space="0" w:color="auto"/>
                <w:bottom w:val="none" w:sz="0" w:space="0" w:color="auto"/>
                <w:right w:val="none" w:sz="0" w:space="0" w:color="auto"/>
              </w:divBdr>
              <w:divsChild>
                <w:div w:id="211427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276524">
      <w:bodyDiv w:val="1"/>
      <w:marLeft w:val="0"/>
      <w:marRight w:val="0"/>
      <w:marTop w:val="0"/>
      <w:marBottom w:val="0"/>
      <w:divBdr>
        <w:top w:val="none" w:sz="0" w:space="0" w:color="auto"/>
        <w:left w:val="none" w:sz="0" w:space="0" w:color="auto"/>
        <w:bottom w:val="none" w:sz="0" w:space="0" w:color="auto"/>
        <w:right w:val="none" w:sz="0" w:space="0" w:color="auto"/>
      </w:divBdr>
    </w:div>
    <w:div w:id="2026859925">
      <w:bodyDiv w:val="1"/>
      <w:marLeft w:val="0"/>
      <w:marRight w:val="0"/>
      <w:marTop w:val="0"/>
      <w:marBottom w:val="0"/>
      <w:divBdr>
        <w:top w:val="none" w:sz="0" w:space="0" w:color="auto"/>
        <w:left w:val="none" w:sz="0" w:space="0" w:color="auto"/>
        <w:bottom w:val="none" w:sz="0" w:space="0" w:color="auto"/>
        <w:right w:val="none" w:sz="0" w:space="0" w:color="auto"/>
      </w:divBdr>
    </w:div>
    <w:div w:id="2029334785">
      <w:bodyDiv w:val="1"/>
      <w:marLeft w:val="0"/>
      <w:marRight w:val="0"/>
      <w:marTop w:val="0"/>
      <w:marBottom w:val="0"/>
      <w:divBdr>
        <w:top w:val="none" w:sz="0" w:space="0" w:color="auto"/>
        <w:left w:val="none" w:sz="0" w:space="0" w:color="auto"/>
        <w:bottom w:val="none" w:sz="0" w:space="0" w:color="auto"/>
        <w:right w:val="none" w:sz="0" w:space="0" w:color="auto"/>
      </w:divBdr>
    </w:div>
    <w:div w:id="2030787401">
      <w:bodyDiv w:val="1"/>
      <w:marLeft w:val="0"/>
      <w:marRight w:val="0"/>
      <w:marTop w:val="0"/>
      <w:marBottom w:val="0"/>
      <w:divBdr>
        <w:top w:val="none" w:sz="0" w:space="0" w:color="auto"/>
        <w:left w:val="none" w:sz="0" w:space="0" w:color="auto"/>
        <w:bottom w:val="none" w:sz="0" w:space="0" w:color="auto"/>
        <w:right w:val="none" w:sz="0" w:space="0" w:color="auto"/>
      </w:divBdr>
    </w:div>
    <w:div w:id="2035112111">
      <w:bodyDiv w:val="1"/>
      <w:marLeft w:val="0"/>
      <w:marRight w:val="0"/>
      <w:marTop w:val="0"/>
      <w:marBottom w:val="0"/>
      <w:divBdr>
        <w:top w:val="none" w:sz="0" w:space="0" w:color="auto"/>
        <w:left w:val="none" w:sz="0" w:space="0" w:color="auto"/>
        <w:bottom w:val="none" w:sz="0" w:space="0" w:color="auto"/>
        <w:right w:val="none" w:sz="0" w:space="0" w:color="auto"/>
      </w:divBdr>
      <w:divsChild>
        <w:div w:id="1392195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9692329">
      <w:bodyDiv w:val="1"/>
      <w:marLeft w:val="0"/>
      <w:marRight w:val="0"/>
      <w:marTop w:val="0"/>
      <w:marBottom w:val="0"/>
      <w:divBdr>
        <w:top w:val="none" w:sz="0" w:space="0" w:color="auto"/>
        <w:left w:val="none" w:sz="0" w:space="0" w:color="auto"/>
        <w:bottom w:val="none" w:sz="0" w:space="0" w:color="auto"/>
        <w:right w:val="none" w:sz="0" w:space="0" w:color="auto"/>
      </w:divBdr>
      <w:divsChild>
        <w:div w:id="123894822">
          <w:marLeft w:val="0"/>
          <w:marRight w:val="0"/>
          <w:marTop w:val="0"/>
          <w:marBottom w:val="0"/>
          <w:divBdr>
            <w:top w:val="none" w:sz="0" w:space="0" w:color="auto"/>
            <w:left w:val="none" w:sz="0" w:space="0" w:color="auto"/>
            <w:bottom w:val="none" w:sz="0" w:space="0" w:color="auto"/>
            <w:right w:val="none" w:sz="0" w:space="0" w:color="auto"/>
          </w:divBdr>
          <w:divsChild>
            <w:div w:id="487215026">
              <w:marLeft w:val="0"/>
              <w:marRight w:val="0"/>
              <w:marTop w:val="0"/>
              <w:marBottom w:val="0"/>
              <w:divBdr>
                <w:top w:val="none" w:sz="0" w:space="0" w:color="auto"/>
                <w:left w:val="none" w:sz="0" w:space="0" w:color="auto"/>
                <w:bottom w:val="none" w:sz="0" w:space="0" w:color="auto"/>
                <w:right w:val="none" w:sz="0" w:space="0" w:color="auto"/>
              </w:divBdr>
              <w:divsChild>
                <w:div w:id="148099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744243">
      <w:bodyDiv w:val="1"/>
      <w:marLeft w:val="0"/>
      <w:marRight w:val="0"/>
      <w:marTop w:val="0"/>
      <w:marBottom w:val="0"/>
      <w:divBdr>
        <w:top w:val="none" w:sz="0" w:space="0" w:color="auto"/>
        <w:left w:val="none" w:sz="0" w:space="0" w:color="auto"/>
        <w:bottom w:val="none" w:sz="0" w:space="0" w:color="auto"/>
        <w:right w:val="none" w:sz="0" w:space="0" w:color="auto"/>
      </w:divBdr>
    </w:div>
    <w:div w:id="2041540277">
      <w:bodyDiv w:val="1"/>
      <w:marLeft w:val="0"/>
      <w:marRight w:val="0"/>
      <w:marTop w:val="0"/>
      <w:marBottom w:val="0"/>
      <w:divBdr>
        <w:top w:val="none" w:sz="0" w:space="0" w:color="auto"/>
        <w:left w:val="none" w:sz="0" w:space="0" w:color="auto"/>
        <w:bottom w:val="none" w:sz="0" w:space="0" w:color="auto"/>
        <w:right w:val="none" w:sz="0" w:space="0" w:color="auto"/>
      </w:divBdr>
    </w:div>
    <w:div w:id="2042199500">
      <w:bodyDiv w:val="1"/>
      <w:marLeft w:val="0"/>
      <w:marRight w:val="0"/>
      <w:marTop w:val="0"/>
      <w:marBottom w:val="0"/>
      <w:divBdr>
        <w:top w:val="none" w:sz="0" w:space="0" w:color="auto"/>
        <w:left w:val="none" w:sz="0" w:space="0" w:color="auto"/>
        <w:bottom w:val="none" w:sz="0" w:space="0" w:color="auto"/>
        <w:right w:val="none" w:sz="0" w:space="0" w:color="auto"/>
      </w:divBdr>
    </w:div>
    <w:div w:id="2054115563">
      <w:bodyDiv w:val="1"/>
      <w:marLeft w:val="0"/>
      <w:marRight w:val="0"/>
      <w:marTop w:val="0"/>
      <w:marBottom w:val="0"/>
      <w:divBdr>
        <w:top w:val="none" w:sz="0" w:space="0" w:color="auto"/>
        <w:left w:val="none" w:sz="0" w:space="0" w:color="auto"/>
        <w:bottom w:val="none" w:sz="0" w:space="0" w:color="auto"/>
        <w:right w:val="none" w:sz="0" w:space="0" w:color="auto"/>
      </w:divBdr>
    </w:div>
    <w:div w:id="2059162159">
      <w:bodyDiv w:val="1"/>
      <w:marLeft w:val="0"/>
      <w:marRight w:val="0"/>
      <w:marTop w:val="0"/>
      <w:marBottom w:val="0"/>
      <w:divBdr>
        <w:top w:val="none" w:sz="0" w:space="0" w:color="auto"/>
        <w:left w:val="none" w:sz="0" w:space="0" w:color="auto"/>
        <w:bottom w:val="none" w:sz="0" w:space="0" w:color="auto"/>
        <w:right w:val="none" w:sz="0" w:space="0" w:color="auto"/>
      </w:divBdr>
    </w:div>
    <w:div w:id="2062317551">
      <w:bodyDiv w:val="1"/>
      <w:marLeft w:val="0"/>
      <w:marRight w:val="0"/>
      <w:marTop w:val="0"/>
      <w:marBottom w:val="0"/>
      <w:divBdr>
        <w:top w:val="none" w:sz="0" w:space="0" w:color="auto"/>
        <w:left w:val="none" w:sz="0" w:space="0" w:color="auto"/>
        <w:bottom w:val="none" w:sz="0" w:space="0" w:color="auto"/>
        <w:right w:val="none" w:sz="0" w:space="0" w:color="auto"/>
      </w:divBdr>
    </w:div>
    <w:div w:id="2063753116">
      <w:bodyDiv w:val="1"/>
      <w:marLeft w:val="0"/>
      <w:marRight w:val="0"/>
      <w:marTop w:val="0"/>
      <w:marBottom w:val="0"/>
      <w:divBdr>
        <w:top w:val="none" w:sz="0" w:space="0" w:color="auto"/>
        <w:left w:val="none" w:sz="0" w:space="0" w:color="auto"/>
        <w:bottom w:val="none" w:sz="0" w:space="0" w:color="auto"/>
        <w:right w:val="none" w:sz="0" w:space="0" w:color="auto"/>
      </w:divBdr>
      <w:divsChild>
        <w:div w:id="2323535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845613">
      <w:bodyDiv w:val="1"/>
      <w:marLeft w:val="0"/>
      <w:marRight w:val="0"/>
      <w:marTop w:val="0"/>
      <w:marBottom w:val="0"/>
      <w:divBdr>
        <w:top w:val="none" w:sz="0" w:space="0" w:color="auto"/>
        <w:left w:val="none" w:sz="0" w:space="0" w:color="auto"/>
        <w:bottom w:val="none" w:sz="0" w:space="0" w:color="auto"/>
        <w:right w:val="none" w:sz="0" w:space="0" w:color="auto"/>
      </w:divBdr>
    </w:div>
    <w:div w:id="2075078035">
      <w:bodyDiv w:val="1"/>
      <w:marLeft w:val="0"/>
      <w:marRight w:val="0"/>
      <w:marTop w:val="0"/>
      <w:marBottom w:val="0"/>
      <w:divBdr>
        <w:top w:val="none" w:sz="0" w:space="0" w:color="auto"/>
        <w:left w:val="none" w:sz="0" w:space="0" w:color="auto"/>
        <w:bottom w:val="none" w:sz="0" w:space="0" w:color="auto"/>
        <w:right w:val="none" w:sz="0" w:space="0" w:color="auto"/>
      </w:divBdr>
    </w:div>
    <w:div w:id="2087333714">
      <w:bodyDiv w:val="1"/>
      <w:marLeft w:val="0"/>
      <w:marRight w:val="0"/>
      <w:marTop w:val="0"/>
      <w:marBottom w:val="0"/>
      <w:divBdr>
        <w:top w:val="none" w:sz="0" w:space="0" w:color="auto"/>
        <w:left w:val="none" w:sz="0" w:space="0" w:color="auto"/>
        <w:bottom w:val="none" w:sz="0" w:space="0" w:color="auto"/>
        <w:right w:val="none" w:sz="0" w:space="0" w:color="auto"/>
      </w:divBdr>
    </w:div>
    <w:div w:id="2087918345">
      <w:bodyDiv w:val="1"/>
      <w:marLeft w:val="0"/>
      <w:marRight w:val="0"/>
      <w:marTop w:val="0"/>
      <w:marBottom w:val="0"/>
      <w:divBdr>
        <w:top w:val="none" w:sz="0" w:space="0" w:color="auto"/>
        <w:left w:val="none" w:sz="0" w:space="0" w:color="auto"/>
        <w:bottom w:val="none" w:sz="0" w:space="0" w:color="auto"/>
        <w:right w:val="none" w:sz="0" w:space="0" w:color="auto"/>
      </w:divBdr>
    </w:div>
    <w:div w:id="2094816434">
      <w:bodyDiv w:val="1"/>
      <w:marLeft w:val="0"/>
      <w:marRight w:val="0"/>
      <w:marTop w:val="0"/>
      <w:marBottom w:val="0"/>
      <w:divBdr>
        <w:top w:val="none" w:sz="0" w:space="0" w:color="auto"/>
        <w:left w:val="none" w:sz="0" w:space="0" w:color="auto"/>
        <w:bottom w:val="none" w:sz="0" w:space="0" w:color="auto"/>
        <w:right w:val="none" w:sz="0" w:space="0" w:color="auto"/>
      </w:divBdr>
    </w:div>
    <w:div w:id="2095975898">
      <w:bodyDiv w:val="1"/>
      <w:marLeft w:val="0"/>
      <w:marRight w:val="0"/>
      <w:marTop w:val="0"/>
      <w:marBottom w:val="0"/>
      <w:divBdr>
        <w:top w:val="none" w:sz="0" w:space="0" w:color="auto"/>
        <w:left w:val="none" w:sz="0" w:space="0" w:color="auto"/>
        <w:bottom w:val="none" w:sz="0" w:space="0" w:color="auto"/>
        <w:right w:val="none" w:sz="0" w:space="0" w:color="auto"/>
      </w:divBdr>
    </w:div>
    <w:div w:id="2101215304">
      <w:bodyDiv w:val="1"/>
      <w:marLeft w:val="0"/>
      <w:marRight w:val="0"/>
      <w:marTop w:val="0"/>
      <w:marBottom w:val="0"/>
      <w:divBdr>
        <w:top w:val="none" w:sz="0" w:space="0" w:color="auto"/>
        <w:left w:val="none" w:sz="0" w:space="0" w:color="auto"/>
        <w:bottom w:val="none" w:sz="0" w:space="0" w:color="auto"/>
        <w:right w:val="none" w:sz="0" w:space="0" w:color="auto"/>
      </w:divBdr>
    </w:div>
    <w:div w:id="2103641452">
      <w:bodyDiv w:val="1"/>
      <w:marLeft w:val="0"/>
      <w:marRight w:val="0"/>
      <w:marTop w:val="0"/>
      <w:marBottom w:val="0"/>
      <w:divBdr>
        <w:top w:val="none" w:sz="0" w:space="0" w:color="auto"/>
        <w:left w:val="none" w:sz="0" w:space="0" w:color="auto"/>
        <w:bottom w:val="none" w:sz="0" w:space="0" w:color="auto"/>
        <w:right w:val="none" w:sz="0" w:space="0" w:color="auto"/>
      </w:divBdr>
    </w:div>
    <w:div w:id="2109503758">
      <w:bodyDiv w:val="1"/>
      <w:marLeft w:val="0"/>
      <w:marRight w:val="0"/>
      <w:marTop w:val="0"/>
      <w:marBottom w:val="0"/>
      <w:divBdr>
        <w:top w:val="none" w:sz="0" w:space="0" w:color="auto"/>
        <w:left w:val="none" w:sz="0" w:space="0" w:color="auto"/>
        <w:bottom w:val="none" w:sz="0" w:space="0" w:color="auto"/>
        <w:right w:val="none" w:sz="0" w:space="0" w:color="auto"/>
      </w:divBdr>
    </w:div>
    <w:div w:id="2112310741">
      <w:bodyDiv w:val="1"/>
      <w:marLeft w:val="0"/>
      <w:marRight w:val="0"/>
      <w:marTop w:val="0"/>
      <w:marBottom w:val="0"/>
      <w:divBdr>
        <w:top w:val="none" w:sz="0" w:space="0" w:color="auto"/>
        <w:left w:val="none" w:sz="0" w:space="0" w:color="auto"/>
        <w:bottom w:val="none" w:sz="0" w:space="0" w:color="auto"/>
        <w:right w:val="none" w:sz="0" w:space="0" w:color="auto"/>
      </w:divBdr>
    </w:div>
    <w:div w:id="2113894780">
      <w:bodyDiv w:val="1"/>
      <w:marLeft w:val="0"/>
      <w:marRight w:val="0"/>
      <w:marTop w:val="0"/>
      <w:marBottom w:val="0"/>
      <w:divBdr>
        <w:top w:val="none" w:sz="0" w:space="0" w:color="auto"/>
        <w:left w:val="none" w:sz="0" w:space="0" w:color="auto"/>
        <w:bottom w:val="none" w:sz="0" w:space="0" w:color="auto"/>
        <w:right w:val="none" w:sz="0" w:space="0" w:color="auto"/>
      </w:divBdr>
    </w:div>
    <w:div w:id="2116361640">
      <w:bodyDiv w:val="1"/>
      <w:marLeft w:val="0"/>
      <w:marRight w:val="0"/>
      <w:marTop w:val="0"/>
      <w:marBottom w:val="0"/>
      <w:divBdr>
        <w:top w:val="none" w:sz="0" w:space="0" w:color="auto"/>
        <w:left w:val="none" w:sz="0" w:space="0" w:color="auto"/>
        <w:bottom w:val="none" w:sz="0" w:space="0" w:color="auto"/>
        <w:right w:val="none" w:sz="0" w:space="0" w:color="auto"/>
      </w:divBdr>
    </w:div>
    <w:div w:id="2118014900">
      <w:bodyDiv w:val="1"/>
      <w:marLeft w:val="0"/>
      <w:marRight w:val="0"/>
      <w:marTop w:val="0"/>
      <w:marBottom w:val="0"/>
      <w:divBdr>
        <w:top w:val="none" w:sz="0" w:space="0" w:color="auto"/>
        <w:left w:val="none" w:sz="0" w:space="0" w:color="auto"/>
        <w:bottom w:val="none" w:sz="0" w:space="0" w:color="auto"/>
        <w:right w:val="none" w:sz="0" w:space="0" w:color="auto"/>
      </w:divBdr>
    </w:div>
    <w:div w:id="2130274306">
      <w:bodyDiv w:val="1"/>
      <w:marLeft w:val="0"/>
      <w:marRight w:val="0"/>
      <w:marTop w:val="0"/>
      <w:marBottom w:val="0"/>
      <w:divBdr>
        <w:top w:val="none" w:sz="0" w:space="0" w:color="auto"/>
        <w:left w:val="none" w:sz="0" w:space="0" w:color="auto"/>
        <w:bottom w:val="none" w:sz="0" w:space="0" w:color="auto"/>
        <w:right w:val="none" w:sz="0" w:space="0" w:color="auto"/>
      </w:divBdr>
    </w:div>
    <w:div w:id="2135126935">
      <w:bodyDiv w:val="1"/>
      <w:marLeft w:val="0"/>
      <w:marRight w:val="0"/>
      <w:marTop w:val="0"/>
      <w:marBottom w:val="0"/>
      <w:divBdr>
        <w:top w:val="none" w:sz="0" w:space="0" w:color="auto"/>
        <w:left w:val="none" w:sz="0" w:space="0" w:color="auto"/>
        <w:bottom w:val="none" w:sz="0" w:space="0" w:color="auto"/>
        <w:right w:val="none" w:sz="0" w:space="0" w:color="auto"/>
      </w:divBdr>
    </w:div>
    <w:div w:id="2145386751">
      <w:bodyDiv w:val="1"/>
      <w:marLeft w:val="0"/>
      <w:marRight w:val="0"/>
      <w:marTop w:val="0"/>
      <w:marBottom w:val="0"/>
      <w:divBdr>
        <w:top w:val="none" w:sz="0" w:space="0" w:color="auto"/>
        <w:left w:val="none" w:sz="0" w:space="0" w:color="auto"/>
        <w:bottom w:val="none" w:sz="0" w:space="0" w:color="auto"/>
        <w:right w:val="none" w:sz="0" w:space="0" w:color="auto"/>
      </w:divBdr>
    </w:div>
    <w:div w:id="21461905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tiff"/><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tif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F95AA-A7D9-469E-80A6-87C79B34B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63468</Words>
  <Characters>361769</Characters>
  <Application>Microsoft Office Word</Application>
  <DocSecurity>0</DocSecurity>
  <Lines>3014</Lines>
  <Paragraphs>848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424389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TU-Pseudonym 4274585586277622</dc:creator>
  <cp:keywords/>
  <dc:description/>
  <cp:lastModifiedBy>Hernando Sevilla</cp:lastModifiedBy>
  <cp:revision>2</cp:revision>
  <cp:lastPrinted>2025-06-10T07:05:00Z</cp:lastPrinted>
  <dcterms:created xsi:type="dcterms:W3CDTF">2026-03-30T09:31:00Z</dcterms:created>
  <dcterms:modified xsi:type="dcterms:W3CDTF">2026-03-30T09:31:00Z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zotero-version="7.0.21"&gt;&lt;session id="IWNN2iQa"/&gt;&lt;style id="http://www.zotero.org/styles/bmc-public-health" hasBibliography="1" bibliographyStyleHasBeenSet="1"/&gt;&lt;prefs&gt;&lt;pref name="fieldType" value="Field"/&gt;&lt;pref name="automaticJourna</vt:lpwstr>
  </property>
  <property fmtid="{D5CDD505-2E9C-101B-9397-08002B2CF9AE}" pid="3" name="ZOTERO_PREF_2">
    <vt:lpwstr>lAbbreviations" value="true"/&gt;&lt;pref name="dontAskDelayCitationUpdates" value="true"/&gt;&lt;/prefs&gt;&lt;/data&gt;</vt:lpwstr>
  </property>
  <property fmtid="{D5CDD505-2E9C-101B-9397-08002B2CF9AE}" pid="4" name="CitaviDocumentProperty_8">
    <vt:lpwstr>CloudProjectKey=wycsv5nvn2bmcew549ckcqlpxncubf07rbm5achpr1ieh91qg71; ProjectName=SOP_Narrative_Review</vt:lpwstr>
  </property>
  <property fmtid="{D5CDD505-2E9C-101B-9397-08002B2CF9AE}" pid="5" name="CitaviDocumentProperty_7">
    <vt:lpwstr>SOP_Narrative_Review</vt:lpwstr>
  </property>
  <property fmtid="{D5CDD505-2E9C-101B-9397-08002B2CF9AE}" pid="6" name="CitaviDocumentProperty_0">
    <vt:lpwstr>f1ed8f7d-1c65-4f06-ad48-3e96e725bea1</vt:lpwstr>
  </property>
</Properties>
</file>