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23E27">
      <w:pPr>
        <w:jc w:val="center"/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t xml:space="preserve">upplementary 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t>aterial</w:t>
      </w:r>
    </w:p>
    <w:p w14:paraId="536AC25F">
      <w:pPr>
        <w:rPr>
          <w:rFonts w:hint="default" w:ascii="Times New Roman" w:hAnsi="Times New Roman" w:cs="Times New Roman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C50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EB75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Supplementary Table 1.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ICD code for cirrhosis of the liver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</w:t>
            </w:r>
          </w:p>
        </w:tc>
      </w:tr>
      <w:tr w14:paraId="3139A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77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5712</w:t>
            </w:r>
          </w:p>
        </w:tc>
      </w:tr>
      <w:tr w14:paraId="496C3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50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5715</w:t>
            </w:r>
          </w:p>
        </w:tc>
      </w:tr>
      <w:tr w14:paraId="5AB5D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6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5716</w:t>
            </w:r>
          </w:p>
        </w:tc>
      </w:tr>
      <w:tr w14:paraId="05AA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EA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K7030</w:t>
            </w:r>
          </w:p>
        </w:tc>
      </w:tr>
      <w:tr w14:paraId="6798A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FC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K7031</w:t>
            </w:r>
          </w:p>
        </w:tc>
      </w:tr>
      <w:tr w14:paraId="61529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B1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K717</w:t>
            </w:r>
          </w:p>
        </w:tc>
      </w:tr>
      <w:tr w14:paraId="7BB22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5E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K741</w:t>
            </w:r>
          </w:p>
        </w:tc>
      </w:tr>
      <w:tr w14:paraId="7EE5C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9F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K742</w:t>
            </w:r>
          </w:p>
        </w:tc>
      </w:tr>
      <w:tr w14:paraId="51D3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E5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K743</w:t>
            </w:r>
          </w:p>
        </w:tc>
      </w:tr>
      <w:tr w14:paraId="22E6E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2A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K744</w:t>
            </w:r>
          </w:p>
        </w:tc>
      </w:tr>
      <w:tr w14:paraId="1CA5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82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K745</w:t>
            </w:r>
          </w:p>
        </w:tc>
      </w:tr>
      <w:tr w14:paraId="495A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DF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K7460</w:t>
            </w:r>
          </w:p>
        </w:tc>
      </w:tr>
      <w:tr w14:paraId="0D991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128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K7469</w:t>
            </w:r>
          </w:p>
        </w:tc>
      </w:tr>
    </w:tbl>
    <w:p w14:paraId="41DB44D5">
      <w:pPr>
        <w:rPr>
          <w:rFonts w:hint="eastAsia"/>
        </w:rPr>
      </w:pPr>
    </w:p>
    <w:p w14:paraId="4EB41484">
      <w:pPr>
        <w:rPr>
          <w:rFonts w:hint="eastAsia"/>
        </w:rPr>
      </w:pPr>
    </w:p>
    <w:p w14:paraId="1BE78F9E">
      <w:pPr>
        <w:rPr>
          <w:rFonts w:hint="eastAsia"/>
        </w:rPr>
      </w:pPr>
    </w:p>
    <w:p w14:paraId="2076FD14">
      <w:pPr>
        <w:rPr>
          <w:rFonts w:hint="eastAsia"/>
        </w:rPr>
      </w:pPr>
    </w:p>
    <w:p w14:paraId="279F1295">
      <w:pPr>
        <w:rPr>
          <w:rFonts w:hint="eastAsia"/>
        </w:rPr>
      </w:pPr>
    </w:p>
    <w:p w14:paraId="728690A1">
      <w:pPr>
        <w:rPr>
          <w:rFonts w:hint="eastAsia"/>
        </w:rPr>
      </w:pPr>
    </w:p>
    <w:p w14:paraId="42DC3A49">
      <w:pPr>
        <w:rPr>
          <w:rFonts w:hint="eastAsia"/>
        </w:rPr>
      </w:pPr>
    </w:p>
    <w:p w14:paraId="0506FB68">
      <w:pPr>
        <w:rPr>
          <w:rFonts w:hint="eastAsia"/>
        </w:rPr>
      </w:pPr>
    </w:p>
    <w:p w14:paraId="57153199">
      <w:pPr>
        <w:rPr>
          <w:rFonts w:hint="eastAsia"/>
        </w:rPr>
      </w:pPr>
    </w:p>
    <w:p w14:paraId="3A34BF82">
      <w:pPr>
        <w:rPr>
          <w:rFonts w:hint="eastAsia"/>
        </w:rPr>
      </w:pPr>
    </w:p>
    <w:p w14:paraId="725EFFCB">
      <w:pPr>
        <w:rPr>
          <w:rFonts w:hint="eastAsia"/>
        </w:rPr>
      </w:pPr>
    </w:p>
    <w:p w14:paraId="41AE46E4">
      <w:pPr>
        <w:rPr>
          <w:rFonts w:hint="eastAsia"/>
        </w:rPr>
      </w:pPr>
    </w:p>
    <w:p w14:paraId="4F8B7289">
      <w:pPr>
        <w:rPr>
          <w:rFonts w:hint="eastAsia"/>
        </w:rPr>
      </w:pPr>
    </w:p>
    <w:p w14:paraId="4A69B5E5">
      <w:pPr>
        <w:rPr>
          <w:rFonts w:hint="eastAsia"/>
        </w:rPr>
      </w:pPr>
    </w:p>
    <w:p w14:paraId="13EE7FCE">
      <w:pPr>
        <w:rPr>
          <w:rFonts w:hint="eastAsia"/>
        </w:rPr>
      </w:pPr>
    </w:p>
    <w:p w14:paraId="0749B63D">
      <w:pPr>
        <w:rPr>
          <w:rFonts w:hint="eastAsia"/>
        </w:rPr>
      </w:pPr>
    </w:p>
    <w:p w14:paraId="7597EA5C">
      <w:pPr>
        <w:rPr>
          <w:rFonts w:hint="eastAsia"/>
        </w:rPr>
      </w:pPr>
    </w:p>
    <w:p w14:paraId="7D7D0E41">
      <w:pPr>
        <w:rPr>
          <w:rFonts w:hint="eastAsia"/>
        </w:rPr>
      </w:pPr>
    </w:p>
    <w:p w14:paraId="08856DD9">
      <w:pPr>
        <w:rPr>
          <w:rFonts w:hint="eastAsia"/>
        </w:rPr>
      </w:pPr>
    </w:p>
    <w:p w14:paraId="2919EA39">
      <w:pPr>
        <w:rPr>
          <w:rFonts w:hint="eastAsia"/>
        </w:rPr>
      </w:pPr>
    </w:p>
    <w:p w14:paraId="769B541D">
      <w:pPr>
        <w:rPr>
          <w:rFonts w:hint="eastAsia"/>
        </w:rPr>
      </w:pPr>
    </w:p>
    <w:p w14:paraId="0FC55827">
      <w:pPr>
        <w:rPr>
          <w:rFonts w:hint="eastAsia"/>
        </w:rPr>
      </w:pPr>
    </w:p>
    <w:p w14:paraId="510DB1C2">
      <w:pPr>
        <w:rPr>
          <w:rFonts w:hint="eastAsia"/>
        </w:rPr>
      </w:pPr>
    </w:p>
    <w:p w14:paraId="6D54BD28">
      <w:pPr>
        <w:rPr>
          <w:rFonts w:hint="eastAsia"/>
        </w:rPr>
      </w:pPr>
    </w:p>
    <w:p w14:paraId="0F27129D">
      <w:pPr>
        <w:rPr>
          <w:rFonts w:hint="eastAsia"/>
        </w:rPr>
      </w:pPr>
    </w:p>
    <w:p w14:paraId="6ED34A90">
      <w:pPr>
        <w:rPr>
          <w:rFonts w:hint="eastAsia"/>
        </w:rPr>
      </w:pPr>
    </w:p>
    <w:p w14:paraId="4163F3DF">
      <w:pPr>
        <w:rPr>
          <w:rFonts w:hint="eastAsia"/>
        </w:rPr>
      </w:pPr>
    </w:p>
    <w:tbl>
      <w:tblPr>
        <w:tblStyle w:val="2"/>
        <w:tblpPr w:leftFromText="180" w:rightFromText="180" w:vertAnchor="text" w:horzAnchor="page" w:tblpX="1801" w:tblpY="312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1638"/>
        <w:gridCol w:w="1806"/>
        <w:gridCol w:w="1722"/>
        <w:gridCol w:w="807"/>
      </w:tblGrid>
      <w:tr w14:paraId="0A80C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462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Baseline characteristics of patients at 90-day survival and 90-day mortality.</w:t>
            </w:r>
          </w:p>
        </w:tc>
      </w:tr>
      <w:tr w14:paraId="49DC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69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2B9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Total </w:t>
            </w:r>
          </w:p>
          <w:p w14:paraId="20367B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(n = 3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105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38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-day survival</w:t>
            </w:r>
          </w:p>
          <w:p w14:paraId="4585D9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(n = 2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252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48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-day mortality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BD62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(n = 8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53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76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</w:tr>
      <w:tr w14:paraId="0B91A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8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4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 (53-68)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C8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 (53-68)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F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 (53-69)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07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0.114</w:t>
            </w:r>
          </w:p>
        </w:tc>
      </w:tr>
      <w:tr w14:paraId="295C7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E8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63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325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E1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8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</w:t>
            </w:r>
          </w:p>
        </w:tc>
      </w:tr>
      <w:tr w14:paraId="12FD2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4F3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2D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1088 (35.04)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769 (34.15)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D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 (37.40)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F24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ABB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FE0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9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 (64.96)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5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1483 (65.85)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CE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 (62.60)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EA7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DB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A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Ethnicity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B6F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DFE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50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C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41CB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2F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White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E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 (65.19)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3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1505 (66.83)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26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 (60.84)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71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A37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C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Black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4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 (7.25)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E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 (7.82)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0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(5.74)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BACB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426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D3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Other/Unknown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 (27.57)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0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 (25.36)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C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 (33.41)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915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A59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7D8D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Vital signs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65C442C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952E71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0E0FE1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19ADCCB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4F6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A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rate (beats/min)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 (78-105)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D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 (77-103)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3E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 (81-109)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3D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F5C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49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 rate (beats/min)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A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(15-23)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89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 (15-22)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8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(16-24)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7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0A43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4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SpO</w:t>
            </w:r>
            <w:r>
              <w:rPr>
                <w:rStyle w:val="7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 xml:space="preserve">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C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(95-100)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B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(96-100)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5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 (94-100)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0B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</w:tr>
      <w:tr w14:paraId="35F26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5D78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Severity of illness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643F585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55D35F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7BB93F2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753BFFB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319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2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MELD score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89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19.507 (13.7-27.218)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33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17.241 (12.616-23.553)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8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27.133 (19.819-33.33)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0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DA01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9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2A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(5-11)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5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(5-10)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17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(8-14)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9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4FD0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9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Charlson comorbidity index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02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(4-8)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9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(4-7)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AA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(4-8)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4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5E0D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1D47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Laboratory measurements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0376CC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FA54C0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61D4B49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509A5BD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2C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7D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 (K/uL)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C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 (6.2-14.7)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F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 (5.8-13.4)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CB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 (7.7-18.2)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8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2D24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A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Hemoglobin (g/dL)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E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 (8.1-10.9)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C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 (8.3-11)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C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 (7.7-10.6)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0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DA5A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E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Platelet (K/uL)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5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 (67-158)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C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 (68.75-160)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06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(63-154)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5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0.086</w:t>
            </w:r>
          </w:p>
        </w:tc>
      </w:tr>
      <w:tr w14:paraId="6431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B1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 (U/dL)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A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(20-74)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7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(20-74)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F7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(21-71)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5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</w:t>
            </w:r>
          </w:p>
        </w:tc>
      </w:tr>
      <w:tr w14:paraId="2B4F9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AC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 (U/dL)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2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 (39-156)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 (38-146)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4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 (47-171)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0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0.288</w:t>
            </w:r>
          </w:p>
        </w:tc>
      </w:tr>
      <w:tr w14:paraId="63439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7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bilirubin (mg/dL)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B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 (1.2-6.9)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DE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 (1-5)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E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 (2.1-14.6)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56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213F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ALB (g/dL)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22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 (2.5-3.4)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39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(2.6-3.4)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5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 (2.4-3.4)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3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</w:tr>
      <w:tr w14:paraId="563B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6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49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 (1-2.1)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89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(1-1.7)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2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 (1-3)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BC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95C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6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Lactate (mmol/L)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2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 (1.5-3.5)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B1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(1.5-3)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1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 (1.9-4.8)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41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8032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1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INR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 (1.4-2.1)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42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 (1.3-1.9)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0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(1.6-2.6)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61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E780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1A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 (sec)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A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 (15.1-22.9)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4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 (14.5-20.8)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C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 (17.7-28.5)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1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5586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23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PPT (sec)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2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36.7 (31.3-46.3)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0A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35.2 (30.5-42.9)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7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 (35.1-56.5)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2E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F54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28A1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Complications or comorbidities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3784C2A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4F638B2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069747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3B6EA0E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A94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CE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Ascites,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8B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1491 (48.02)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F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969 (43.03)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A3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 (61.20)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6F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B6A1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E4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Hepatic encephalopathy 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7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 (9.79)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83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 (9.19)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D2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 (11.37)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75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</w:t>
            </w:r>
          </w:p>
        </w:tc>
      </w:tr>
      <w:tr w14:paraId="37964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6C3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Gastrointestinal bleeding,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28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 (3.16)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6A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(2.84)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6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(3.99)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B7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0.130</w:t>
            </w:r>
          </w:p>
        </w:tc>
      </w:tr>
      <w:tr w14:paraId="08CF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C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Hepatorenal syndrome 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8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 (14.40)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2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 (10.12)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7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 (25.67)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8B8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8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Liver transplantation 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5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 (1.32)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4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(1.60)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00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(0.59)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9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</w:tr>
      <w:tr w14:paraId="00055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43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 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96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 (31.92)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33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 (33.48)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3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 (27.78)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6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 w14:paraId="366A0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6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T2DM 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C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895 (28.82)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CF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664 (29.48)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E7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(27.08)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5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0.202</w:t>
            </w:r>
          </w:p>
        </w:tc>
      </w:tr>
      <w:tr w14:paraId="30784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E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Cerebral infarction 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D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 (3.96)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7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 (3.64)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D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 (4.81)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B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</w:t>
            </w:r>
          </w:p>
        </w:tc>
      </w:tr>
      <w:tr w14:paraId="308AB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33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Myocardial infarction,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7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(4.32)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3B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 (3.55)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F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(6.33)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A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70C06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D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COPD 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BF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 (12.79)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F5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 (12.83)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A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 (12.66)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AE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0.946</w:t>
            </w:r>
          </w:p>
        </w:tc>
      </w:tr>
      <w:tr w14:paraId="09C50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D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Sepsis,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6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2282 (73.49)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AC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1567 (69.58)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1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715 (83.82)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2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45D4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1711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Treatments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4D765D0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10B467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15AD58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69110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3AC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C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Antibiotics,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3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2830 (91.14)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19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1999 (88.77)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88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831 (97.42)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9B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3E0E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6F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Statins,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F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 (6.15)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B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 (6.97)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33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 (3.99)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7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 w14:paraId="6FF2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74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Non-selective beta-blockers,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7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 (10.27)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33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 (12.08)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1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 (5.51)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FD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BBFC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8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Diuretics,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49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1185 (38.16)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0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 (43.43)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4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 (24.27)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F9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483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8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CRRT,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7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 (13.95)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B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(8.61)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E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 (28.02)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9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9D0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3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Mechanical ventilation, n (%)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B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2479 (79.84)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6F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1747 (77.58)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1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 (85.81)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A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3C9C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841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Aspirin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n (%)</w:t>
            </w:r>
          </w:p>
        </w:tc>
        <w:tc>
          <w:tcPr>
            <w:tcW w:w="96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7FA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 (11.21)</w:t>
            </w:r>
          </w:p>
        </w:tc>
        <w:tc>
          <w:tcPr>
            <w:tcW w:w="106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FEF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 (12.88)</w:t>
            </w:r>
          </w:p>
        </w:tc>
        <w:tc>
          <w:tcPr>
            <w:tcW w:w="101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160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 (6.80)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349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6AC2F5B6">
      <w:pPr>
        <w:rPr>
          <w:rFonts w:hint="default" w:ascii="Times New Roman" w:hAnsi="Times New Roman" w:cs="Times New Roman"/>
          <w:sz w:val="18"/>
          <w:szCs w:val="18"/>
        </w:rPr>
      </w:pPr>
    </w:p>
    <w:p w14:paraId="500DCC1C">
      <w:pPr>
        <w:rPr>
          <w:rFonts w:hint="default" w:ascii="Times New Roman" w:hAnsi="Times New Roman" w:cs="Times New Roman"/>
          <w:sz w:val="18"/>
          <w:szCs w:val="18"/>
        </w:rPr>
      </w:pPr>
    </w:p>
    <w:p w14:paraId="010A4592">
      <w:pPr>
        <w:rPr>
          <w:rFonts w:hint="default" w:ascii="Times New Roman" w:hAnsi="Times New Roman" w:cs="Times New Roman"/>
          <w:sz w:val="18"/>
          <w:szCs w:val="18"/>
        </w:rPr>
      </w:pPr>
    </w:p>
    <w:p w14:paraId="47B0AD2D">
      <w:pPr>
        <w:rPr>
          <w:rFonts w:hint="default" w:ascii="Times New Roman" w:hAnsi="Times New Roman" w:cs="Times New Roman"/>
          <w:sz w:val="18"/>
          <w:szCs w:val="18"/>
        </w:rPr>
      </w:pPr>
    </w:p>
    <w:p w14:paraId="3D24CD55">
      <w:pPr>
        <w:rPr>
          <w:rFonts w:hint="default" w:ascii="Times New Roman" w:hAnsi="Times New Roman" w:cs="Times New Roman"/>
          <w:sz w:val="18"/>
          <w:szCs w:val="18"/>
        </w:rPr>
      </w:pPr>
    </w:p>
    <w:p w14:paraId="14738FB2">
      <w:pPr>
        <w:rPr>
          <w:rFonts w:hint="default" w:ascii="Times New Roman" w:hAnsi="Times New Roman" w:cs="Times New Roman"/>
          <w:sz w:val="18"/>
          <w:szCs w:val="18"/>
        </w:rPr>
      </w:pPr>
    </w:p>
    <w:p w14:paraId="7E6E43CA">
      <w:pPr>
        <w:rPr>
          <w:rFonts w:hint="default" w:ascii="Times New Roman" w:hAnsi="Times New Roman" w:cs="Times New Roman"/>
          <w:sz w:val="18"/>
          <w:szCs w:val="18"/>
        </w:rPr>
      </w:pPr>
    </w:p>
    <w:p w14:paraId="24C461DA">
      <w:pPr>
        <w:rPr>
          <w:rFonts w:hint="default" w:ascii="Times New Roman" w:hAnsi="Times New Roman" w:cs="Times New Roman"/>
          <w:sz w:val="18"/>
          <w:szCs w:val="18"/>
        </w:rPr>
      </w:pPr>
    </w:p>
    <w:p w14:paraId="46E1F11A">
      <w:pPr>
        <w:rPr>
          <w:rFonts w:hint="default" w:ascii="Times New Roman" w:hAnsi="Times New Roman" w:cs="Times New Roman"/>
          <w:sz w:val="18"/>
          <w:szCs w:val="18"/>
        </w:rPr>
      </w:pPr>
    </w:p>
    <w:p w14:paraId="2F6E8033">
      <w:pPr>
        <w:rPr>
          <w:rFonts w:hint="default" w:ascii="Times New Roman" w:hAnsi="Times New Roman" w:cs="Times New Roman"/>
          <w:sz w:val="18"/>
          <w:szCs w:val="18"/>
        </w:rPr>
      </w:pPr>
    </w:p>
    <w:p w14:paraId="114AABD3">
      <w:pPr>
        <w:rPr>
          <w:rFonts w:hint="default" w:ascii="Times New Roman" w:hAnsi="Times New Roman" w:cs="Times New Roman"/>
          <w:sz w:val="18"/>
          <w:szCs w:val="18"/>
        </w:rPr>
      </w:pPr>
    </w:p>
    <w:p w14:paraId="13DA8633">
      <w:pPr>
        <w:rPr>
          <w:rFonts w:hint="default" w:ascii="Times New Roman" w:hAnsi="Times New Roman" w:cs="Times New Roman"/>
          <w:sz w:val="18"/>
          <w:szCs w:val="18"/>
        </w:rPr>
      </w:pPr>
    </w:p>
    <w:p w14:paraId="5B8C4294">
      <w:pPr>
        <w:rPr>
          <w:rFonts w:hint="default" w:ascii="Times New Roman" w:hAnsi="Times New Roman" w:cs="Times New Roman"/>
          <w:sz w:val="18"/>
          <w:szCs w:val="18"/>
        </w:rPr>
      </w:pPr>
    </w:p>
    <w:p w14:paraId="357CE4AC">
      <w:pPr>
        <w:rPr>
          <w:rFonts w:hint="default" w:ascii="Times New Roman" w:hAnsi="Times New Roman" w:cs="Times New Roman"/>
          <w:sz w:val="18"/>
          <w:szCs w:val="18"/>
        </w:rPr>
      </w:pPr>
    </w:p>
    <w:p w14:paraId="3DBC0322">
      <w:pPr>
        <w:rPr>
          <w:rFonts w:hint="default" w:ascii="Times New Roman" w:hAnsi="Times New Roman" w:cs="Times New Roman"/>
          <w:sz w:val="18"/>
          <w:szCs w:val="18"/>
        </w:rPr>
      </w:pPr>
    </w:p>
    <w:p w14:paraId="6202A2B6">
      <w:pPr>
        <w:rPr>
          <w:rFonts w:hint="default" w:ascii="Times New Roman" w:hAnsi="Times New Roman" w:cs="Times New Roman"/>
          <w:sz w:val="18"/>
          <w:szCs w:val="18"/>
        </w:rPr>
      </w:pPr>
    </w:p>
    <w:p w14:paraId="30ED2A89">
      <w:pPr>
        <w:rPr>
          <w:rFonts w:hint="default" w:ascii="Times New Roman" w:hAnsi="Times New Roman" w:cs="Times New Roman"/>
          <w:sz w:val="18"/>
          <w:szCs w:val="18"/>
        </w:rPr>
      </w:pPr>
    </w:p>
    <w:p w14:paraId="2AC4FF16">
      <w:pPr>
        <w:rPr>
          <w:rFonts w:hint="default" w:ascii="Times New Roman" w:hAnsi="Times New Roman" w:cs="Times New Roman"/>
          <w:sz w:val="18"/>
          <w:szCs w:val="18"/>
        </w:rPr>
      </w:pPr>
    </w:p>
    <w:p w14:paraId="7AC658A8">
      <w:pPr>
        <w:rPr>
          <w:rFonts w:hint="default" w:ascii="Times New Roman" w:hAnsi="Times New Roman" w:cs="Times New Roman"/>
          <w:sz w:val="18"/>
          <w:szCs w:val="18"/>
        </w:rPr>
      </w:pPr>
    </w:p>
    <w:p w14:paraId="48BF9F82">
      <w:pPr>
        <w:rPr>
          <w:rFonts w:hint="default" w:ascii="Times New Roman" w:hAnsi="Times New Roman" w:cs="Times New Roman"/>
          <w:sz w:val="18"/>
          <w:szCs w:val="18"/>
        </w:rPr>
      </w:pPr>
    </w:p>
    <w:p w14:paraId="3DE26F91">
      <w:pPr>
        <w:rPr>
          <w:rFonts w:hint="default" w:ascii="Times New Roman" w:hAnsi="Times New Roman" w:cs="Times New Roman"/>
          <w:sz w:val="18"/>
          <w:szCs w:val="18"/>
        </w:rPr>
      </w:pPr>
    </w:p>
    <w:p w14:paraId="582AA62D">
      <w:pPr>
        <w:rPr>
          <w:rFonts w:hint="default" w:ascii="Times New Roman" w:hAnsi="Times New Roman" w:cs="Times New Roman"/>
          <w:sz w:val="18"/>
          <w:szCs w:val="18"/>
        </w:rPr>
      </w:pPr>
    </w:p>
    <w:p w14:paraId="3E732587">
      <w:pPr>
        <w:rPr>
          <w:rFonts w:hint="default" w:ascii="Times New Roman" w:hAnsi="Times New Roman" w:cs="Times New Roman"/>
          <w:sz w:val="18"/>
          <w:szCs w:val="18"/>
        </w:rPr>
      </w:pPr>
    </w:p>
    <w:p w14:paraId="3EE48574">
      <w:pPr>
        <w:rPr>
          <w:rFonts w:hint="default" w:ascii="Times New Roman" w:hAnsi="Times New Roman" w:cs="Times New Roman"/>
          <w:sz w:val="18"/>
          <w:szCs w:val="18"/>
        </w:rPr>
      </w:pPr>
    </w:p>
    <w:p w14:paraId="2041F42D">
      <w:pPr>
        <w:rPr>
          <w:rFonts w:hint="default" w:ascii="Times New Roman" w:hAnsi="Times New Roman" w:cs="Times New Roman"/>
          <w:sz w:val="18"/>
          <w:szCs w:val="18"/>
        </w:rPr>
      </w:pPr>
    </w:p>
    <w:p w14:paraId="7DC52877">
      <w:pPr>
        <w:rPr>
          <w:rFonts w:hint="default" w:ascii="Times New Roman" w:hAnsi="Times New Roman" w:cs="Times New Roman"/>
          <w:sz w:val="18"/>
          <w:szCs w:val="18"/>
        </w:rPr>
      </w:pPr>
    </w:p>
    <w:p w14:paraId="022ED76C">
      <w:pPr>
        <w:rPr>
          <w:rFonts w:hint="default" w:ascii="Times New Roman" w:hAnsi="Times New Roman" w:cs="Times New Roman"/>
          <w:sz w:val="18"/>
          <w:szCs w:val="18"/>
        </w:rPr>
      </w:pPr>
    </w:p>
    <w:p w14:paraId="3E176661">
      <w:pPr>
        <w:rPr>
          <w:rFonts w:hint="default" w:ascii="Times New Roman" w:hAnsi="Times New Roman" w:cs="Times New Roman"/>
          <w:sz w:val="18"/>
          <w:szCs w:val="18"/>
        </w:rPr>
      </w:pPr>
    </w:p>
    <w:p w14:paraId="4F2E6B60">
      <w:pPr>
        <w:rPr>
          <w:rFonts w:hint="default" w:ascii="Times New Roman" w:hAnsi="Times New Roman" w:cs="Times New Roman"/>
          <w:sz w:val="18"/>
          <w:szCs w:val="18"/>
        </w:rPr>
      </w:pPr>
    </w:p>
    <w:p w14:paraId="3982E385">
      <w:pPr>
        <w:rPr>
          <w:rFonts w:hint="default" w:ascii="Times New Roman" w:hAnsi="Times New Roman" w:cs="Times New Roman"/>
          <w:sz w:val="18"/>
          <w:szCs w:val="18"/>
        </w:rPr>
      </w:pPr>
    </w:p>
    <w:p w14:paraId="154522DD">
      <w:pPr>
        <w:rPr>
          <w:rFonts w:hint="default" w:ascii="Times New Roman" w:hAnsi="Times New Roman" w:cs="Times New Roman"/>
          <w:sz w:val="18"/>
          <w:szCs w:val="18"/>
        </w:rPr>
      </w:pPr>
    </w:p>
    <w:p w14:paraId="4D9FCF28">
      <w:pPr>
        <w:rPr>
          <w:rFonts w:hint="default" w:ascii="Times New Roman" w:hAnsi="Times New Roman" w:cs="Times New Roman"/>
          <w:sz w:val="18"/>
          <w:szCs w:val="18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5"/>
        <w:gridCol w:w="2896"/>
        <w:gridCol w:w="1791"/>
      </w:tblGrid>
      <w:tr w14:paraId="75DC5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4E6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Univariate cox regression analysis of factors influencing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-day mortality.</w:t>
            </w:r>
          </w:p>
        </w:tc>
      </w:tr>
      <w:tr w14:paraId="2946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2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 Names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7431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1B9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</w:tr>
      <w:tr w14:paraId="52BE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2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Ethnicity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6F8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A4C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4DB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C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Black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4B2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2E4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3B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E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White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8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1.20(0.90-1.61)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E3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0.224</w:t>
            </w:r>
          </w:p>
        </w:tc>
      </w:tr>
      <w:tr w14:paraId="3B98C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0E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Other/Unknown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FCE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1.63(1.20-2.21)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FDC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6CA62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9629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Severity of illness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B0B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D47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34B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F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MELD score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EC9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1.08(1.07-1.09)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1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1633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887A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Laboratory measurements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1346C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34D5FD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0E0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8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 (K/uL)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2F3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1.04(1.03-1.04)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9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CB97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A8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Hemoglobin (g/dL)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2E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0.92(0.89-0.95)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5C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0F56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C5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bilirubin (mg/dL)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F4A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1.05(1.04-1.05)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E8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EEA8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4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482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1.48(1.40-1.56)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E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6D19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53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Lactate (mmol/L)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3BD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1.15(1.13-1.17)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0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62B7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9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INR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0A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1.39(1.34-1.44)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1D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840C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E3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 (sec)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7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1.03(1.03-1.03)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AA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DAB9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16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PPT (sec)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3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1.01(1.01-1.02)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5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5599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7C8C3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Complications or comorbidities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CA5F2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7F353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6B0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7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Ascites,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594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1.86(1.62-2.13)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0865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F3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Hepatorenal syndrome 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B7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2.37(2.04-2.77)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E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EED0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Liver transplantation 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54F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0.40(0.17-0.96)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29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</w:tr>
      <w:tr w14:paraId="1F692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C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 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355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0.80(0.69-0.93)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 w14:paraId="68C95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CA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Myocardial infarction,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94A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1.65(1.25-2.17)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6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FDE2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60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Sepsis,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9B6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2.03(1.69-2.43)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11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1462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0C92C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Treatments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25CB91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 w14:paraId="323D91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819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68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Antibiotics,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6A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4.11(2.69-6.28)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1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3134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8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Statins,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160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0.59(0.42-0.83)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D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12E37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6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Non-selective beta-blockers,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91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0.46(0.34-0.62)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E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7B9C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7F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Diuretics,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C5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0.45(0.38-0.53)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9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E00D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9E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CRRT,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672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3.03(2.61-3.52)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E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B1B3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C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Mechanical ventilation, n (%)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8BC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1.63(1.35-1.98)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74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EB29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F64E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Aspirin treatment, n (%)</w:t>
            </w:r>
          </w:p>
        </w:tc>
        <w:tc>
          <w:tcPr>
            <w:tcW w:w="16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CB80C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0.54(0.41-0.71)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AF2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2FA2F226">
      <w:pPr>
        <w:rPr>
          <w:rFonts w:hint="default" w:ascii="Times New Roman" w:hAnsi="Times New Roman" w:cs="Times New Roman"/>
          <w:sz w:val="18"/>
          <w:szCs w:val="18"/>
        </w:rPr>
      </w:pPr>
    </w:p>
    <w:p w14:paraId="25E88D9D">
      <w:pPr>
        <w:rPr>
          <w:rFonts w:hint="default" w:ascii="Times New Roman" w:hAnsi="Times New Roman" w:cs="Times New Roman"/>
          <w:sz w:val="18"/>
          <w:szCs w:val="18"/>
        </w:rPr>
      </w:pPr>
    </w:p>
    <w:p w14:paraId="3A3FFCAA">
      <w:pPr>
        <w:rPr>
          <w:rFonts w:hint="default" w:ascii="Times New Roman" w:hAnsi="Times New Roman" w:cs="Times New Roman"/>
          <w:sz w:val="18"/>
          <w:szCs w:val="18"/>
        </w:rPr>
      </w:pPr>
    </w:p>
    <w:p w14:paraId="7C7FE9EF">
      <w:pPr>
        <w:rPr>
          <w:rFonts w:hint="default" w:ascii="Times New Roman" w:hAnsi="Times New Roman" w:cs="Times New Roman"/>
          <w:sz w:val="18"/>
          <w:szCs w:val="18"/>
        </w:rPr>
      </w:pPr>
    </w:p>
    <w:p w14:paraId="6A269ADE">
      <w:pPr>
        <w:rPr>
          <w:rFonts w:hint="default" w:ascii="Times New Roman" w:hAnsi="Times New Roman" w:cs="Times New Roman"/>
          <w:sz w:val="18"/>
          <w:szCs w:val="18"/>
        </w:rPr>
      </w:pPr>
    </w:p>
    <w:p w14:paraId="099D10C7">
      <w:pPr>
        <w:rPr>
          <w:rFonts w:hint="default" w:ascii="Times New Roman" w:hAnsi="Times New Roman" w:cs="Times New Roman"/>
          <w:sz w:val="18"/>
          <w:szCs w:val="18"/>
        </w:rPr>
      </w:pPr>
    </w:p>
    <w:p w14:paraId="5151A744">
      <w:pPr>
        <w:rPr>
          <w:rFonts w:hint="default" w:ascii="Times New Roman" w:hAnsi="Times New Roman" w:cs="Times New Roman"/>
          <w:sz w:val="18"/>
          <w:szCs w:val="18"/>
        </w:rPr>
      </w:pPr>
    </w:p>
    <w:p w14:paraId="0B2328FC">
      <w:pPr>
        <w:rPr>
          <w:rFonts w:hint="default" w:ascii="Times New Roman" w:hAnsi="Times New Roman" w:cs="Times New Roman"/>
          <w:sz w:val="18"/>
          <w:szCs w:val="18"/>
        </w:rPr>
      </w:pPr>
    </w:p>
    <w:p w14:paraId="34692715">
      <w:pPr>
        <w:rPr>
          <w:rFonts w:hint="default" w:ascii="Times New Roman" w:hAnsi="Times New Roman" w:cs="Times New Roman"/>
          <w:sz w:val="18"/>
          <w:szCs w:val="18"/>
        </w:rPr>
      </w:pPr>
    </w:p>
    <w:p w14:paraId="0CD7E75C">
      <w:pPr>
        <w:rPr>
          <w:rFonts w:hint="default" w:ascii="Times New Roman" w:hAnsi="Times New Roman" w:cs="Times New Roman"/>
          <w:sz w:val="18"/>
          <w:szCs w:val="18"/>
        </w:rPr>
      </w:pPr>
    </w:p>
    <w:p w14:paraId="43A7BF70">
      <w:pPr>
        <w:rPr>
          <w:rFonts w:hint="default" w:ascii="Times New Roman" w:hAnsi="Times New Roman" w:cs="Times New Roman"/>
          <w:sz w:val="18"/>
          <w:szCs w:val="18"/>
        </w:rPr>
      </w:pPr>
    </w:p>
    <w:p w14:paraId="12734AA4">
      <w:pPr>
        <w:rPr>
          <w:rFonts w:hint="default" w:ascii="Times New Roman" w:hAnsi="Times New Roman" w:cs="Times New Roman"/>
          <w:sz w:val="18"/>
          <w:szCs w:val="18"/>
        </w:rPr>
      </w:pPr>
    </w:p>
    <w:tbl>
      <w:tblPr>
        <w:tblStyle w:val="3"/>
        <w:tblpPr w:leftFromText="180" w:rightFromText="180" w:vertAnchor="text" w:tblpY="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3"/>
        <w:gridCol w:w="3959"/>
      </w:tblGrid>
      <w:tr w14:paraId="75BC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46CABF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Distribution of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spirin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osage for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reatment.</w:t>
            </w:r>
          </w:p>
        </w:tc>
      </w:tr>
      <w:tr w14:paraId="42333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  <w:tcBorders>
              <w:top w:val="single" w:color="auto" w:sz="4" w:space="0"/>
            </w:tcBorders>
          </w:tcPr>
          <w:p w14:paraId="41A228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Aspirin dose(mg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/day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22" w:type="pct"/>
            <w:tcBorders>
              <w:top w:val="single" w:color="auto" w:sz="4" w:space="0"/>
            </w:tcBorders>
          </w:tcPr>
          <w:p w14:paraId="0508E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n(%)</w:t>
            </w:r>
          </w:p>
        </w:tc>
      </w:tr>
      <w:tr w14:paraId="5716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</w:tcPr>
          <w:p w14:paraId="40E43AA8"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322" w:type="pct"/>
          </w:tcPr>
          <w:p w14:paraId="0EAB277C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282(0.81)</w:t>
            </w:r>
          </w:p>
        </w:tc>
      </w:tr>
      <w:tr w14:paraId="70E9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</w:tcPr>
          <w:p w14:paraId="148B5FA5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162</w:t>
            </w:r>
          </w:p>
        </w:tc>
        <w:tc>
          <w:tcPr>
            <w:tcW w:w="2322" w:type="pct"/>
          </w:tcPr>
          <w:p w14:paraId="41E1077F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3(0.009)</w:t>
            </w:r>
          </w:p>
        </w:tc>
      </w:tr>
      <w:tr w14:paraId="2E19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2677" w:type="pct"/>
          </w:tcPr>
          <w:p w14:paraId="447CB636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243</w:t>
            </w:r>
          </w:p>
        </w:tc>
        <w:tc>
          <w:tcPr>
            <w:tcW w:w="2322" w:type="pct"/>
          </w:tcPr>
          <w:p w14:paraId="7F670437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1(0.003)</w:t>
            </w:r>
          </w:p>
        </w:tc>
      </w:tr>
      <w:tr w14:paraId="5991C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</w:tcPr>
          <w:p w14:paraId="28320524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2322" w:type="pct"/>
          </w:tcPr>
          <w:p w14:paraId="21FBF279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10(0.029)</w:t>
            </w:r>
          </w:p>
        </w:tc>
      </w:tr>
      <w:tr w14:paraId="4391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</w:tcPr>
          <w:p w14:paraId="69BD0653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325</w:t>
            </w:r>
          </w:p>
        </w:tc>
        <w:tc>
          <w:tcPr>
            <w:tcW w:w="2322" w:type="pct"/>
          </w:tcPr>
          <w:p w14:paraId="13A888B4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52(0.149)</w:t>
            </w:r>
          </w:p>
        </w:tc>
      </w:tr>
    </w:tbl>
    <w:p w14:paraId="58DF8004">
      <w:pPr>
        <w:rPr>
          <w:rFonts w:hint="default" w:ascii="Times New Roman" w:hAnsi="Times New Roman" w:cs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F0898"/>
    <w:rsid w:val="06A25465"/>
    <w:rsid w:val="1A554870"/>
    <w:rsid w:val="27893DAB"/>
    <w:rsid w:val="2BBB474F"/>
    <w:rsid w:val="2BCC070B"/>
    <w:rsid w:val="3A0A0D7C"/>
    <w:rsid w:val="42521512"/>
    <w:rsid w:val="46BF681F"/>
    <w:rsid w:val="58455197"/>
    <w:rsid w:val="61F17317"/>
    <w:rsid w:val="65EF0898"/>
    <w:rsid w:val="6911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7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  <w:style w:type="character" w:customStyle="1" w:styleId="7">
    <w:name w:val="font6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  <w:style w:type="character" w:customStyle="1" w:styleId="8">
    <w:name w:val="font4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624</Words>
  <Characters>3604</Characters>
  <Lines>0</Lines>
  <Paragraphs>0</Paragraphs>
  <TotalTime>4</TotalTime>
  <ScaleCrop>false</ScaleCrop>
  <LinksUpToDate>false</LinksUpToDate>
  <CharactersWithSpaces>3910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2025-11-08T01:52:00Z</dcterms:created>
  <dc:creator>易宇</dc:creator>
  <cp:lastModifiedBy>易宇</cp:lastModifiedBy>
  <dcterms:modified xsi:type="dcterms:W3CDTF">2025-11-08T03:47:29Z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D54FDA67B0B04813878583CC187FFC8D_11</vt:lpwstr>
  </property>
  <property fmtid="{D5CDD505-2E9C-101B-9397-08002B2CF9AE}" pid="4" name="KSOTemplateDocerSaveRecord">
    <vt:lpwstr>eyJoZGlkIjoiN2VjM2NhYjAxYWI3ODQyY2Y1ZWE4YjgwNTVjZTM1OTIiLCJ1c2VySWQiOiIzNzA2ODY0ODkifQ==</vt:lpwstr>
  </property>
</Properties>
</file>