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Tables</w:t>
      </w:r>
    </w:p>
    <w:p w:rsidR="00000000" w:rsidDel="00000000" w:rsidP="00000000" w:rsidRDefault="00000000" w:rsidRPr="00000000" w14:paraId="00000002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1.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D-dimer cutoff information.</w:t>
      </w:r>
      <w:r w:rsidDel="00000000" w:rsidR="00000000" w:rsidRPr="00000000">
        <w:rPr>
          <w:rtl w:val="0"/>
        </w:rPr>
      </w:r>
    </w:p>
    <w:tbl>
      <w:tblPr>
        <w:tblStyle w:val="Table1"/>
        <w:tblW w:w="9782.0" w:type="dxa"/>
        <w:jc w:val="center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53"/>
        <w:gridCol w:w="2903"/>
        <w:gridCol w:w="4326"/>
        <w:tblGridChange w:id="0">
          <w:tblGrid>
            <w:gridCol w:w="2553"/>
            <w:gridCol w:w="2903"/>
            <w:gridCol w:w="432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Study ID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Cut-off values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Method for determining the cut-off values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Diao D (2014) [8]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1.500 mg/L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Based on the ROC analysis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Liu L (2014) [9]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1.465 μg/mL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Based on the ROC analysis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Go SI (2015) [10]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1.500 μg/mL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Minimal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-value approach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Liang Y (2018) [11]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500.000 μg/L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Based on the preoperative plasma D-dimer level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Kim EY (2021) [12]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3.330 μg/mL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Contal and O’Quigley’s method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Shen H (2022) [13]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0.560 μg/mL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X-tile test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Zhang X (2022) [14]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1.000 mg/L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According to the upper limit of the normal value of the clinical reference of D-dimer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Zhang XF (2022) [15]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1000.000 ng/mL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median value of the pretreatment D-dimer value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 W (2024) [16]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1.000 ng/mL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NR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Wang D (2024) [17]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0.965 mg/L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Based on the ROC analysis</w:t>
            </w:r>
          </w:p>
        </w:tc>
      </w:tr>
    </w:tbl>
    <w:p w:rsidR="00000000" w:rsidDel="00000000" w:rsidP="00000000" w:rsidRDefault="00000000" w:rsidRPr="00000000" w14:paraId="0000002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ROC, receiver operating characteristic; NR, not reported.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Sensitivity analysis comparing DFS, PFS, and combined DFS/PFS as survival endpoints by meta-regression.</w:t>
      </w:r>
    </w:p>
    <w:tbl>
      <w:tblPr>
        <w:tblStyle w:val="Table2"/>
        <w:tblW w:w="9493.0" w:type="dxa"/>
        <w:jc w:val="center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85"/>
        <w:gridCol w:w="283"/>
        <w:gridCol w:w="1542"/>
        <w:gridCol w:w="2369"/>
        <w:gridCol w:w="2180"/>
        <w:gridCol w:w="1134"/>
        <w:tblGridChange w:id="0">
          <w:tblGrid>
            <w:gridCol w:w="1985"/>
            <w:gridCol w:w="283"/>
            <w:gridCol w:w="1542"/>
            <w:gridCol w:w="2369"/>
            <w:gridCol w:w="2180"/>
            <w:gridCol w:w="113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Items</w:t>
            </w:r>
          </w:p>
        </w:tc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Number of included studies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HR (95% CI)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β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(95% CI)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value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DFS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1.89 (1.50, 2.37)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-0.02 (-0.17, 0.12)</w:t>
            </w:r>
          </w:p>
        </w:tc>
        <w:tc>
          <w:tcPr>
            <w:vMerge w:val="restart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0.753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PFS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1.65 (1.07, 2.21)</w:t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Combined DFS/PFS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1.79 (1.50, 2.13)</w:t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DFS, disease-free survival; PFS, progression-free survival; HR, hazard ratio; CI, confidence interval. Model: Random-effects meta-regression using REML.</w:t>
      </w:r>
    </w:p>
    <w:p w:rsidR="00000000" w:rsidDel="00000000" w:rsidP="00000000" w:rsidRDefault="00000000" w:rsidRPr="00000000" w14:paraId="0000004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Dependent variable: log-transformed hazard ratio (logHR).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Supplementary Table 3.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Certainty assessment by GRADE</w:t>
      </w:r>
    </w:p>
    <w:tbl>
      <w:tblPr>
        <w:tblStyle w:val="Table3"/>
        <w:tblW w:w="8364.0" w:type="dxa"/>
        <w:jc w:val="left"/>
        <w:tblBorders>
          <w:top w:color="000000" w:space="0" w:sz="4" w:val="single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1989"/>
        <w:gridCol w:w="3828"/>
        <w:tblGridChange w:id="0">
          <w:tblGrid>
            <w:gridCol w:w="2547"/>
            <w:gridCol w:w="1989"/>
            <w:gridCol w:w="382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Outcomes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Number of included studies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Certainty of evidence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OS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Combined DFS/PFS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Moderate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Lymph node metastasis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Very low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Distant metastasis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Very low</w:t>
            </w:r>
          </w:p>
        </w:tc>
      </w:tr>
    </w:tbl>
    <w:p w:rsidR="00000000" w:rsidDel="00000000" w:rsidP="00000000" w:rsidRDefault="00000000" w:rsidRPr="00000000" w14:paraId="0000005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OS, overall survival; DFS, disease-free survival; PFS, progression-free survival; GRADE, Grading of Recommendations, Assessment, Development, and Evaluations. </w:t>
      </w:r>
    </w:p>
    <w:sectPr>
      <w:footerReference r:id="rId6" w:type="default"/>
      <w:pgSz w:h="16838" w:w="11906" w:orient="portrait"/>
      <w:pgMar w:bottom="1440" w:top="1440" w:left="1800" w:right="1800" w:header="851" w:footer="992"/>
      <w:lnNumType w:countBy="1" w:start="0" w:restart="continuous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等线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等线" w:cs="等线" w:eastAsia="等线" w:hAnsi="等线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等线" w:cs="等线" w:eastAsia="等线" w:hAnsi="等线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left"/>
      <w:rPr>
        <w:rFonts w:ascii="等线" w:cs="等线" w:eastAsia="等线" w:hAnsi="等线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等线" w:cs="等线" w:eastAsia="等线" w:hAnsi="等线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46a7137c85bd843eac3c0fdde13fc6fb78225202332e14f950d1a378d9f1116f</vt:lpwstr>
  </property>
</Properties>
</file>