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A2B1D">
      <w:pPr>
        <w:pStyle w:val="2"/>
        <w:spacing w:line="480" w:lineRule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cs="Times New Roman"/>
          <w:b/>
          <w:bCs/>
          <w:sz w:val="18"/>
          <w:szCs w:val="18"/>
        </w:rPr>
        <w:t>Supplementary Table S1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Baseline Demographic, Biochemical, and Clinical Characteristics of patients according to the presence or absence of SMVT.</w:t>
      </w:r>
    </w:p>
    <w:tbl>
      <w:tblPr>
        <w:tblStyle w:val="3"/>
        <w:tblW w:w="8317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2444"/>
        <w:gridCol w:w="1741"/>
        <w:gridCol w:w="850"/>
      </w:tblGrid>
      <w:tr w14:paraId="60C7F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F38996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Variables</w:t>
            </w:r>
          </w:p>
        </w:tc>
        <w:tc>
          <w:tcPr>
            <w:tcW w:w="244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AA2A56">
            <w:pPr>
              <w:widowControl/>
              <w:spacing w:line="480" w:lineRule="auto"/>
              <w:textAlignment w:val="bottom"/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Non-SMV</w:t>
            </w:r>
            <w:r>
              <w:rPr>
                <w:rFonts w:hint="eastAsia"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 xml:space="preserve"> Group</w:t>
            </w:r>
          </w:p>
          <w:p w14:paraId="59F7508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(n = 291)</w:t>
            </w:r>
          </w:p>
        </w:tc>
        <w:tc>
          <w:tcPr>
            <w:tcW w:w="174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1D691E">
            <w:pPr>
              <w:widowControl/>
              <w:spacing w:line="480" w:lineRule="auto"/>
              <w:textAlignment w:val="bottom"/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SMV</w:t>
            </w:r>
            <w:r>
              <w:rPr>
                <w:rFonts w:hint="eastAsia"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 xml:space="preserve"> Group</w:t>
            </w:r>
          </w:p>
          <w:p w14:paraId="7C68C747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(n = 89)</w:t>
            </w:r>
          </w:p>
        </w:tc>
        <w:tc>
          <w:tcPr>
            <w:tcW w:w="8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3003E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P-</w:t>
            </w:r>
            <w:r>
              <w:rPr>
                <w:rFonts w:ascii="Times New Roman" w:hAnsi="Times New Roman" w:eastAsia="微软雅黑" w:cs="Times New Roman"/>
                <w:b/>
                <w:sz w:val="18"/>
                <w:szCs w:val="18"/>
                <w:lang w:bidi="ar"/>
              </w:rPr>
              <w:t>value</w:t>
            </w:r>
          </w:p>
        </w:tc>
      </w:tr>
      <w:tr w14:paraId="4580F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5374FD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Demographics</w:t>
            </w:r>
          </w:p>
        </w:tc>
        <w:tc>
          <w:tcPr>
            <w:tcW w:w="244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913CFB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FF8E77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BB3B54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F361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7679E1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Male gender,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3B3186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177 (60.8)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B6A38D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63 (70.8)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A16A0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0.088</w:t>
            </w:r>
          </w:p>
        </w:tc>
      </w:tr>
      <w:tr w14:paraId="5738A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3B8E71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Age (years)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2734D8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57.36 ± 11.04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4EB9E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56.00 ± 10.84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CB0F1A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0.302</w:t>
            </w:r>
          </w:p>
        </w:tc>
      </w:tr>
      <w:tr w14:paraId="701F3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01E54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Etiology of cirrhosis,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C975E3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2DC03C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B8585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0.142</w:t>
            </w:r>
          </w:p>
        </w:tc>
      </w:tr>
      <w:tr w14:paraId="377B8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41457E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Viral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17872A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144 (49.5)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B2F43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54 (60.7)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B35F2B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1E47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EA002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Alcohol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5AEA01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57 (19.6)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725501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16 (18.0)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5093F8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588C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46B24E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Others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0A264D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90 (30.9)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123EA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19 (21.3)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5D3D94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9ABF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E65F0D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sz w:val="18"/>
                <w:szCs w:val="18"/>
                <w:lang w:bidi="ar"/>
              </w:rPr>
              <w:t>Child-Pugh Class,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280664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AE3F1C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E309D8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0.704</w:t>
            </w:r>
          </w:p>
        </w:tc>
      </w:tr>
      <w:tr w14:paraId="78866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B813D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A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0BBAB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56 (19.2)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B9EA8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14 (15.7)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30C0D8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3B23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04BF7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B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F62E1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193 (66.3)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7C6AC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63 (70.8)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137EA0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5390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348120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C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EDFF9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42 (14.4)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7ECFE8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12 (13.5)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841A6E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A3D6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A2BDD5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Laboratory Parameters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C4B549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5E3260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A324C1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36F2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FB2860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MELD score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5052E7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6.80 (6.00, 9.82)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F0667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7.25 (6.00, 10.85)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EF5BF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0.371</w:t>
            </w:r>
          </w:p>
        </w:tc>
      </w:tr>
      <w:tr w14:paraId="62E20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607E6A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AST (U/L)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7538B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32.00 (25.00, 45.50)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A04575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30.00 (23.00, 37.00)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480BFA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0.017</w:t>
            </w:r>
          </w:p>
        </w:tc>
      </w:tr>
      <w:tr w14:paraId="246A3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261DD8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ALP (U/L)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22A9CE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93.00 (71.00, 129.00)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0F9DD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86.00(65.00, 120.00)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2DDEB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0.095</w:t>
            </w:r>
          </w:p>
        </w:tc>
      </w:tr>
      <w:tr w14:paraId="54591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7DAD1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GGT (U/L)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AE08D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31.00 (19.00, 60.50)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B1EAB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31.00 (20.00, 56.00)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2CD635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0.865</w:t>
            </w:r>
          </w:p>
        </w:tc>
      </w:tr>
      <w:tr w14:paraId="4FA28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ED74DD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TBIL (µmol/L)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D6666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22.40 (15.95, 37.20)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B0039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23.60 (16.50, 35.50)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51297F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0.967</w:t>
            </w:r>
          </w:p>
        </w:tc>
      </w:tr>
      <w:tr w14:paraId="30DDC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03D2A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TBA (µmol/L)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163098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35.00 (14.00, 68.00)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368C37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24.00 (9.00, 41.00)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5C07D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14:paraId="2F063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98FCC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GLU (mmol/L)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210A20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5.20 (4.60, 6.50)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70DE8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5.50 (5.00, 7.60)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A32A1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0.010</w:t>
            </w:r>
          </w:p>
        </w:tc>
      </w:tr>
      <w:tr w14:paraId="2E4BD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E1C84D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CRE (µmol/L)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B7D79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72.00 (63.00, 86.50)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A97D4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76.00 (66.00, 87.00)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81768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0.160</w:t>
            </w:r>
          </w:p>
        </w:tc>
      </w:tr>
      <w:tr w14:paraId="07E5D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A1A77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  <w:lang w:bidi="ar"/>
              </w:rPr>
              <w:t>LYMPH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  <w:lang w:bidi="ar"/>
              </w:rPr>
              <w:t xml:space="preserve"> (× 10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  <w:lang w:bidi="ar"/>
              </w:rPr>
              <w:t>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27F485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0.61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0.44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0.90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2C56B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0.56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0.39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0.78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5F6F9D">
            <w:pPr>
              <w:widowControl/>
              <w:spacing w:line="480" w:lineRule="auto"/>
              <w:textAlignment w:val="bottom"/>
              <w:rPr>
                <w:rFonts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051</w:t>
            </w:r>
          </w:p>
        </w:tc>
      </w:tr>
      <w:tr w14:paraId="491CC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003437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RBC (× 10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bidi="ar"/>
              </w:rPr>
              <w:t>12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BED0D5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3.37 ± 0.72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8AA90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3.38 ± 0.69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47DF76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0.870</w:t>
            </w:r>
          </w:p>
        </w:tc>
      </w:tr>
      <w:tr w14:paraId="7FA79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14773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HGB (g/L)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B83BE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99.85 ± 24.73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D58B8A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98.37 ± 25.32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EDB4D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0.628</w:t>
            </w:r>
          </w:p>
        </w:tc>
      </w:tr>
      <w:tr w14:paraId="613AE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6A1B4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HCT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05AF2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30.82 ± 6.64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20C645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30.28 ± 6.86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C42D78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0.514</w:t>
            </w:r>
          </w:p>
        </w:tc>
      </w:tr>
      <w:tr w14:paraId="4D200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71233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PLT (× 10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0B70A0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61.00 (42.00, 84.50)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9F5BC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56.00 (41.00, 74.00)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AF4D6F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0.212</w:t>
            </w:r>
          </w:p>
        </w:tc>
      </w:tr>
      <w:tr w14:paraId="1C1D5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13D3FE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Complications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136028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281CFE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0F5621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3D6A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8935D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Encephalopathy,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24343F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23 (7.9)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264675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9 (10.1)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008758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0.511</w:t>
            </w:r>
          </w:p>
        </w:tc>
      </w:tr>
      <w:tr w14:paraId="0978C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E910A0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Ascites severity,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3783F9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CF43D3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2B13C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0.404</w:t>
            </w:r>
          </w:p>
        </w:tc>
      </w:tr>
      <w:tr w14:paraId="42E4A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3B6A1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None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884290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50 (17.2)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10363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10 (11.2)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985A0A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DFF0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F63497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Mild (&lt; 3 cm)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D4BA4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110 (37.8)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EF06F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36 (40.4)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5F9317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ADB9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9B67A8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- Moderate/Severe (≥ 3 cm)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BB1ED1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131 (45.0)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BF80D0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43 (48.3)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A5D8E8">
            <w:pPr>
              <w:spacing w:line="48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716D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48512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Severe esophageal varices,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BA480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103 (35.4)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106AE1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25 (28.1)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C695F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0.202</w:t>
            </w:r>
          </w:p>
        </w:tc>
      </w:tr>
      <w:tr w14:paraId="4616F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64497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Gastric Varices,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84E04F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171 (58.8)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6BCB66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52 (58.4)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0F001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0.932</w:t>
            </w:r>
          </w:p>
        </w:tc>
      </w:tr>
      <w:tr w14:paraId="2538C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EE6E8E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Portal Cavernoma,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0B47D1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35 (12.0)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DEB81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35 (12.0)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55BA5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&lt; 0.001</w:t>
            </w:r>
          </w:p>
        </w:tc>
      </w:tr>
      <w:tr w14:paraId="5FB54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F6F464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Portosystemic Shunt,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9EACA9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74 (25.4)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D2D1C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30 (33.7)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77B552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0.125</w:t>
            </w:r>
          </w:p>
        </w:tc>
      </w:tr>
      <w:tr w14:paraId="0B05B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ACE2FD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Cs/>
                <w:kern w:val="0"/>
                <w:sz w:val="18"/>
                <w:szCs w:val="18"/>
                <w:lang w:bidi="ar"/>
              </w:rPr>
              <w:t>History of gastrointestinal bleeding, n (%)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1D925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158 (54.3)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3C4E6D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65 (73.0)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B79D4C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0.002</w:t>
            </w:r>
          </w:p>
        </w:tc>
      </w:tr>
      <w:tr w14:paraId="1D64C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328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2277F2B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Cs/>
                <w:kern w:val="0"/>
                <w:sz w:val="18"/>
                <w:szCs w:val="18"/>
                <w:lang w:bidi="ar"/>
              </w:rPr>
              <w:t>Gastrointestinal bleeding within 12 months, n (%)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111BC813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146 (50.2)</w:t>
            </w:r>
          </w:p>
        </w:tc>
        <w:tc>
          <w:tcPr>
            <w:tcW w:w="174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4EC8F31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  <w:lang w:bidi="ar"/>
              </w:rPr>
              <w:t>60 (67.4)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6DA9A57">
            <w:pPr>
              <w:widowControl/>
              <w:spacing w:line="480" w:lineRule="auto"/>
              <w:textAlignment w:val="bottom"/>
              <w:rPr>
                <w:rFonts w:ascii="Times New Roman" w:hAnsi="Times New Roman" w:eastAsia="宋体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8"/>
                <w:szCs w:val="18"/>
                <w:lang w:bidi="ar"/>
              </w:rPr>
              <w:t>0.004</w:t>
            </w:r>
          </w:p>
        </w:tc>
      </w:tr>
    </w:tbl>
    <w:p w14:paraId="3101CBDF">
      <w:r>
        <w:br w:type="page"/>
      </w:r>
    </w:p>
    <w:p w14:paraId="5735C26C">
      <w:pPr>
        <w:pStyle w:val="2"/>
        <w:spacing w:line="480" w:lineRule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cs="Times New Roman"/>
          <w:b/>
          <w:bCs/>
          <w:sz w:val="18"/>
          <w:szCs w:val="18"/>
        </w:rPr>
        <w:t>Supplementary Table S2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Comparison of Outcomes Between Groups with and without SMVT after PSM.</w:t>
      </w:r>
    </w:p>
    <w:tbl>
      <w:tblPr>
        <w:tblStyle w:val="3"/>
        <w:tblW w:w="0" w:type="auto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21"/>
        <w:gridCol w:w="1031"/>
        <w:gridCol w:w="1170"/>
        <w:gridCol w:w="1723"/>
        <w:gridCol w:w="1467"/>
        <w:gridCol w:w="925"/>
      </w:tblGrid>
      <w:tr w14:paraId="1E9CBBE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221" w:type="dxa"/>
            <w:tcBorders>
              <w:top w:val="single" w:color="000000" w:sz="12" w:space="0"/>
              <w:left w:val="nil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DEB64C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Variables</w:t>
            </w:r>
          </w:p>
        </w:tc>
        <w:tc>
          <w:tcPr>
            <w:tcW w:w="1031" w:type="dxa"/>
            <w:tcBorders>
              <w:top w:val="single" w:color="000000" w:sz="12" w:space="0"/>
              <w:left w:val="nil"/>
              <w:bottom w:val="single" w:color="000000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03D054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Category</w:t>
            </w:r>
          </w:p>
        </w:tc>
        <w:tc>
          <w:tcPr>
            <w:tcW w:w="1170" w:type="dxa"/>
            <w:tcBorders>
              <w:top w:val="single" w:color="000000" w:sz="12" w:space="0"/>
              <w:left w:val="nil"/>
              <w:bottom w:val="single" w:color="000000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6604C1">
            <w:pPr>
              <w:widowControl/>
              <w:spacing w:line="480" w:lineRule="auto"/>
              <w:rPr>
                <w:rStyle w:val="5"/>
                <w:rFonts w:ascii="Times New Roman" w:hAnsi="Times New Roman" w:eastAsia="Segoe UI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Total</w:t>
            </w:r>
          </w:p>
          <w:p w14:paraId="3F5455F8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(n = 216)</w:t>
            </w:r>
          </w:p>
        </w:tc>
        <w:tc>
          <w:tcPr>
            <w:tcW w:w="1723" w:type="dxa"/>
            <w:tcBorders>
              <w:top w:val="single" w:color="000000" w:sz="12" w:space="0"/>
              <w:left w:val="nil"/>
              <w:bottom w:val="single" w:color="000000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970881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Non-</w:t>
            </w:r>
            <w:r>
              <w:rPr>
                <w:rFonts w:hint="eastAsia"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SMV</w:t>
            </w:r>
            <w:r>
              <w:rPr>
                <w:rFonts w:hint="eastAsia"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T</w:t>
            </w: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 xml:space="preserve"> Group (n = 141)</w:t>
            </w:r>
          </w:p>
        </w:tc>
        <w:tc>
          <w:tcPr>
            <w:tcW w:w="1467" w:type="dxa"/>
            <w:tcBorders>
              <w:top w:val="single" w:color="000000" w:sz="12" w:space="0"/>
              <w:left w:val="nil"/>
              <w:bottom w:val="single" w:color="000000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79FF86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SMV</w:t>
            </w:r>
            <w:r>
              <w:rPr>
                <w:rFonts w:hint="eastAsia"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T</w:t>
            </w: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 xml:space="preserve"> Group (n = 75)</w:t>
            </w:r>
          </w:p>
        </w:tc>
        <w:tc>
          <w:tcPr>
            <w:tcW w:w="9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84523A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kern w:val="0"/>
                <w:sz w:val="16"/>
              </w:rPr>
              <w:t>P</w:t>
            </w:r>
            <w:r>
              <w:rPr>
                <w:rFonts w:ascii="Times New Roman" w:hAnsi="Times New Roman" w:eastAsia="微软雅黑" w:cs="Times New Roman"/>
                <w:b/>
                <w:kern w:val="0"/>
                <w:sz w:val="16"/>
                <w:szCs w:val="16"/>
                <w:lang w:bidi="ar"/>
              </w:rPr>
              <w:t>-value</w:t>
            </w:r>
          </w:p>
        </w:tc>
      </w:tr>
      <w:tr w14:paraId="290D1C1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21" w:type="dxa"/>
            <w:vMerge w:val="restart"/>
            <w:tcBorders>
              <w:top w:val="single" w:color="000000" w:sz="4" w:space="0"/>
              <w:left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A0D2AD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:lang w:bidi="ar"/>
              </w:rPr>
              <w:t>History of gastrointestinal bleeding, n (%)</w:t>
            </w:r>
          </w:p>
        </w:tc>
        <w:tc>
          <w:tcPr>
            <w:tcW w:w="1031" w:type="dxa"/>
            <w:tcBorders>
              <w:top w:val="single" w:color="000000" w:sz="4" w:space="0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007BB7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No</w:t>
            </w: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31E5C9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81 (37.5)</w:t>
            </w:r>
          </w:p>
        </w:tc>
        <w:tc>
          <w:tcPr>
            <w:tcW w:w="1723" w:type="dxa"/>
            <w:tcBorders>
              <w:top w:val="single" w:color="000000" w:sz="4" w:space="0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8EFF1D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60 (42.6)</w:t>
            </w:r>
          </w:p>
        </w:tc>
        <w:tc>
          <w:tcPr>
            <w:tcW w:w="1467" w:type="dxa"/>
            <w:tcBorders>
              <w:top w:val="single" w:color="000000" w:sz="4" w:space="0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59CFF3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21 (28.0)</w:t>
            </w:r>
          </w:p>
        </w:tc>
        <w:tc>
          <w:tcPr>
            <w:tcW w:w="925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EC4FE3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:lang w:bidi="ar"/>
              </w:rPr>
              <w:t>0.035</w:t>
            </w:r>
          </w:p>
        </w:tc>
      </w:tr>
      <w:tr w14:paraId="59BF5C0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21" w:type="dxa"/>
            <w:vMerge w:val="continue"/>
            <w:tcBorders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B7DBC8">
            <w:pPr>
              <w:spacing w:line="480" w:lineRule="auto"/>
              <w:rPr>
                <w:rFonts w:ascii="Times New Roman" w:hAnsi="Times New Roman" w:eastAsia="Segoe UI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73B103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5CD2CB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135 (62.5)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94F148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81 (57.4)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0DB4EE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54 (72.0)</w:t>
            </w:r>
          </w:p>
        </w:tc>
        <w:tc>
          <w:tcPr>
            <w:tcW w:w="925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08F19D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</w:p>
        </w:tc>
      </w:tr>
      <w:tr w14:paraId="0596C7F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21" w:type="dxa"/>
            <w:vMerge w:val="restart"/>
            <w:tcBorders>
              <w:top w:val="nil"/>
              <w:left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106C1B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:lang w:bidi="ar"/>
              </w:rPr>
              <w:t>Gastrointestinal bleeding within 12 months, n (%)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6B56E6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No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D02599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90 (43.7)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F05CA8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67 (48.9)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8ADE08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23 (33.3)</w:t>
            </w:r>
          </w:p>
        </w:tc>
        <w:tc>
          <w:tcPr>
            <w:tcW w:w="925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C96656">
            <w:pPr>
              <w:widowControl/>
              <w:spacing w:line="480" w:lineRule="auto"/>
              <w:rPr>
                <w:rFonts w:ascii="Times New Roman" w:hAnsi="Times New Roman" w:eastAsia="Segoe UI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:lang w:bidi="ar"/>
              </w:rPr>
              <w:t>0.033</w:t>
            </w:r>
          </w:p>
        </w:tc>
      </w:tr>
      <w:tr w14:paraId="69B5797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21" w:type="dxa"/>
            <w:vMerge w:val="continue"/>
            <w:tcBorders>
              <w:left w:val="nil"/>
              <w:bottom w:val="single" w:color="000000" w:sz="12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7FA8BD">
            <w:pPr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color="000000" w:sz="12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B93A60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Yes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2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B65D9D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116 (56.3)</w:t>
            </w:r>
          </w:p>
        </w:tc>
        <w:tc>
          <w:tcPr>
            <w:tcW w:w="1723" w:type="dxa"/>
            <w:tcBorders>
              <w:top w:val="nil"/>
              <w:left w:val="nil"/>
              <w:bottom w:val="single" w:color="000000" w:sz="12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A70ADE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70 (51.1)</w:t>
            </w:r>
          </w:p>
        </w:tc>
        <w:tc>
          <w:tcPr>
            <w:tcW w:w="1467" w:type="dxa"/>
            <w:tcBorders>
              <w:top w:val="nil"/>
              <w:left w:val="nil"/>
              <w:bottom w:val="single" w:color="000000" w:sz="12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E91283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:lang w:bidi="ar"/>
              </w:rPr>
              <w:t>46 (66.7)</w:t>
            </w:r>
          </w:p>
        </w:tc>
        <w:tc>
          <w:tcPr>
            <w:tcW w:w="92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1AF9BF">
            <w:pPr>
              <w:widowControl/>
              <w:spacing w:line="480" w:lineRule="auto"/>
              <w:rPr>
                <w:rFonts w:ascii="Times New Roman" w:hAnsi="Times New Roman" w:eastAsia="Segoe UI" w:cs="Times New Roman"/>
                <w:sz w:val="16"/>
                <w:szCs w:val="16"/>
              </w:rPr>
            </w:pPr>
          </w:p>
        </w:tc>
      </w:tr>
    </w:tbl>
    <w:p w14:paraId="66F11DDE">
      <w:pPr>
        <w:rPr>
          <w:rFonts w:ascii="Times New Roman" w:hAnsi="Times New Roman" w:eastAsia="微软雅黑" w:cs="Times New Roman"/>
          <w:sz w:val="18"/>
          <w:szCs w:val="21"/>
        </w:rPr>
      </w:pPr>
      <w:r>
        <w:rPr>
          <w:rFonts w:ascii="Times New Roman" w:hAnsi="Times New Roman" w:eastAsia="微软雅黑" w:cs="Times New Roman"/>
          <w:sz w:val="18"/>
          <w:szCs w:val="21"/>
        </w:rPr>
        <w:br w:type="page"/>
      </w:r>
    </w:p>
    <w:p w14:paraId="1144F88D">
      <w:pPr>
        <w:spacing w:line="480" w:lineRule="auto"/>
        <w:rPr>
          <w:rFonts w:ascii="Times New Roman" w:hAnsi="Times New Roman" w:eastAsia="黑体" w:cs="Times New Roman"/>
          <w:b/>
          <w:bCs/>
          <w:sz w:val="18"/>
          <w:szCs w:val="18"/>
        </w:rPr>
      </w:pPr>
      <w:r>
        <w:rPr>
          <w:rFonts w:hint="eastAsia" w:ascii="Times New Roman" w:hAnsi="Times New Roman" w:eastAsia="黑体" w:cs="Times New Roman"/>
          <w:b/>
          <w:bCs/>
          <w:sz w:val="18"/>
          <w:szCs w:val="18"/>
        </w:rPr>
        <w:t>Supplementary Figure</w:t>
      </w:r>
    </w:p>
    <w:p w14:paraId="388EE290">
      <w:pPr>
        <w:spacing w:line="480" w:lineRule="auto"/>
        <w:rPr>
          <w:rFonts w:ascii="Times New Roman" w:hAnsi="Times New Roman" w:eastAsia="微软雅黑" w:cs="Times New Roman"/>
          <w:sz w:val="18"/>
          <w:szCs w:val="21"/>
        </w:rPr>
      </w:pPr>
      <w:r>
        <w:rPr>
          <w:rFonts w:hint="eastAsia" w:ascii="Times New Roman" w:hAnsi="Times New Roman" w:eastAsia="微软雅黑" w:cs="Times New Roman"/>
          <w:sz w:val="18"/>
          <w:szCs w:val="21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1009015</wp:posOffset>
            </wp:positionH>
            <wp:positionV relativeFrom="paragraph">
              <wp:posOffset>95885</wp:posOffset>
            </wp:positionV>
            <wp:extent cx="3521710" cy="2629535"/>
            <wp:effectExtent l="0" t="0" r="8890" b="12065"/>
            <wp:wrapSquare wrapText="bothSides"/>
            <wp:docPr id="10" name="图片 10" descr="Supplementary 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upplementary 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171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C16855">
      <w:pPr>
        <w:spacing w:line="480" w:lineRule="auto"/>
        <w:rPr>
          <w:rFonts w:ascii="Times New Roman" w:hAnsi="Times New Roman" w:eastAsia="微软雅黑" w:cs="Times New Roman"/>
          <w:sz w:val="18"/>
          <w:szCs w:val="21"/>
        </w:rPr>
      </w:pPr>
    </w:p>
    <w:p w14:paraId="01C3D626">
      <w:pPr>
        <w:spacing w:line="480" w:lineRule="auto"/>
        <w:rPr>
          <w:rFonts w:ascii="Times New Roman" w:hAnsi="Times New Roman" w:eastAsia="微软雅黑" w:cs="Times New Roman"/>
          <w:sz w:val="18"/>
          <w:szCs w:val="21"/>
        </w:rPr>
      </w:pPr>
    </w:p>
    <w:p w14:paraId="7E330D5A">
      <w:pPr>
        <w:spacing w:line="480" w:lineRule="auto"/>
        <w:rPr>
          <w:rFonts w:ascii="Times New Roman" w:hAnsi="Times New Roman" w:eastAsia="微软雅黑" w:cs="Times New Roman"/>
          <w:sz w:val="18"/>
          <w:szCs w:val="21"/>
        </w:rPr>
      </w:pPr>
    </w:p>
    <w:p w14:paraId="6DCE1DFB">
      <w:pPr>
        <w:spacing w:line="480" w:lineRule="auto"/>
        <w:rPr>
          <w:rFonts w:ascii="Times New Roman" w:hAnsi="Times New Roman" w:eastAsia="微软雅黑" w:cs="Times New Roman"/>
          <w:sz w:val="18"/>
          <w:szCs w:val="21"/>
        </w:rPr>
      </w:pPr>
    </w:p>
    <w:p w14:paraId="77325126">
      <w:pPr>
        <w:spacing w:line="480" w:lineRule="auto"/>
        <w:rPr>
          <w:rFonts w:ascii="Times New Roman" w:hAnsi="Times New Roman" w:eastAsia="微软雅黑" w:cs="Times New Roman"/>
          <w:sz w:val="18"/>
          <w:szCs w:val="21"/>
        </w:rPr>
      </w:pPr>
    </w:p>
    <w:p w14:paraId="505DE1F1">
      <w:pPr>
        <w:spacing w:line="480" w:lineRule="auto"/>
        <w:rPr>
          <w:rFonts w:ascii="Times New Roman" w:hAnsi="Times New Roman" w:eastAsia="微软雅黑" w:cs="Times New Roman"/>
          <w:sz w:val="18"/>
          <w:szCs w:val="21"/>
        </w:rPr>
      </w:pPr>
    </w:p>
    <w:p w14:paraId="697982CD">
      <w:pPr>
        <w:spacing w:line="480" w:lineRule="auto"/>
        <w:rPr>
          <w:rFonts w:hint="eastAsia" w:ascii="Times New Roman" w:hAnsi="Times New Roman" w:eastAsia="微软雅黑" w:cs="Times New Roman"/>
          <w:b/>
          <w:bCs/>
          <w:sz w:val="18"/>
          <w:szCs w:val="21"/>
        </w:rPr>
      </w:pPr>
    </w:p>
    <w:p w14:paraId="75AAB665">
      <w:pPr>
        <w:spacing w:line="480" w:lineRule="auto"/>
        <w:rPr>
          <w:rFonts w:hint="eastAsia" w:ascii="Times New Roman" w:hAnsi="Times New Roman" w:eastAsia="微软雅黑" w:cs="Times New Roman"/>
          <w:b/>
          <w:bCs/>
          <w:sz w:val="18"/>
          <w:szCs w:val="21"/>
        </w:rPr>
      </w:pPr>
    </w:p>
    <w:p w14:paraId="220A2CAE">
      <w:pPr>
        <w:spacing w:line="480" w:lineRule="auto"/>
        <w:rPr>
          <w:rFonts w:hint="eastAsia" w:ascii="Times New Roman" w:hAnsi="Times New Roman" w:eastAsia="微软雅黑" w:cs="Times New Roman"/>
          <w:b/>
          <w:bCs/>
          <w:sz w:val="18"/>
          <w:szCs w:val="21"/>
        </w:rPr>
      </w:pPr>
    </w:p>
    <w:p w14:paraId="1514357A">
      <w:pPr>
        <w:spacing w:line="480" w:lineRule="auto"/>
        <w:rPr>
          <w:rFonts w:hint="eastAsia" w:ascii="Times New Roman" w:hAnsi="Times New Roman" w:eastAsia="微软雅黑" w:cs="Times New Roman"/>
          <w:b/>
          <w:bCs/>
          <w:sz w:val="18"/>
          <w:szCs w:val="21"/>
        </w:rPr>
      </w:pPr>
    </w:p>
    <w:p w14:paraId="63954771">
      <w:pPr>
        <w:spacing w:line="480" w:lineRule="auto"/>
        <w:rPr>
          <w:rFonts w:ascii="Times New Roman" w:hAnsi="Times New Roman" w:eastAsia="微软雅黑" w:cs="Times New Roman"/>
          <w:sz w:val="18"/>
          <w:szCs w:val="21"/>
        </w:rPr>
      </w:pPr>
      <w:r>
        <w:rPr>
          <w:rFonts w:hint="eastAsia" w:ascii="Times New Roman" w:hAnsi="Times New Roman" w:eastAsia="微软雅黑" w:cs="Times New Roman"/>
          <w:b/>
          <w:bCs/>
          <w:sz w:val="18"/>
          <w:szCs w:val="21"/>
        </w:rPr>
        <w:t>Supplementary Figure S1.</w:t>
      </w:r>
      <w:r>
        <w:rPr>
          <w:rFonts w:hint="eastAsia" w:ascii="Times New Roman" w:hAnsi="Times New Roman" w:eastAsia="微软雅黑" w:cs="Times New Roman"/>
          <w:sz w:val="18"/>
          <w:szCs w:val="21"/>
        </w:rPr>
        <w:t xml:space="preserve"> SMD diagram of PSM in patients with or without SMVT extension. </w:t>
      </w:r>
    </w:p>
    <w:p w14:paraId="401317D6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8FA19132-06F5-495E-87A2-6A6E8AC57B7E}"/>
    <w:docVar w:name="KY_MEDREF_VERSION" w:val="3"/>
  </w:docVars>
  <w:rsids>
    <w:rsidRoot w:val="00436FCB"/>
    <w:rsid w:val="00436FCB"/>
    <w:rsid w:val="00667E19"/>
    <w:rsid w:val="00670FFF"/>
    <w:rsid w:val="007E13B4"/>
    <w:rsid w:val="007E4A67"/>
    <w:rsid w:val="00945D06"/>
    <w:rsid w:val="00BB3F84"/>
    <w:rsid w:val="65B2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407</Words>
  <Characters>1967</Characters>
  <Lines>17</Lines>
  <Paragraphs>4</Paragraphs>
  <TotalTime>1</TotalTime>
  <ScaleCrop>false</ScaleCrop>
  <LinksUpToDate>false</LinksUpToDate>
  <CharactersWithSpaces>2214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2026-02-25T08:02:00Z</dcterms:created>
  <dc:creator>Apple Mae Hantoc</dc:creator>
  <cp:lastModifiedBy>ls</cp:lastModifiedBy>
  <dcterms:modified xsi:type="dcterms:W3CDTF">2026-02-26T14:30:47Z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eyJoZGlkIjoiMThlMDU3MDVjOGZlNjI3MDlmZWFmYzZlYmUzNWViNjkiLCJ1c2VySWQiOiIzODcwMjI4MjkifQ==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8E0DDA9D7C62407AADD53F386972F828_13</vt:lpwstr>
  </property>
</Properties>
</file>