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B64D8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5274310"/>
            <wp:effectExtent l="0" t="0" r="13970" b="1397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6CD77">
      <w:pPr>
        <w:spacing w:before="120" w:after="240"/>
        <w:jc w:val="left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 xml:space="preserve">Figure </w:t>
      </w:r>
      <w:r>
        <w:rPr>
          <w:rFonts w:hint="eastAsia" w:ascii="Times New Roman" w:hAnsi="Times New Roman" w:cs="Times New Roman"/>
          <w:sz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hint="eastAsia" w:ascii="Times New Roman" w:hAnsi="Times New Roman" w:cs="Times New Roman"/>
          <w:sz w:val="24"/>
          <w:lang w:val="en-US" w:eastAsia="zh-CN"/>
        </w:rPr>
        <w:t>ROC curve of nomogram without SIRI for predicting ACLF patients prognosis outcomes at 28 days.</w:t>
      </w:r>
    </w:p>
    <w:p w14:paraId="0F7E8615">
      <w:pPr>
        <w:spacing w:before="120" w:after="240"/>
        <w:jc w:val="left"/>
        <w:rPr>
          <w:rFonts w:hint="eastAsia" w:ascii="Times New Roman" w:hAnsi="Times New Roman" w:cs="Times New Roman"/>
          <w:sz w:val="24"/>
          <w:lang w:val="en-US" w:eastAsia="zh-CN"/>
        </w:rPr>
      </w:pPr>
    </w:p>
    <w:p w14:paraId="13DDD170">
      <w:pPr>
        <w:spacing w:before="120" w:after="240"/>
        <w:jc w:val="left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drawing>
          <wp:inline distT="0" distB="0" distL="114300" distR="114300">
            <wp:extent cx="5274310" cy="5274310"/>
            <wp:effectExtent l="0" t="0" r="13970" b="1397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E9B69">
      <w:pPr>
        <w:spacing w:before="120" w:after="240"/>
        <w:jc w:val="left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 xml:space="preserve">Figure </w:t>
      </w:r>
      <w:r>
        <w:rPr>
          <w:rFonts w:hint="eastAsia" w:ascii="Times New Roman" w:hAnsi="Times New Roman" w:cs="Times New Roman"/>
          <w:sz w:val="24"/>
          <w:lang w:val="en-US" w:eastAsia="zh-CN"/>
        </w:rPr>
        <w:t>S2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hint="eastAsia" w:ascii="Times New Roman" w:hAnsi="Times New Roman" w:cs="Times New Roman"/>
          <w:sz w:val="24"/>
          <w:lang w:val="en-US" w:eastAsia="zh-CN"/>
        </w:rPr>
        <w:t>ROC curve of nomogram without SIRI for predicting ACLF patients prognosis outcomes at 90 days.</w:t>
      </w:r>
    </w:p>
    <w:p w14:paraId="2431B1D6">
      <w:pPr>
        <w:spacing w:before="120" w:after="240"/>
        <w:jc w:val="left"/>
        <w:rPr>
          <w:rFonts w:hint="eastAsia" w:ascii="Times New Roman" w:hAnsi="Times New Roman" w:cs="Times New Roman"/>
          <w:sz w:val="24"/>
          <w:lang w:val="en-US" w:eastAsia="zh-CN"/>
        </w:rPr>
      </w:pPr>
    </w:p>
    <w:p w14:paraId="5029F4D5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7A6580"/>
    <w:rsid w:val="3D2B23DB"/>
    <w:rsid w:val="625565B1"/>
    <w:rsid w:val="68CB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178</Characters>
  <Lines>0</Lines>
  <Paragraphs>0</Paragraphs>
  <TotalTime>2</TotalTime>
  <ScaleCrop>false</ScaleCrop>
  <LinksUpToDate>false</LinksUpToDate>
  <CharactersWithSpaces>210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2025-11-20T05:51:00Z</dcterms:created>
  <dc:creator>小亲亲</dc:creator>
  <cp:lastModifiedBy>ABC</cp:lastModifiedBy>
  <dcterms:modified xsi:type="dcterms:W3CDTF">2026-01-28T07:43:46Z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eyJoZGlkIjoiODYzNzEwYjRiZTA1OTVjMjIwMWQzMjA2NjJlMDY5OTQiLCJ1c2VySWQiOiI3MDk0NDU1MjMifQ==</vt:lpwstr>
  </property>
  <property fmtid="{D5CDD505-2E9C-101B-9397-08002B2CF9AE}" pid="4" name="ICV">
    <vt:lpwstr>D565EBD2DDFE4636898907F7F8C08C7C_13</vt:lpwstr>
  </property>
</Properties>
</file>