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512B7" w14:textId="77777777" w:rsidR="00EA35C4" w:rsidRPr="000A4C74" w:rsidRDefault="00000000" w:rsidP="00CA67AE">
      <w:pPr>
        <w:spacing w:after="80" w:line="360" w:lineRule="auto"/>
        <w:jc w:val="center"/>
        <w:rPr>
          <w:sz w:val="28"/>
          <w:szCs w:val="28"/>
        </w:rPr>
      </w:pPr>
      <w:r w:rsidRPr="000A4C74">
        <w:rPr>
          <w:b/>
          <w:bCs/>
          <w:sz w:val="28"/>
          <w:szCs w:val="28"/>
        </w:rPr>
        <w:t>Supplementary Methods</w:t>
      </w:r>
    </w:p>
    <w:p w14:paraId="454BB5F1" w14:textId="029422F9" w:rsidR="00FB066B" w:rsidRPr="000A4C74" w:rsidRDefault="00FB066B" w:rsidP="00CA67AE">
      <w:pPr>
        <w:spacing w:line="360" w:lineRule="auto"/>
        <w:rPr>
          <w:b/>
          <w:bCs/>
          <w:sz w:val="28"/>
          <w:szCs w:val="28"/>
        </w:rPr>
      </w:pPr>
      <w:r w:rsidRPr="000A4C74">
        <w:rPr>
          <w:b/>
          <w:bCs/>
          <w:sz w:val="28"/>
          <w:szCs w:val="28"/>
        </w:rPr>
        <w:t>Beyond the Bowel: Novel Comorbidity Patterns in Inflammatory Bowel Disease from the All of Us Research Program</w:t>
      </w:r>
    </w:p>
    <w:p w14:paraId="18066CFC" w14:textId="77777777" w:rsidR="00FB066B" w:rsidRPr="000A4C74" w:rsidRDefault="00FB066B" w:rsidP="00CA67AE">
      <w:pPr>
        <w:spacing w:line="360" w:lineRule="auto"/>
        <w:rPr>
          <w:sz w:val="22"/>
          <w:szCs w:val="22"/>
        </w:rPr>
      </w:pPr>
      <w:r w:rsidRPr="000A4C74">
        <w:rPr>
          <w:sz w:val="22"/>
          <w:szCs w:val="22"/>
        </w:rPr>
        <w:t xml:space="preserve">Soham C. Sudhakaran </w:t>
      </w:r>
      <w:r w:rsidRPr="000A4C74">
        <w:rPr>
          <w:sz w:val="22"/>
          <w:szCs w:val="22"/>
          <w:vertAlign w:val="superscript"/>
        </w:rPr>
        <w:t>1,2</w:t>
      </w:r>
      <w:r w:rsidRPr="000A4C74">
        <w:rPr>
          <w:sz w:val="22"/>
          <w:szCs w:val="22"/>
        </w:rPr>
        <w:t xml:space="preserve">, Matthew T. Wayland </w:t>
      </w:r>
      <w:r w:rsidRPr="000A4C74">
        <w:rPr>
          <w:sz w:val="22"/>
          <w:szCs w:val="22"/>
          <w:vertAlign w:val="superscript"/>
        </w:rPr>
        <w:t>3</w:t>
      </w:r>
      <w:r w:rsidRPr="000A4C74">
        <w:rPr>
          <w:sz w:val="22"/>
          <w:szCs w:val="22"/>
        </w:rPr>
        <w:t xml:space="preserve">, Yogesh </w:t>
      </w:r>
      <w:proofErr w:type="spellStart"/>
      <w:r w:rsidRPr="000A4C74">
        <w:rPr>
          <w:sz w:val="22"/>
          <w:szCs w:val="22"/>
        </w:rPr>
        <w:t>Purushotham</w:t>
      </w:r>
      <w:proofErr w:type="spellEnd"/>
      <w:r w:rsidRPr="000A4C74">
        <w:rPr>
          <w:sz w:val="22"/>
          <w:szCs w:val="22"/>
        </w:rPr>
        <w:t xml:space="preserve"> </w:t>
      </w:r>
      <w:r w:rsidRPr="000A4C74">
        <w:rPr>
          <w:sz w:val="22"/>
          <w:szCs w:val="22"/>
          <w:vertAlign w:val="superscript"/>
        </w:rPr>
        <w:t>4</w:t>
      </w:r>
      <w:r w:rsidRPr="000A4C74">
        <w:rPr>
          <w:sz w:val="22"/>
          <w:szCs w:val="22"/>
        </w:rPr>
        <w:t xml:space="preserve">, Scott B. </w:t>
      </w:r>
      <w:proofErr w:type="spellStart"/>
      <w:r w:rsidRPr="000A4C74">
        <w:rPr>
          <w:sz w:val="22"/>
          <w:szCs w:val="22"/>
        </w:rPr>
        <w:t>Minchenberg</w:t>
      </w:r>
      <w:proofErr w:type="spellEnd"/>
      <w:r w:rsidRPr="000A4C74">
        <w:rPr>
          <w:sz w:val="22"/>
          <w:szCs w:val="22"/>
        </w:rPr>
        <w:t xml:space="preserve"> </w:t>
      </w:r>
      <w:r w:rsidRPr="000A4C74">
        <w:rPr>
          <w:sz w:val="22"/>
          <w:szCs w:val="22"/>
          <w:vertAlign w:val="superscript"/>
        </w:rPr>
        <w:t>2</w:t>
      </w:r>
      <w:r w:rsidRPr="000A4C74">
        <w:rPr>
          <w:sz w:val="22"/>
          <w:szCs w:val="22"/>
        </w:rPr>
        <w:t xml:space="preserve">, Kanwal Bains </w:t>
      </w:r>
      <w:r w:rsidRPr="000A4C74">
        <w:rPr>
          <w:sz w:val="22"/>
          <w:szCs w:val="22"/>
          <w:vertAlign w:val="superscript"/>
        </w:rPr>
        <w:t>5</w:t>
      </w:r>
      <w:r w:rsidRPr="000A4C74">
        <w:rPr>
          <w:sz w:val="22"/>
          <w:szCs w:val="22"/>
        </w:rPr>
        <w:t xml:space="preserve">, Sudhakaran Prabakaran </w:t>
      </w:r>
      <w:r w:rsidRPr="000A4C74">
        <w:rPr>
          <w:sz w:val="22"/>
          <w:szCs w:val="22"/>
          <w:vertAlign w:val="superscript"/>
        </w:rPr>
        <w:t>6,7</w:t>
      </w:r>
      <w:r w:rsidRPr="000A4C74">
        <w:rPr>
          <w:sz w:val="22"/>
          <w:szCs w:val="22"/>
        </w:rPr>
        <w:t>*</w:t>
      </w:r>
    </w:p>
    <w:p w14:paraId="780526BF" w14:textId="36A3853B" w:rsidR="00EA35C4" w:rsidRPr="000A4C74" w:rsidRDefault="00000000" w:rsidP="00CA67AE">
      <w:pPr>
        <w:pStyle w:val="Heading1"/>
        <w:spacing w:line="360" w:lineRule="auto"/>
        <w:rPr>
          <w:sz w:val="24"/>
          <w:szCs w:val="24"/>
        </w:rPr>
      </w:pPr>
      <w:r w:rsidRPr="000A4C74">
        <w:rPr>
          <w:sz w:val="24"/>
          <w:szCs w:val="24"/>
        </w:rPr>
        <w:t>OMOP Common Data Model and Diagnostic Classification</w:t>
      </w:r>
    </w:p>
    <w:p w14:paraId="78AC6053" w14:textId="77777777" w:rsidR="00EA35C4" w:rsidRPr="000A4C74" w:rsidRDefault="00000000" w:rsidP="00CA67AE">
      <w:pPr>
        <w:spacing w:after="120" w:line="360" w:lineRule="auto"/>
      </w:pPr>
      <w:r w:rsidRPr="000A4C74">
        <w:t>The All of Us Research Program returned results using the standardized OMOP Common Data Model, which employs granular diagnostic classifications, resulting in identification of specific clinical entities rather than general disease categories. For example, rather than the broad category of "kidney stones," the database identified specific compositions such as calcium oxalate and uric acid calculi. This data-driven approach also revealed associations with conditions not initially hypothesized, including pregnancy-related complications and specific cardiovascular phenomena, demonstrating the value of comprehensive exploration in identifying novel disease associations.</w:t>
      </w:r>
    </w:p>
    <w:p w14:paraId="07F8426C" w14:textId="77777777" w:rsidR="00EA35C4" w:rsidRPr="000A4C74" w:rsidRDefault="00000000" w:rsidP="00CA67AE">
      <w:pPr>
        <w:spacing w:after="200" w:line="360" w:lineRule="auto"/>
      </w:pPr>
      <w:r w:rsidRPr="000A4C74">
        <w:t>The OMOP model organizes patient information into standardized tables for conditions, procedures, measurements, observations, and other clinical domains. All data were harmonized to OMOP Common Data Model version 5.2, which standardizes clinical terminology and facilitates consistent analysis across various data sources.</w:t>
      </w:r>
    </w:p>
    <w:p w14:paraId="5A18DCDC" w14:textId="77777777" w:rsidR="00EA35C4" w:rsidRPr="000A4C74" w:rsidRDefault="00000000" w:rsidP="00CA67AE">
      <w:pPr>
        <w:pStyle w:val="Heading1"/>
        <w:spacing w:line="360" w:lineRule="auto"/>
        <w:rPr>
          <w:sz w:val="24"/>
          <w:szCs w:val="24"/>
        </w:rPr>
      </w:pPr>
      <w:r w:rsidRPr="000A4C74">
        <w:rPr>
          <w:sz w:val="24"/>
          <w:szCs w:val="24"/>
        </w:rPr>
        <w:t>Data Extraction and Processing</w:t>
      </w:r>
    </w:p>
    <w:p w14:paraId="06DDC389" w14:textId="77777777" w:rsidR="00EA35C4" w:rsidRPr="000A4C74" w:rsidRDefault="00000000" w:rsidP="00CA67AE">
      <w:pPr>
        <w:spacing w:after="120" w:line="360" w:lineRule="auto"/>
      </w:pPr>
      <w:r w:rsidRPr="000A4C74">
        <w:t>We created comprehensive SQL queries in the All of Us Researcher Workbench to extract condition occurrence records for both cases and controls. Each comorbid condition was identified using corresponding OMOP standard concept codes in the condition_occurrence table, ensuring standardized and reproducible case definitions.</w:t>
      </w:r>
    </w:p>
    <w:p w14:paraId="04A3098F" w14:textId="77777777" w:rsidR="00EA35C4" w:rsidRPr="000A4C74" w:rsidRDefault="00000000" w:rsidP="00CA67AE">
      <w:pPr>
        <w:spacing w:after="120" w:line="360" w:lineRule="auto"/>
      </w:pPr>
      <w:r w:rsidRPr="000A4C74">
        <w:t>For each participant, we identified all diagnosed conditions recorded within the observation period, which extended from the earliest available EHR entry to the end of the data collection period (February 2025). The data extraction process involved several key steps:</w:t>
      </w:r>
    </w:p>
    <w:p w14:paraId="7DB25B8F" w14:textId="77777777" w:rsidR="00EA35C4" w:rsidRPr="000A4C74" w:rsidRDefault="00000000" w:rsidP="00CA67AE">
      <w:pPr>
        <w:spacing w:after="60" w:line="360" w:lineRule="auto"/>
      </w:pPr>
      <w:r w:rsidRPr="000A4C74">
        <w:rPr>
          <w:b/>
          <w:bCs/>
        </w:rPr>
        <w:t>1. Query Construction:</w:t>
      </w:r>
    </w:p>
    <w:p w14:paraId="3E6F6806" w14:textId="77777777" w:rsidR="00EA35C4" w:rsidRPr="000A4C74" w:rsidRDefault="00000000" w:rsidP="00CA67AE">
      <w:pPr>
        <w:pStyle w:val="ListParagraph"/>
        <w:numPr>
          <w:ilvl w:val="0"/>
          <w:numId w:val="2"/>
        </w:numPr>
        <w:spacing w:after="80" w:line="360" w:lineRule="auto"/>
      </w:pPr>
      <w:r w:rsidRPr="000A4C74">
        <w:lastRenderedPageBreak/>
        <w:t>OMOP concept codes were systematically mapped to identify cases, controls, and all specified comorbidities</w:t>
      </w:r>
    </w:p>
    <w:p w14:paraId="52F67762" w14:textId="77777777" w:rsidR="00EA35C4" w:rsidRPr="000A4C74" w:rsidRDefault="00000000" w:rsidP="00CA67AE">
      <w:pPr>
        <w:pStyle w:val="ListParagraph"/>
        <w:numPr>
          <w:ilvl w:val="0"/>
          <w:numId w:val="2"/>
        </w:numPr>
        <w:spacing w:after="80" w:line="360" w:lineRule="auto"/>
      </w:pPr>
      <w:r w:rsidRPr="000A4C74">
        <w:t>SQL queries were developed and validated within the All of Us Researcher Workbench environment</w:t>
      </w:r>
    </w:p>
    <w:p w14:paraId="544ED633" w14:textId="77777777" w:rsidR="00EA35C4" w:rsidRPr="000A4C74" w:rsidRDefault="00000000" w:rsidP="00CA67AE">
      <w:pPr>
        <w:pStyle w:val="ListParagraph"/>
        <w:numPr>
          <w:ilvl w:val="0"/>
          <w:numId w:val="2"/>
        </w:numPr>
        <w:spacing w:after="80" w:line="360" w:lineRule="auto"/>
      </w:pPr>
      <w:r w:rsidRPr="000A4C74">
        <w:t>Demographic and clinical variables were extracted for all participants using standardized data dictionaries</w:t>
      </w:r>
    </w:p>
    <w:p w14:paraId="6F7C3612" w14:textId="77777777" w:rsidR="00EA35C4" w:rsidRPr="000A4C74" w:rsidRDefault="00EA35C4" w:rsidP="00CA67AE">
      <w:pPr>
        <w:spacing w:after="120" w:line="360" w:lineRule="auto"/>
      </w:pPr>
    </w:p>
    <w:p w14:paraId="0B333EB0" w14:textId="77777777" w:rsidR="00EA35C4" w:rsidRPr="000A4C74" w:rsidRDefault="00000000" w:rsidP="00CA67AE">
      <w:pPr>
        <w:spacing w:after="60" w:line="360" w:lineRule="auto"/>
      </w:pPr>
      <w:r w:rsidRPr="000A4C74">
        <w:rPr>
          <w:b/>
          <w:bCs/>
        </w:rPr>
        <w:t>2. Comorbidity Prevalence Assessment:</w:t>
      </w:r>
    </w:p>
    <w:p w14:paraId="47F899DD" w14:textId="77777777" w:rsidR="00EA35C4" w:rsidRPr="000A4C74" w:rsidRDefault="00000000" w:rsidP="00CA67AE">
      <w:pPr>
        <w:pStyle w:val="ListParagraph"/>
        <w:numPr>
          <w:ilvl w:val="0"/>
          <w:numId w:val="2"/>
        </w:numPr>
        <w:spacing w:after="80" w:line="360" w:lineRule="auto"/>
      </w:pPr>
      <w:r w:rsidRPr="000A4C74">
        <w:t xml:space="preserve">Among the 413,457 total participants in the dataset, </w:t>
      </w:r>
      <w:r w:rsidRPr="000A4C74">
        <w:rPr>
          <w:b/>
          <w:bCs/>
        </w:rPr>
        <w:t>186,581 participants</w:t>
      </w:r>
      <w:r w:rsidRPr="000A4C74">
        <w:t xml:space="preserve"> (45.1%) had at least one of the investigated comorbidities</w:t>
      </w:r>
    </w:p>
    <w:p w14:paraId="27338868" w14:textId="77777777" w:rsidR="00EA35C4" w:rsidRPr="000A4C74" w:rsidRDefault="00000000" w:rsidP="00CA67AE">
      <w:pPr>
        <w:pStyle w:val="ListParagraph"/>
        <w:numPr>
          <w:ilvl w:val="0"/>
          <w:numId w:val="2"/>
        </w:numPr>
        <w:spacing w:after="80" w:line="360" w:lineRule="auto"/>
      </w:pPr>
      <w:r w:rsidRPr="000A4C74">
        <w:t xml:space="preserve">Of the 5,094 IBD cases, </w:t>
      </w:r>
      <w:r w:rsidRPr="000A4C74">
        <w:rPr>
          <w:b/>
          <w:bCs/>
        </w:rPr>
        <w:t>3,469 participants</w:t>
      </w:r>
      <w:r w:rsidRPr="000A4C74">
        <w:t xml:space="preserve"> (68.1%) had at least one comorbidity</w:t>
      </w:r>
    </w:p>
    <w:p w14:paraId="7F04BE71" w14:textId="77777777" w:rsidR="00EA35C4" w:rsidRPr="000A4C74" w:rsidRDefault="00000000" w:rsidP="00CA67AE">
      <w:pPr>
        <w:pStyle w:val="ListParagraph"/>
        <w:numPr>
          <w:ilvl w:val="0"/>
          <w:numId w:val="2"/>
        </w:numPr>
        <w:spacing w:after="80" w:line="360" w:lineRule="auto"/>
      </w:pPr>
      <w:r w:rsidRPr="000A4C74">
        <w:t>This high comorbidity prevalence in IBD cases compared to the general dataset population provided the foundation for our comparative analysis</w:t>
      </w:r>
    </w:p>
    <w:p w14:paraId="740AEBE2" w14:textId="77777777" w:rsidR="00EA35C4" w:rsidRPr="000A4C74" w:rsidRDefault="00EA35C4" w:rsidP="00CA67AE">
      <w:pPr>
        <w:spacing w:after="120" w:line="360" w:lineRule="auto"/>
      </w:pPr>
    </w:p>
    <w:p w14:paraId="62084073" w14:textId="77777777" w:rsidR="00EA35C4" w:rsidRPr="000A4C74" w:rsidRDefault="00000000" w:rsidP="00CA67AE">
      <w:pPr>
        <w:spacing w:after="60" w:line="360" w:lineRule="auto"/>
      </w:pPr>
      <w:r w:rsidRPr="000A4C74">
        <w:rPr>
          <w:b/>
          <w:bCs/>
        </w:rPr>
        <w:t>3. Data Integration and Quality Control:</w:t>
      </w:r>
    </w:p>
    <w:p w14:paraId="719D65A6" w14:textId="77777777" w:rsidR="00EA35C4" w:rsidRPr="000A4C74" w:rsidRDefault="00000000" w:rsidP="00CA67AE">
      <w:pPr>
        <w:pStyle w:val="ListParagraph"/>
        <w:numPr>
          <w:ilvl w:val="0"/>
          <w:numId w:val="2"/>
        </w:numPr>
        <w:spacing w:after="80" w:line="360" w:lineRule="auto"/>
      </w:pPr>
      <w:r w:rsidRPr="000A4C74">
        <w:t>Case and control data were merged into a single analytical dataset</w:t>
      </w:r>
    </w:p>
    <w:p w14:paraId="3E518465" w14:textId="77777777" w:rsidR="00EA35C4" w:rsidRPr="000A4C74" w:rsidRDefault="00000000" w:rsidP="00CA67AE">
      <w:pPr>
        <w:pStyle w:val="ListParagraph"/>
        <w:numPr>
          <w:ilvl w:val="0"/>
          <w:numId w:val="2"/>
        </w:numPr>
        <w:spacing w:after="80" w:line="360" w:lineRule="auto"/>
      </w:pPr>
      <w:r w:rsidRPr="000A4C74">
        <w:t>Comorbidity information was structured as binary indicators for statistical analysis</w:t>
      </w:r>
    </w:p>
    <w:p w14:paraId="5850F087" w14:textId="77777777" w:rsidR="00EA35C4" w:rsidRPr="000A4C74" w:rsidRDefault="00000000" w:rsidP="00CA67AE">
      <w:pPr>
        <w:pStyle w:val="ListParagraph"/>
        <w:numPr>
          <w:ilvl w:val="0"/>
          <w:numId w:val="2"/>
        </w:numPr>
        <w:spacing w:after="80" w:line="360" w:lineRule="auto"/>
      </w:pPr>
      <w:r w:rsidRPr="000A4C74">
        <w:t>Quality control procedures were implemented to ensure data integrity and validate matching procedures</w:t>
      </w:r>
    </w:p>
    <w:p w14:paraId="34286314" w14:textId="77777777" w:rsidR="00EA35C4" w:rsidRPr="000A4C74" w:rsidRDefault="00000000" w:rsidP="00CA67AE">
      <w:pPr>
        <w:pStyle w:val="ListParagraph"/>
        <w:numPr>
          <w:ilvl w:val="0"/>
          <w:numId w:val="2"/>
        </w:numPr>
        <w:spacing w:after="80" w:line="360" w:lineRule="auto"/>
      </w:pPr>
      <w:r w:rsidRPr="000A4C74">
        <w:t>Cross-validation checks were performed to confirm accurate case-control assignment</w:t>
      </w:r>
    </w:p>
    <w:p w14:paraId="0C6DCFA9" w14:textId="77777777" w:rsidR="00EA35C4" w:rsidRPr="000A4C74" w:rsidRDefault="00EA35C4" w:rsidP="00CA67AE">
      <w:pPr>
        <w:spacing w:after="120" w:line="360" w:lineRule="auto"/>
      </w:pPr>
    </w:p>
    <w:p w14:paraId="6BC42E41" w14:textId="77777777" w:rsidR="00EA35C4" w:rsidRPr="000A4C74" w:rsidRDefault="00000000" w:rsidP="00CA67AE">
      <w:pPr>
        <w:spacing w:after="60" w:line="360" w:lineRule="auto"/>
      </w:pPr>
      <w:r w:rsidRPr="000A4C74">
        <w:rPr>
          <w:b/>
          <w:bCs/>
        </w:rPr>
        <w:t>4. Dataset Preparation:</w:t>
      </w:r>
    </w:p>
    <w:p w14:paraId="602F65BA" w14:textId="77777777" w:rsidR="00EA35C4" w:rsidRPr="000A4C74" w:rsidRDefault="00000000" w:rsidP="00CA67AE">
      <w:pPr>
        <w:pStyle w:val="ListParagraph"/>
        <w:numPr>
          <w:ilvl w:val="0"/>
          <w:numId w:val="2"/>
        </w:numPr>
        <w:spacing w:after="80" w:line="360" w:lineRule="auto"/>
      </w:pPr>
      <w:r w:rsidRPr="000A4C74">
        <w:t>The final dataset included 25,470 participants (5,094 IBD cases and 20,376 matched controls)</w:t>
      </w:r>
    </w:p>
    <w:p w14:paraId="155E82FD" w14:textId="77777777" w:rsidR="00EA35C4" w:rsidRPr="000A4C74" w:rsidRDefault="00000000" w:rsidP="00CA67AE">
      <w:pPr>
        <w:pStyle w:val="ListParagraph"/>
        <w:numPr>
          <w:ilvl w:val="0"/>
          <w:numId w:val="2"/>
        </w:numPr>
        <w:spacing w:after="80" w:line="360" w:lineRule="auto"/>
      </w:pPr>
      <w:r w:rsidRPr="000A4C74">
        <w:t>Variables included demographic characteristics, binary comorbidity indicators, and group identifiers (case/control)</w:t>
      </w:r>
    </w:p>
    <w:p w14:paraId="65D3E565" w14:textId="77777777" w:rsidR="00EA35C4" w:rsidRPr="000A4C74" w:rsidRDefault="00000000" w:rsidP="00CA67AE">
      <w:pPr>
        <w:pStyle w:val="ListParagraph"/>
        <w:numPr>
          <w:ilvl w:val="0"/>
          <w:numId w:val="2"/>
        </w:numPr>
        <w:spacing w:after="80" w:line="360" w:lineRule="auto"/>
      </w:pPr>
      <w:r w:rsidRPr="000A4C74">
        <w:t>The dataset was exported in standardized format for subsequent statistical analysis</w:t>
      </w:r>
    </w:p>
    <w:p w14:paraId="5E791A28" w14:textId="77777777" w:rsidR="00EA35C4" w:rsidRPr="000A4C74" w:rsidRDefault="00000000" w:rsidP="00CA67AE">
      <w:pPr>
        <w:pStyle w:val="Heading1"/>
        <w:spacing w:line="360" w:lineRule="auto"/>
        <w:rPr>
          <w:sz w:val="24"/>
          <w:szCs w:val="24"/>
        </w:rPr>
      </w:pPr>
      <w:r w:rsidRPr="000A4C74">
        <w:rPr>
          <w:sz w:val="24"/>
          <w:szCs w:val="24"/>
        </w:rPr>
        <w:lastRenderedPageBreak/>
        <w:t>IBD Population Breakdown</w:t>
      </w:r>
    </w:p>
    <w:p w14:paraId="66ED5E73" w14:textId="77777777" w:rsidR="00EA35C4" w:rsidRPr="000A4C74" w:rsidRDefault="00000000" w:rsidP="00CA67AE">
      <w:pPr>
        <w:spacing w:after="80" w:line="360" w:lineRule="auto"/>
      </w:pPr>
      <w:r w:rsidRPr="000A4C74">
        <w:t>The comprehensive IBD population breakdown was as follows:</w:t>
      </w:r>
    </w:p>
    <w:p w14:paraId="3B4D4D86" w14:textId="77777777" w:rsidR="00EA35C4" w:rsidRPr="000A4C74" w:rsidRDefault="00000000" w:rsidP="00CA67AE">
      <w:pPr>
        <w:pStyle w:val="ListParagraph"/>
        <w:numPr>
          <w:ilvl w:val="0"/>
          <w:numId w:val="2"/>
        </w:numPr>
        <w:spacing w:after="80" w:line="360" w:lineRule="auto"/>
      </w:pPr>
      <w:r w:rsidRPr="000A4C74">
        <w:rPr>
          <w:b/>
          <w:bCs/>
        </w:rPr>
        <w:t xml:space="preserve">Total IBD cases (any IBD diagnosis): </w:t>
      </w:r>
      <w:r w:rsidRPr="000A4C74">
        <w:t>5,094 participants</w:t>
      </w:r>
    </w:p>
    <w:p w14:paraId="1FA3EF2A" w14:textId="77777777" w:rsidR="00EA35C4" w:rsidRPr="000A4C74" w:rsidRDefault="00000000" w:rsidP="00CA67AE">
      <w:pPr>
        <w:pStyle w:val="ListParagraph"/>
        <w:numPr>
          <w:ilvl w:val="0"/>
          <w:numId w:val="2"/>
        </w:numPr>
        <w:spacing w:after="80" w:line="360" w:lineRule="auto"/>
      </w:pPr>
      <w:r w:rsidRPr="000A4C74">
        <w:rPr>
          <w:b/>
          <w:bCs/>
        </w:rPr>
        <w:t xml:space="preserve">Ulcerative colitis: </w:t>
      </w:r>
      <w:r w:rsidRPr="000A4C74">
        <w:t>2,868 participants</w:t>
      </w:r>
    </w:p>
    <w:p w14:paraId="6F1ADDCB" w14:textId="77777777" w:rsidR="00EA35C4" w:rsidRPr="000A4C74" w:rsidRDefault="00000000" w:rsidP="00CA67AE">
      <w:pPr>
        <w:pStyle w:val="ListParagraph"/>
        <w:numPr>
          <w:ilvl w:val="0"/>
          <w:numId w:val="2"/>
        </w:numPr>
        <w:spacing w:after="80" w:line="360" w:lineRule="auto"/>
      </w:pPr>
      <w:r w:rsidRPr="000A4C74">
        <w:rPr>
          <w:b/>
          <w:bCs/>
        </w:rPr>
        <w:t xml:space="preserve">Crohn's disease: </w:t>
      </w:r>
      <w:r w:rsidRPr="000A4C74">
        <w:t>2,997 participants</w:t>
      </w:r>
    </w:p>
    <w:p w14:paraId="74BBB625" w14:textId="77777777" w:rsidR="00EA35C4" w:rsidRPr="000A4C74" w:rsidRDefault="00000000" w:rsidP="00CA67AE">
      <w:pPr>
        <w:pStyle w:val="ListParagraph"/>
        <w:numPr>
          <w:ilvl w:val="0"/>
          <w:numId w:val="2"/>
        </w:numPr>
        <w:spacing w:after="80" w:line="360" w:lineRule="auto"/>
      </w:pPr>
      <w:r w:rsidRPr="000A4C74">
        <w:rPr>
          <w:b/>
          <w:bCs/>
        </w:rPr>
        <w:t xml:space="preserve">General IBD (unspecified): </w:t>
      </w:r>
      <w:r w:rsidRPr="000A4C74">
        <w:t>2,236 participants</w:t>
      </w:r>
    </w:p>
    <w:p w14:paraId="60479DF4" w14:textId="77777777" w:rsidR="00EA35C4" w:rsidRPr="000A4C74" w:rsidRDefault="00000000" w:rsidP="00CA67AE">
      <w:pPr>
        <w:spacing w:before="80" w:after="200" w:line="360" w:lineRule="auto"/>
      </w:pPr>
      <w:r w:rsidRPr="000A4C74">
        <w:rPr>
          <w:i/>
          <w:iCs/>
        </w:rPr>
        <w:t>Note: These numbers reflect overlapping diagnoses, as some participants had multiple IBD-related diagnostic codes recorded in their medical records.</w:t>
      </w:r>
    </w:p>
    <w:p w14:paraId="368384DD" w14:textId="77777777" w:rsidR="00EA35C4" w:rsidRPr="000A4C74" w:rsidRDefault="00000000" w:rsidP="00CA67AE">
      <w:pPr>
        <w:pStyle w:val="Heading1"/>
        <w:spacing w:line="360" w:lineRule="auto"/>
        <w:rPr>
          <w:sz w:val="24"/>
          <w:szCs w:val="24"/>
        </w:rPr>
      </w:pPr>
      <w:r w:rsidRPr="000A4C74">
        <w:rPr>
          <w:sz w:val="24"/>
          <w:szCs w:val="24"/>
        </w:rPr>
        <w:t>Medication Data</w:t>
      </w:r>
    </w:p>
    <w:p w14:paraId="6E8CE959" w14:textId="77777777" w:rsidR="00EA35C4" w:rsidRPr="000A4C74" w:rsidRDefault="00000000" w:rsidP="00CA67AE">
      <w:pPr>
        <w:spacing w:after="120" w:line="360" w:lineRule="auto"/>
      </w:pPr>
      <w:r w:rsidRPr="000A4C74">
        <w:t xml:space="preserve">As part of our comprehensive approach to understanding IBD patient characteristics, we extracted medication data for IBD patients. </w:t>
      </w:r>
      <w:r w:rsidRPr="000A4C74">
        <w:rPr>
          <w:b/>
          <w:bCs/>
        </w:rPr>
        <w:t>Supplementary Table 2</w:t>
      </w:r>
      <w:r w:rsidRPr="000A4C74">
        <w:t xml:space="preserve"> details the 20 IBD-related medications investigated, including conventional therapies (methotrexate, azathioprine, mercaptopurine), biologics (adalimumab, infliximab, vedolizumab, ustekinumab), JAK inhibitors (tofacitinib, upadacitinib), and corticosteroids (prednisone, prednisolone, budesonide, methylprednisolone), among others.</w:t>
      </w:r>
    </w:p>
    <w:p w14:paraId="2EE0FE15" w14:textId="77777777" w:rsidR="00EA35C4" w:rsidRPr="000A4C74" w:rsidRDefault="00000000" w:rsidP="00CA67AE">
      <w:pPr>
        <w:spacing w:after="200" w:line="360" w:lineRule="auto"/>
      </w:pPr>
      <w:r w:rsidRPr="000A4C74">
        <w:t>A total of 97,367 participants in the overall dataset were taking at least one of these medications for various indications. Within our specifically identified IBD cohort (n=5,094), medication data provided context for IBD-specific treatment patterns. Comprehensive medication-comorbidity analysis was beyond the scope of this study. Future pharmacovigilance studies examining medication-specific comorbidity risks would provide valuable insights into whether certain associations are related to IBD pathophysiology versus treatment effects.</w:t>
      </w:r>
    </w:p>
    <w:p w14:paraId="0880441F" w14:textId="77777777" w:rsidR="00EA35C4" w:rsidRPr="000A4C74" w:rsidRDefault="00000000" w:rsidP="00CA67AE">
      <w:pPr>
        <w:pStyle w:val="Heading1"/>
        <w:spacing w:line="360" w:lineRule="auto"/>
        <w:rPr>
          <w:sz w:val="24"/>
          <w:szCs w:val="24"/>
        </w:rPr>
      </w:pPr>
      <w:r w:rsidRPr="000A4C74">
        <w:rPr>
          <w:sz w:val="24"/>
          <w:szCs w:val="24"/>
        </w:rPr>
        <w:t>Data Visualization Methods</w:t>
      </w:r>
    </w:p>
    <w:p w14:paraId="3BC22098" w14:textId="77777777" w:rsidR="00EA35C4" w:rsidRPr="000A4C74" w:rsidRDefault="00000000" w:rsidP="00CA67AE">
      <w:pPr>
        <w:spacing w:after="120" w:line="360" w:lineRule="auto"/>
      </w:pPr>
      <w:r w:rsidRPr="000A4C74">
        <w:t>The volcano plot (</w:t>
      </w:r>
      <w:r w:rsidRPr="000A4C74">
        <w:rPr>
          <w:b/>
          <w:bCs/>
        </w:rPr>
        <w:t>Figure 1</w:t>
      </w:r>
      <w:r w:rsidRPr="000A4C74">
        <w:t>) was generated using custom R scripts with the ggplot2 package, with specialized formatting to highlight significantly associated comorbidities. Vertical dashed lines mark the threshold values for significance of association (OR &lt; 0.5 for decreased morbidity, OR &gt; 1.5 for increased morbidity comorbidities), while the horizontal dashed line indicates the statistical significance threshold (FDR = 0.05).</w:t>
      </w:r>
    </w:p>
    <w:p w14:paraId="21693E10" w14:textId="77777777" w:rsidR="00EA35C4" w:rsidRPr="000A4C74" w:rsidRDefault="00000000" w:rsidP="00CA67AE">
      <w:pPr>
        <w:spacing w:after="200" w:line="360" w:lineRule="auto"/>
      </w:pPr>
      <w:r w:rsidRPr="000A4C74">
        <w:lastRenderedPageBreak/>
        <w:t>Forest plots (</w:t>
      </w:r>
      <w:r w:rsidRPr="000A4C74">
        <w:rPr>
          <w:b/>
          <w:bCs/>
        </w:rPr>
        <w:t>Figure 2</w:t>
      </w:r>
      <w:r w:rsidRPr="000A4C74">
        <w:t>) were generated to visualize both unadjusted and adjusted ORs with their respective 95% confidence intervals for 21 of the 22 significant comorbidities identified in the volcano plot analysis. One comorbidity ("calcium oxalate calculus of kidney") was excluded from the forest plot due to extreme data sparsity, exhibiting near-complete separation that resulted in unstable OR estimates and extremely wide confidence intervals that could not be reliably adjusted.</w:t>
      </w:r>
    </w:p>
    <w:p w14:paraId="5D7EB34B" w14:textId="77777777" w:rsidR="00EA35C4" w:rsidRPr="000A4C74" w:rsidRDefault="00000000" w:rsidP="00CA67AE">
      <w:pPr>
        <w:pStyle w:val="Heading1"/>
        <w:spacing w:line="360" w:lineRule="auto"/>
        <w:rPr>
          <w:sz w:val="24"/>
          <w:szCs w:val="24"/>
        </w:rPr>
      </w:pPr>
      <w:r w:rsidRPr="000A4C74">
        <w:rPr>
          <w:sz w:val="24"/>
          <w:szCs w:val="24"/>
        </w:rPr>
        <w:t>Software and Statistical Tools</w:t>
      </w:r>
    </w:p>
    <w:p w14:paraId="60B12906" w14:textId="77777777" w:rsidR="00EA35C4" w:rsidRPr="000A4C74" w:rsidRDefault="00000000" w:rsidP="00CA67AE">
      <w:pPr>
        <w:spacing w:after="120" w:line="360" w:lineRule="auto"/>
      </w:pPr>
      <w:r w:rsidRPr="000A4C74">
        <w:t>All analyses were conducted within the secure cloud-based Researcher Workbench platform provided by the All of Us Research Program. The primary analytical tools included R version 4.2.3 (R Core Team, 2024) and Python 3.11 (Python Software Foundation).</w:t>
      </w:r>
    </w:p>
    <w:p w14:paraId="077FB0C9" w14:textId="77777777" w:rsidR="00EA35C4" w:rsidRPr="000A4C74" w:rsidRDefault="00000000" w:rsidP="00CA67AE">
      <w:pPr>
        <w:spacing w:after="120" w:line="360" w:lineRule="auto"/>
      </w:pPr>
      <w:r w:rsidRPr="000A4C74">
        <w:t xml:space="preserve">For data extraction and preparation, we utilized SQL queries through the integrated </w:t>
      </w:r>
      <w:proofErr w:type="spellStart"/>
      <w:r w:rsidRPr="000A4C74">
        <w:t>Jupyter</w:t>
      </w:r>
      <w:proofErr w:type="spellEnd"/>
      <w:r w:rsidRPr="000A4C74">
        <w:t xml:space="preserve"> Notebook environment to access the OMOP-formatted data tables. The </w:t>
      </w:r>
      <w:proofErr w:type="spellStart"/>
      <w:r w:rsidRPr="000A4C74">
        <w:t>dplyr</w:t>
      </w:r>
      <w:proofErr w:type="spellEnd"/>
      <w:r w:rsidRPr="000A4C74">
        <w:t xml:space="preserve">, </w:t>
      </w:r>
      <w:proofErr w:type="spellStart"/>
      <w:r w:rsidRPr="000A4C74">
        <w:t>tidyr</w:t>
      </w:r>
      <w:proofErr w:type="spellEnd"/>
      <w:r w:rsidRPr="000A4C74">
        <w:t xml:space="preserve">, and </w:t>
      </w:r>
      <w:proofErr w:type="spellStart"/>
      <w:proofErr w:type="gramStart"/>
      <w:r w:rsidRPr="000A4C74">
        <w:t>data.table</w:t>
      </w:r>
      <w:proofErr w:type="spellEnd"/>
      <w:proofErr w:type="gramEnd"/>
      <w:r w:rsidRPr="000A4C74">
        <w:t xml:space="preserve"> packages in R were employed for data manipulation and transformation. Statistical analyses were performed using the stats package in R, with additional implementations from the survival package for time-to-event analyses in sensitivity studies.</w:t>
      </w:r>
    </w:p>
    <w:p w14:paraId="48ADCE2F" w14:textId="77777777" w:rsidR="00EA35C4" w:rsidRPr="000A4C74" w:rsidRDefault="00000000" w:rsidP="00CA67AE">
      <w:pPr>
        <w:spacing w:after="200" w:line="360" w:lineRule="auto"/>
      </w:pPr>
      <w:r w:rsidRPr="000A4C74">
        <w:t>For data visualization, volcano plots were custom-built using ggplot2 in R with specialized formatting to highlight significantly associated comorbidities. The forest plots were created through a specialized approach using artificial intelligence assistance, where we provided the raw data to a large language model that then generated a customized implementation of the forest plot displaying both unadjusted and adjusted odds ratios simultaneously.</w:t>
      </w:r>
    </w:p>
    <w:p w14:paraId="4ECBBFA2" w14:textId="77777777" w:rsidR="00EA35C4" w:rsidRPr="000A4C74" w:rsidRDefault="00000000" w:rsidP="00CA67AE">
      <w:pPr>
        <w:pStyle w:val="Heading1"/>
        <w:spacing w:line="360" w:lineRule="auto"/>
        <w:rPr>
          <w:sz w:val="24"/>
          <w:szCs w:val="24"/>
        </w:rPr>
      </w:pPr>
      <w:r w:rsidRPr="000A4C74">
        <w:rPr>
          <w:sz w:val="24"/>
          <w:szCs w:val="24"/>
        </w:rPr>
        <w:t>Data Access Procedures</w:t>
      </w:r>
    </w:p>
    <w:p w14:paraId="79838C87" w14:textId="77777777" w:rsidR="00EA35C4" w:rsidRPr="000A4C74" w:rsidRDefault="00000000" w:rsidP="00CA67AE">
      <w:pPr>
        <w:spacing w:after="120" w:line="360" w:lineRule="auto"/>
      </w:pPr>
      <w:r w:rsidRPr="000A4C74">
        <w:t>To ensure reproducibility, all analysis scripts, including data extraction, processing, statistical analysis, and visualization code, have been documented and are available in the Researcher Workbench environment. Additionally, the final analytical dataset containing both IBD cases and matched controls with all variables used in this study is available in our GitHub repository as "a1_fixed_corrected.csv" (https://github.com/SohamSudhakaran/IBD). This dataset includes the 5,094 IBD cases and 20,376 matched controls along with their demographic characteristics, comorbidity indicators, and group identifiers, enabling complete reproduction of our analyses.</w:t>
      </w:r>
    </w:p>
    <w:p w14:paraId="46B31FB6" w14:textId="77777777" w:rsidR="00EA35C4" w:rsidRPr="000A4C74" w:rsidRDefault="00000000" w:rsidP="00CA67AE">
      <w:pPr>
        <w:spacing w:after="80" w:line="360" w:lineRule="auto"/>
      </w:pPr>
      <w:r w:rsidRPr="000A4C74">
        <w:lastRenderedPageBreak/>
        <w:t>Due to privacy regulations and the sensitive nature of healthcare data:</w:t>
      </w:r>
    </w:p>
    <w:p w14:paraId="60D46EF1" w14:textId="77777777" w:rsidR="00EA35C4" w:rsidRPr="000A4C74" w:rsidRDefault="00000000" w:rsidP="00CA67AE">
      <w:pPr>
        <w:pStyle w:val="ListParagraph"/>
        <w:numPr>
          <w:ilvl w:val="0"/>
          <w:numId w:val="3"/>
        </w:numPr>
        <w:spacing w:after="80" w:line="360" w:lineRule="auto"/>
      </w:pPr>
      <w:r w:rsidRPr="000A4C74">
        <w:t>Access to the original All of Us data requires completion of the All of Us Researcher Workbench registration process</w:t>
      </w:r>
    </w:p>
    <w:p w14:paraId="50B10DFC" w14:textId="77777777" w:rsidR="00EA35C4" w:rsidRPr="000A4C74" w:rsidRDefault="00000000" w:rsidP="00CA67AE">
      <w:pPr>
        <w:spacing w:after="60" w:line="360" w:lineRule="auto"/>
        <w:ind w:left="360"/>
      </w:pPr>
      <w:r w:rsidRPr="000A4C74">
        <w:t>2. Researchers interested in accessing the raw data must:</w:t>
      </w:r>
    </w:p>
    <w:p w14:paraId="33724EBF" w14:textId="77777777" w:rsidR="00EA35C4" w:rsidRPr="000A4C74" w:rsidRDefault="00000000" w:rsidP="00CA67AE">
      <w:pPr>
        <w:pStyle w:val="ListParagraph"/>
        <w:numPr>
          <w:ilvl w:val="0"/>
          <w:numId w:val="2"/>
        </w:numPr>
        <w:spacing w:after="80" w:line="360" w:lineRule="auto"/>
      </w:pPr>
      <w:r w:rsidRPr="000A4C74">
        <w:t>Obtain appropriate institutional approval</w:t>
      </w:r>
    </w:p>
    <w:p w14:paraId="4343B2D4" w14:textId="77777777" w:rsidR="00EA35C4" w:rsidRPr="000A4C74" w:rsidRDefault="00000000" w:rsidP="00CA67AE">
      <w:pPr>
        <w:pStyle w:val="ListParagraph"/>
        <w:numPr>
          <w:ilvl w:val="0"/>
          <w:numId w:val="2"/>
        </w:numPr>
        <w:spacing w:after="80" w:line="360" w:lineRule="auto"/>
      </w:pPr>
      <w:r w:rsidRPr="000A4C74">
        <w:t>Complete required training on responsible data use</w:t>
      </w:r>
    </w:p>
    <w:p w14:paraId="173046C2" w14:textId="77777777" w:rsidR="00EA35C4" w:rsidRPr="000A4C74" w:rsidRDefault="00000000" w:rsidP="00CA67AE">
      <w:pPr>
        <w:pStyle w:val="ListParagraph"/>
        <w:numPr>
          <w:ilvl w:val="0"/>
          <w:numId w:val="2"/>
        </w:numPr>
        <w:spacing w:after="80" w:line="360" w:lineRule="auto"/>
      </w:pPr>
      <w:r w:rsidRPr="000A4C74">
        <w:t>Submit a data access request through the official All of Us platform</w:t>
      </w:r>
    </w:p>
    <w:p w14:paraId="4338DAE2" w14:textId="77777777" w:rsidR="00EA35C4" w:rsidRPr="000A4C74" w:rsidRDefault="00000000" w:rsidP="00CA67AE">
      <w:pPr>
        <w:spacing w:after="200" w:line="360" w:lineRule="auto"/>
      </w:pPr>
      <w:r w:rsidRPr="000A4C74">
        <w:t>For more information on accessing All of Us data, visit: https://allofus.nih.gov/</w:t>
      </w:r>
    </w:p>
    <w:p w14:paraId="7731FA32" w14:textId="77777777" w:rsidR="00EA35C4" w:rsidRPr="000A4C74" w:rsidRDefault="00000000" w:rsidP="00CA67AE">
      <w:pPr>
        <w:pStyle w:val="Heading1"/>
        <w:spacing w:line="360" w:lineRule="auto"/>
        <w:rPr>
          <w:sz w:val="24"/>
          <w:szCs w:val="24"/>
        </w:rPr>
      </w:pPr>
      <w:r w:rsidRPr="000A4C74">
        <w:rPr>
          <w:sz w:val="24"/>
          <w:szCs w:val="24"/>
        </w:rPr>
        <w:t>Comorbidity Categories Investigated</w:t>
      </w:r>
    </w:p>
    <w:p w14:paraId="53585828" w14:textId="77777777" w:rsidR="00EA35C4" w:rsidRPr="000A4C74" w:rsidRDefault="00000000" w:rsidP="00CA67AE">
      <w:pPr>
        <w:spacing w:after="80" w:line="360" w:lineRule="auto"/>
      </w:pPr>
      <w:r w:rsidRPr="000A4C74">
        <w:t>Our initial screening identified a broad range of potential comorbidities organized into the following major categories:</w:t>
      </w:r>
    </w:p>
    <w:p w14:paraId="7F3AEA71" w14:textId="77777777" w:rsidR="00EA35C4" w:rsidRPr="000A4C74" w:rsidRDefault="00000000" w:rsidP="00CA67AE">
      <w:pPr>
        <w:pStyle w:val="ListParagraph"/>
        <w:numPr>
          <w:ilvl w:val="0"/>
          <w:numId w:val="2"/>
        </w:numPr>
        <w:spacing w:after="80" w:line="360" w:lineRule="auto"/>
      </w:pPr>
      <w:r w:rsidRPr="000A4C74">
        <w:rPr>
          <w:b/>
          <w:bCs/>
        </w:rPr>
        <w:t xml:space="preserve">Dermatological conditions </w:t>
      </w:r>
      <w:r w:rsidRPr="000A4C74">
        <w:t>including acne, hidradenitis suppurativa, alopecia areata, contact dermatitis, dermatomyositis, eczema, lichen planus, localized scleroderma, psoriasis, seborrheic dermatitis, and vitiligo.</w:t>
      </w:r>
    </w:p>
    <w:p w14:paraId="1240F12E" w14:textId="77777777" w:rsidR="00EA35C4" w:rsidRPr="000A4C74" w:rsidRDefault="00000000" w:rsidP="00CA67AE">
      <w:pPr>
        <w:pStyle w:val="ListParagraph"/>
        <w:numPr>
          <w:ilvl w:val="0"/>
          <w:numId w:val="2"/>
        </w:numPr>
        <w:spacing w:after="80" w:line="360" w:lineRule="auto"/>
      </w:pPr>
      <w:r w:rsidRPr="000A4C74">
        <w:rPr>
          <w:b/>
          <w:bCs/>
        </w:rPr>
        <w:t xml:space="preserve">Cardiovascular and vascular conditions </w:t>
      </w:r>
      <w:r w:rsidRPr="000A4C74">
        <w:t>including pericarditis, myocarditis, hypertensive disorders, and various arterial conditions.</w:t>
      </w:r>
    </w:p>
    <w:p w14:paraId="60713C6A" w14:textId="77777777" w:rsidR="00EA35C4" w:rsidRPr="000A4C74" w:rsidRDefault="00000000" w:rsidP="00CA67AE">
      <w:pPr>
        <w:pStyle w:val="ListParagraph"/>
        <w:numPr>
          <w:ilvl w:val="0"/>
          <w:numId w:val="2"/>
        </w:numPr>
        <w:spacing w:after="80" w:line="360" w:lineRule="auto"/>
      </w:pPr>
      <w:r w:rsidRPr="000A4C74">
        <w:rPr>
          <w:b/>
          <w:bCs/>
        </w:rPr>
        <w:t xml:space="preserve">Autoimmune and rheumatologic conditions </w:t>
      </w:r>
      <w:r w:rsidRPr="000A4C74">
        <w:t>including diabetes mellitus (types 1 and 2), autoimmune hepatitis, Sjögren's syndrome, and rheumatoid arthritis.</w:t>
      </w:r>
    </w:p>
    <w:p w14:paraId="73278C04" w14:textId="77777777" w:rsidR="00EA35C4" w:rsidRPr="000A4C74" w:rsidRDefault="00000000" w:rsidP="00CA67AE">
      <w:pPr>
        <w:pStyle w:val="ListParagraph"/>
        <w:numPr>
          <w:ilvl w:val="0"/>
          <w:numId w:val="2"/>
        </w:numPr>
        <w:spacing w:after="80" w:line="360" w:lineRule="auto"/>
      </w:pPr>
      <w:r w:rsidRPr="000A4C74">
        <w:rPr>
          <w:b/>
          <w:bCs/>
        </w:rPr>
        <w:t xml:space="preserve">Renal and urological conditions </w:t>
      </w:r>
      <w:r w:rsidRPr="000A4C74">
        <w:t>including end-stage renal disease, kidney stones, nephritis, and various renal complications.</w:t>
      </w:r>
    </w:p>
    <w:p w14:paraId="4F3369AB" w14:textId="77777777" w:rsidR="00EA35C4" w:rsidRPr="000A4C74" w:rsidRDefault="00000000" w:rsidP="00CA67AE">
      <w:pPr>
        <w:pStyle w:val="ListParagraph"/>
        <w:numPr>
          <w:ilvl w:val="0"/>
          <w:numId w:val="2"/>
        </w:numPr>
        <w:spacing w:after="80" w:line="360" w:lineRule="auto"/>
      </w:pPr>
      <w:r w:rsidRPr="000A4C74">
        <w:rPr>
          <w:b/>
          <w:bCs/>
        </w:rPr>
        <w:t xml:space="preserve">Neurological and psychiatric conditions </w:t>
      </w:r>
      <w:r w:rsidRPr="000A4C74">
        <w:t>including seizure disorders, anxiety, depression, and eating disorders.</w:t>
      </w:r>
    </w:p>
    <w:p w14:paraId="02699479" w14:textId="77777777" w:rsidR="00EA35C4" w:rsidRPr="000A4C74" w:rsidRDefault="00000000" w:rsidP="00CA67AE">
      <w:pPr>
        <w:pStyle w:val="ListParagraph"/>
        <w:numPr>
          <w:ilvl w:val="0"/>
          <w:numId w:val="2"/>
        </w:numPr>
        <w:spacing w:after="80" w:line="360" w:lineRule="auto"/>
      </w:pPr>
      <w:r w:rsidRPr="000A4C74">
        <w:rPr>
          <w:b/>
          <w:bCs/>
        </w:rPr>
        <w:t xml:space="preserve">Gastrointestinal conditions </w:t>
      </w:r>
      <w:r w:rsidRPr="000A4C74">
        <w:t>beyond IBD, including various complications and related disorders.</w:t>
      </w:r>
    </w:p>
    <w:p w14:paraId="2771A725" w14:textId="77777777" w:rsidR="00EA35C4" w:rsidRPr="000A4C74" w:rsidRDefault="00000000" w:rsidP="00CA67AE">
      <w:pPr>
        <w:pStyle w:val="ListParagraph"/>
        <w:numPr>
          <w:ilvl w:val="0"/>
          <w:numId w:val="2"/>
        </w:numPr>
        <w:spacing w:after="80" w:line="360" w:lineRule="auto"/>
      </w:pPr>
      <w:r w:rsidRPr="000A4C74">
        <w:rPr>
          <w:b/>
          <w:bCs/>
        </w:rPr>
        <w:t xml:space="preserve">Respiratory conditions </w:t>
      </w:r>
      <w:r w:rsidRPr="000A4C74">
        <w:t>including interstitial lung disease and lung cancer.</w:t>
      </w:r>
    </w:p>
    <w:p w14:paraId="4E261155" w14:textId="77777777" w:rsidR="00EA35C4" w:rsidRPr="000A4C74" w:rsidRDefault="00000000" w:rsidP="00CA67AE">
      <w:pPr>
        <w:spacing w:before="120" w:after="200" w:line="360" w:lineRule="auto"/>
      </w:pPr>
      <w:r w:rsidRPr="000A4C74">
        <w:lastRenderedPageBreak/>
        <w:t xml:space="preserve">The complete list of investigated comorbidities is provided in </w:t>
      </w:r>
      <w:r w:rsidRPr="000A4C74">
        <w:rPr>
          <w:b/>
          <w:bCs/>
        </w:rPr>
        <w:t>Supplementary Table 1</w:t>
      </w:r>
      <w:r w:rsidRPr="000A4C74">
        <w:t>, which details both the proposed conditions for investigation and the specific conditions returned by the All of Us Research Program query results.</w:t>
      </w:r>
    </w:p>
    <w:p w14:paraId="2573C106" w14:textId="77777777" w:rsidR="00EA35C4" w:rsidRPr="000A4C74" w:rsidRDefault="00000000" w:rsidP="00CA67AE">
      <w:pPr>
        <w:pStyle w:val="Heading1"/>
        <w:spacing w:line="360" w:lineRule="auto"/>
        <w:rPr>
          <w:sz w:val="24"/>
          <w:szCs w:val="24"/>
        </w:rPr>
      </w:pPr>
      <w:r w:rsidRPr="000A4C74">
        <w:rPr>
          <w:sz w:val="24"/>
          <w:szCs w:val="24"/>
        </w:rPr>
        <w:t>Control Matching Details</w:t>
      </w:r>
    </w:p>
    <w:p w14:paraId="64C0C02B" w14:textId="77777777" w:rsidR="00EA35C4" w:rsidRPr="000A4C74" w:rsidRDefault="00000000" w:rsidP="00CA67AE">
      <w:pPr>
        <w:spacing w:after="120" w:line="360" w:lineRule="auto"/>
      </w:pPr>
      <w:r w:rsidRPr="000A4C74">
        <w:t>The Cohort Matcher tool, an integrated component of the All of Us Researcher Workbench platform, was employed to implement the matching algorithm. This approach was designed to minimize confounding by fundamental demographic factors. The matching process was performed without replacement, meaning each control participant could be matched to only one case. When multiple potential controls met the matching criteria for a case, selections were made randomly from the pool of eligible controls. For cases where fewer than four matching controls were available, all available matching controls were included, and the reduced matching ratio was accounted for in the statistical analysis.</w:t>
      </w:r>
    </w:p>
    <w:p w14:paraId="51992C47" w14:textId="77777777" w:rsidR="00EA35C4" w:rsidRPr="000A4C74" w:rsidRDefault="00000000" w:rsidP="00CA67AE">
      <w:pPr>
        <w:spacing w:after="200" w:line="360" w:lineRule="auto"/>
      </w:pPr>
      <w:r w:rsidRPr="000A4C74">
        <w:t>Although our study design included matching controls to cases on age, gender, and race, analysis of the final study population revealed significant differences in these demographic variables between groups (</w:t>
      </w:r>
      <w:r w:rsidRPr="000A4C74">
        <w:rPr>
          <w:b/>
          <w:bCs/>
        </w:rPr>
        <w:t>Table 1</w:t>
      </w:r>
      <w:r w:rsidRPr="000A4C74">
        <w:t>). This discrepancy occurred because the complexity of demographic data labels and subcategories in the All of Us Research Program dataset made achieving perfect 1:1 matching challenging for all participants. We prioritized including all eligible IBD cases to maximize statistical power for detecting rare comorbidities, which occasionally required compromises in the strictness of matching criteria. To account for these demographic differences, we performed additional statistical adjustments using the Mantel-Haenszel method, which controlled for these demographic variables in our calculation of adjusted odds ratios.</w:t>
      </w:r>
    </w:p>
    <w:sectPr w:rsidR="00EA35C4" w:rsidRPr="000A4C74">
      <w:footerReference w:type="even" r:id="rId7"/>
      <w:footerReference w:type="default" r:id="rId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033B3" w14:textId="77777777" w:rsidR="00BA6D60" w:rsidRDefault="00BA6D60" w:rsidP="00B57849">
      <w:r>
        <w:separator/>
      </w:r>
    </w:p>
  </w:endnote>
  <w:endnote w:type="continuationSeparator" w:id="0">
    <w:p w14:paraId="14644842" w14:textId="77777777" w:rsidR="00BA6D60" w:rsidRDefault="00BA6D60" w:rsidP="00B578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73974495"/>
      <w:docPartObj>
        <w:docPartGallery w:val="Page Numbers (Bottom of Page)"/>
        <w:docPartUnique/>
      </w:docPartObj>
    </w:sdtPr>
    <w:sdtContent>
      <w:p w14:paraId="14363A8B" w14:textId="1E3A1259" w:rsidR="00B57849" w:rsidRDefault="00B57849" w:rsidP="00584F6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1527A9A" w14:textId="77777777" w:rsidR="00B57849" w:rsidRDefault="00B57849" w:rsidP="00B5784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19392972"/>
      <w:docPartObj>
        <w:docPartGallery w:val="Page Numbers (Bottom of Page)"/>
        <w:docPartUnique/>
      </w:docPartObj>
    </w:sdtPr>
    <w:sdtContent>
      <w:p w14:paraId="55E9FEA5" w14:textId="1192CC8E" w:rsidR="00B57849" w:rsidRDefault="00B57849" w:rsidP="00584F6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3FF5843" w14:textId="77777777" w:rsidR="00B57849" w:rsidRDefault="00B57849" w:rsidP="00B5784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416130" w14:textId="77777777" w:rsidR="00BA6D60" w:rsidRDefault="00BA6D60" w:rsidP="00B57849">
      <w:r>
        <w:separator/>
      </w:r>
    </w:p>
  </w:footnote>
  <w:footnote w:type="continuationSeparator" w:id="0">
    <w:p w14:paraId="38358EFB" w14:textId="77777777" w:rsidR="00BA6D60" w:rsidRDefault="00BA6D60" w:rsidP="00B578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0C077E"/>
    <w:multiLevelType w:val="hybridMultilevel"/>
    <w:tmpl w:val="5CF82A26"/>
    <w:lvl w:ilvl="0" w:tplc="72AEF8D0">
      <w:start w:val="1"/>
      <w:numFmt w:val="bullet"/>
      <w:lvlText w:val="●"/>
      <w:lvlJc w:val="left"/>
      <w:pPr>
        <w:ind w:left="720" w:hanging="360"/>
      </w:pPr>
    </w:lvl>
    <w:lvl w:ilvl="1" w:tplc="02108330">
      <w:start w:val="1"/>
      <w:numFmt w:val="bullet"/>
      <w:lvlText w:val="○"/>
      <w:lvlJc w:val="left"/>
      <w:pPr>
        <w:ind w:left="1440" w:hanging="360"/>
      </w:pPr>
    </w:lvl>
    <w:lvl w:ilvl="2" w:tplc="2A0C7D52">
      <w:start w:val="1"/>
      <w:numFmt w:val="bullet"/>
      <w:lvlText w:val="■"/>
      <w:lvlJc w:val="left"/>
      <w:pPr>
        <w:ind w:left="2160" w:hanging="360"/>
      </w:pPr>
    </w:lvl>
    <w:lvl w:ilvl="3" w:tplc="43D81D46">
      <w:start w:val="1"/>
      <w:numFmt w:val="bullet"/>
      <w:lvlText w:val="●"/>
      <w:lvlJc w:val="left"/>
      <w:pPr>
        <w:ind w:left="2880" w:hanging="360"/>
      </w:pPr>
    </w:lvl>
    <w:lvl w:ilvl="4" w:tplc="5F9C4CE8">
      <w:start w:val="1"/>
      <w:numFmt w:val="bullet"/>
      <w:lvlText w:val="○"/>
      <w:lvlJc w:val="left"/>
      <w:pPr>
        <w:ind w:left="3600" w:hanging="360"/>
      </w:pPr>
    </w:lvl>
    <w:lvl w:ilvl="5" w:tplc="BC3E3F74">
      <w:start w:val="1"/>
      <w:numFmt w:val="bullet"/>
      <w:lvlText w:val="■"/>
      <w:lvlJc w:val="left"/>
      <w:pPr>
        <w:ind w:left="4320" w:hanging="360"/>
      </w:pPr>
    </w:lvl>
    <w:lvl w:ilvl="6" w:tplc="9694509E">
      <w:start w:val="1"/>
      <w:numFmt w:val="bullet"/>
      <w:lvlText w:val="●"/>
      <w:lvlJc w:val="left"/>
      <w:pPr>
        <w:ind w:left="5040" w:hanging="360"/>
      </w:pPr>
    </w:lvl>
    <w:lvl w:ilvl="7" w:tplc="48F2E3B0">
      <w:start w:val="1"/>
      <w:numFmt w:val="bullet"/>
      <w:lvlText w:val="●"/>
      <w:lvlJc w:val="left"/>
      <w:pPr>
        <w:ind w:left="5760" w:hanging="360"/>
      </w:pPr>
    </w:lvl>
    <w:lvl w:ilvl="8" w:tplc="53FA1AEA">
      <w:start w:val="1"/>
      <w:numFmt w:val="bullet"/>
      <w:lvlText w:val="●"/>
      <w:lvlJc w:val="left"/>
      <w:pPr>
        <w:ind w:left="6480" w:hanging="360"/>
      </w:pPr>
    </w:lvl>
  </w:abstractNum>
  <w:abstractNum w:abstractNumId="1" w15:restartNumberingAfterBreak="0">
    <w:nsid w:val="5A7E5158"/>
    <w:multiLevelType w:val="hybridMultilevel"/>
    <w:tmpl w:val="D33638B6"/>
    <w:lvl w:ilvl="0" w:tplc="FE50D580">
      <w:start w:val="1"/>
      <w:numFmt w:val="decimal"/>
      <w:lvlText w:val="%1."/>
      <w:lvlJc w:val="left"/>
      <w:pPr>
        <w:ind w:left="720" w:hanging="360"/>
      </w:pPr>
    </w:lvl>
    <w:lvl w:ilvl="1" w:tplc="08920DEC">
      <w:numFmt w:val="decimal"/>
      <w:lvlText w:val=""/>
      <w:lvlJc w:val="left"/>
    </w:lvl>
    <w:lvl w:ilvl="2" w:tplc="8A16F2DC">
      <w:numFmt w:val="decimal"/>
      <w:lvlText w:val=""/>
      <w:lvlJc w:val="left"/>
    </w:lvl>
    <w:lvl w:ilvl="3" w:tplc="8DFC60A2">
      <w:numFmt w:val="decimal"/>
      <w:lvlText w:val=""/>
      <w:lvlJc w:val="left"/>
    </w:lvl>
    <w:lvl w:ilvl="4" w:tplc="AB9C2006">
      <w:numFmt w:val="decimal"/>
      <w:lvlText w:val=""/>
      <w:lvlJc w:val="left"/>
    </w:lvl>
    <w:lvl w:ilvl="5" w:tplc="D1843F5A">
      <w:numFmt w:val="decimal"/>
      <w:lvlText w:val=""/>
      <w:lvlJc w:val="left"/>
    </w:lvl>
    <w:lvl w:ilvl="6" w:tplc="C2C477C4">
      <w:numFmt w:val="decimal"/>
      <w:lvlText w:val=""/>
      <w:lvlJc w:val="left"/>
    </w:lvl>
    <w:lvl w:ilvl="7" w:tplc="34B6B25C">
      <w:numFmt w:val="decimal"/>
      <w:lvlText w:val=""/>
      <w:lvlJc w:val="left"/>
    </w:lvl>
    <w:lvl w:ilvl="8" w:tplc="EE6C5D9C">
      <w:numFmt w:val="decimal"/>
      <w:lvlText w:val=""/>
      <w:lvlJc w:val="left"/>
    </w:lvl>
  </w:abstractNum>
  <w:abstractNum w:abstractNumId="2" w15:restartNumberingAfterBreak="0">
    <w:nsid w:val="6D2909BA"/>
    <w:multiLevelType w:val="hybridMultilevel"/>
    <w:tmpl w:val="A6BAA66A"/>
    <w:lvl w:ilvl="0" w:tplc="D4648A10">
      <w:start w:val="1"/>
      <w:numFmt w:val="bullet"/>
      <w:lvlText w:val="•"/>
      <w:lvlJc w:val="left"/>
      <w:pPr>
        <w:ind w:left="720" w:hanging="360"/>
      </w:pPr>
    </w:lvl>
    <w:lvl w:ilvl="1" w:tplc="21482184">
      <w:numFmt w:val="decimal"/>
      <w:lvlText w:val=""/>
      <w:lvlJc w:val="left"/>
    </w:lvl>
    <w:lvl w:ilvl="2" w:tplc="3D3EC8AA">
      <w:numFmt w:val="decimal"/>
      <w:lvlText w:val=""/>
      <w:lvlJc w:val="left"/>
    </w:lvl>
    <w:lvl w:ilvl="3" w:tplc="A70CECE8">
      <w:numFmt w:val="decimal"/>
      <w:lvlText w:val=""/>
      <w:lvlJc w:val="left"/>
    </w:lvl>
    <w:lvl w:ilvl="4" w:tplc="02E09184">
      <w:numFmt w:val="decimal"/>
      <w:lvlText w:val=""/>
      <w:lvlJc w:val="left"/>
    </w:lvl>
    <w:lvl w:ilvl="5" w:tplc="0D6A05EA">
      <w:numFmt w:val="decimal"/>
      <w:lvlText w:val=""/>
      <w:lvlJc w:val="left"/>
    </w:lvl>
    <w:lvl w:ilvl="6" w:tplc="4438717E">
      <w:numFmt w:val="decimal"/>
      <w:lvlText w:val=""/>
      <w:lvlJc w:val="left"/>
    </w:lvl>
    <w:lvl w:ilvl="7" w:tplc="8CD0716A">
      <w:numFmt w:val="decimal"/>
      <w:lvlText w:val=""/>
      <w:lvlJc w:val="left"/>
    </w:lvl>
    <w:lvl w:ilvl="8" w:tplc="59EE578A">
      <w:numFmt w:val="decimal"/>
      <w:lvlText w:val=""/>
      <w:lvlJc w:val="left"/>
    </w:lvl>
  </w:abstractNum>
  <w:num w:numId="1" w16cid:durableId="1023096285">
    <w:abstractNumId w:val="0"/>
    <w:lvlOverride w:ilvl="0">
      <w:startOverride w:val="1"/>
    </w:lvlOverride>
  </w:num>
  <w:num w:numId="2" w16cid:durableId="1143346845">
    <w:abstractNumId w:val="2"/>
    <w:lvlOverride w:ilvl="0">
      <w:startOverride w:val="1"/>
    </w:lvlOverride>
  </w:num>
  <w:num w:numId="3" w16cid:durableId="171993940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7"/>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35C4"/>
    <w:rsid w:val="00027BF6"/>
    <w:rsid w:val="000A4C74"/>
    <w:rsid w:val="00131FEA"/>
    <w:rsid w:val="00435F45"/>
    <w:rsid w:val="005729B4"/>
    <w:rsid w:val="008B06AE"/>
    <w:rsid w:val="00A86DA5"/>
    <w:rsid w:val="00B21FC6"/>
    <w:rsid w:val="00B57849"/>
    <w:rsid w:val="00BA6D60"/>
    <w:rsid w:val="00CA67AE"/>
    <w:rsid w:val="00DD1905"/>
    <w:rsid w:val="00EA35C4"/>
    <w:rsid w:val="00F00F4D"/>
    <w:rsid w:val="00FB06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67F99"/>
  <w15:docId w15:val="{10461799-96AA-8B44-B39C-907ACCFB9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200"/>
      <w:outlineLvl w:val="0"/>
    </w:pPr>
    <w:rPr>
      <w:b/>
      <w:bCs/>
      <w:sz w:val="28"/>
      <w:szCs w:val="28"/>
    </w:rPr>
  </w:style>
  <w:style w:type="paragraph" w:styleId="Heading2">
    <w:name w:val="heading 2"/>
    <w:uiPriority w:val="9"/>
    <w:semiHidden/>
    <w:unhideWhenUsed/>
    <w:qFormat/>
    <w:pPr>
      <w:spacing w:before="280" w:after="160"/>
      <w:outlineLvl w:val="1"/>
    </w:pPr>
    <w:rPr>
      <w:b/>
      <w:bCs/>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paragraph" w:styleId="Footer">
    <w:name w:val="footer"/>
    <w:basedOn w:val="Normal"/>
    <w:link w:val="FooterChar"/>
    <w:uiPriority w:val="99"/>
    <w:unhideWhenUsed/>
    <w:rsid w:val="00B57849"/>
    <w:pPr>
      <w:tabs>
        <w:tab w:val="center" w:pos="4680"/>
        <w:tab w:val="right" w:pos="9360"/>
      </w:tabs>
    </w:pPr>
  </w:style>
  <w:style w:type="character" w:customStyle="1" w:styleId="FooterChar">
    <w:name w:val="Footer Char"/>
    <w:basedOn w:val="DefaultParagraphFont"/>
    <w:link w:val="Footer"/>
    <w:uiPriority w:val="99"/>
    <w:rsid w:val="00B57849"/>
  </w:style>
  <w:style w:type="character" w:styleId="PageNumber">
    <w:name w:val="page number"/>
    <w:basedOn w:val="DefaultParagraphFont"/>
    <w:uiPriority w:val="99"/>
    <w:semiHidden/>
    <w:unhideWhenUsed/>
    <w:rsid w:val="00B578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7893ce20-a697-4fd6-a4da-14011f6a471d}" enabled="1" method="Standard" siteId="{a8eec281-aaa3-4dae-ac9b-9a398b9215e7}"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6</Pages>
  <Words>1435</Words>
  <Characters>9547</Characters>
  <Application>Microsoft Office Word</Application>
  <DocSecurity>0</DocSecurity>
  <Lines>155</Lines>
  <Paragraphs>65</Paragraphs>
  <ScaleCrop>false</ScaleCrop>
  <Company/>
  <LinksUpToDate>false</LinksUpToDate>
  <CharactersWithSpaces>10944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Prabakaran, Sudhakaran</cp:lastModifiedBy>
  <cp:revision>2</cp:revision>
  <dcterms:created xsi:type="dcterms:W3CDTF">2026-02-08T14:26:00Z</dcterms:created>
  <dcterms:modified xsi:type="dcterms:W3CDTF">2026-02-08T14:26:00Z</dcterms:modified>
</cp:coreProperties>
</file>