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70815">
      <w:pPr>
        <w:widowControl/>
        <w:snapToGrid w:val="0"/>
        <w:spacing w:line="360" w:lineRule="auto"/>
        <w:ind w:firstLine="2883" w:firstLineChars="1200"/>
        <w:rPr>
          <w:rStyle w:val="8"/>
          <w:rFonts w:ascii="Times New Roman" w:hAnsi="Times New Roman" w:eastAsia="sans-serif" w:cs="Times New Roman"/>
          <w:kern w:val="0"/>
          <w:sz w:val="24"/>
          <w:lang w:bidi="ar"/>
        </w:rPr>
      </w:pPr>
      <w:r>
        <w:rPr>
          <w:rStyle w:val="8"/>
          <w:rFonts w:ascii="Times New Roman" w:hAnsi="Times New Roman" w:eastAsia="sans-serif" w:cs="Times New Roman"/>
          <w:kern w:val="0"/>
          <w:sz w:val="24"/>
          <w:lang w:bidi="ar"/>
        </w:rPr>
        <w:t xml:space="preserve">Table S10 </w:t>
      </w:r>
      <w:r>
        <w:rPr>
          <w:rStyle w:val="8"/>
          <w:rFonts w:ascii="Times New Roman" w:hAnsi="Times New Roman" w:eastAsia="sans-serif" w:cs="Times New Roman"/>
          <w:b w:val="0"/>
          <w:bCs/>
          <w:kern w:val="0"/>
          <w:sz w:val="24"/>
          <w:lang w:bidi="ar"/>
        </w:rPr>
        <w:t>|</w:t>
      </w:r>
      <w:r>
        <w:rPr>
          <w:rStyle w:val="8"/>
          <w:rFonts w:hint="eastAsia" w:ascii="Cambria" w:hAnsi="Cambria" w:eastAsia="sans-serif" w:cs="Times New Roman"/>
          <w:b w:val="0"/>
          <w:bCs/>
          <w:kern w:val="0"/>
          <w:sz w:val="24"/>
          <w:lang w:bidi="ar"/>
        </w:rPr>
        <w:t xml:space="preserve"> </w:t>
      </w:r>
      <w:r>
        <w:rPr>
          <w:rStyle w:val="8"/>
          <w:rFonts w:ascii="Times New Roman" w:hAnsi="Times New Roman" w:eastAsia="sans-serif" w:cs="Times New Roman"/>
          <w:b w:val="0"/>
          <w:bCs/>
          <w:kern w:val="0"/>
          <w:sz w:val="24"/>
          <w:lang w:bidi="ar"/>
        </w:rPr>
        <w:t>Non-bile</w:t>
      </w:r>
      <w:r>
        <w:rPr>
          <w:rStyle w:val="8"/>
          <w:rFonts w:hint="eastAsia" w:ascii="Cambria" w:hAnsi="Cambria" w:eastAsia="sans-serif" w:cs="Times New Roman"/>
          <w:b w:val="0"/>
          <w:bCs/>
          <w:kern w:val="0"/>
          <w:sz w:val="24"/>
          <w:lang w:bidi="ar"/>
        </w:rPr>
        <w:t xml:space="preserve"> </w:t>
      </w:r>
      <w:r>
        <w:rPr>
          <w:rStyle w:val="8"/>
          <w:rFonts w:ascii="Times New Roman" w:hAnsi="Times New Roman" w:eastAsia="sans-serif" w:cs="Times New Roman"/>
          <w:b w:val="0"/>
          <w:bCs/>
          <w:kern w:val="0"/>
          <w:sz w:val="24"/>
          <w:lang w:bidi="ar"/>
        </w:rPr>
        <w:t>acid metabolomic alterations across disease locations</w:t>
      </w:r>
    </w:p>
    <w:tbl>
      <w:tblPr>
        <w:tblStyle w:val="6"/>
        <w:tblW w:w="14785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3"/>
        <w:gridCol w:w="2425"/>
        <w:gridCol w:w="1656"/>
        <w:gridCol w:w="2105"/>
        <w:gridCol w:w="3903"/>
        <w:gridCol w:w="2193"/>
      </w:tblGrid>
      <w:tr w14:paraId="4922622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3" w:type="dxa"/>
            <w:tcBorders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</w:tcPr>
          <w:p w14:paraId="5583CEC0">
            <w:pPr>
              <w:widowControl/>
              <w:snapToGrid w:val="0"/>
              <w:spacing w:line="360" w:lineRule="auto"/>
              <w:jc w:val="center"/>
              <w:rPr>
                <w:rStyle w:val="8"/>
                <w:rFonts w:ascii="Times New Roman" w:hAnsi="Times New Roman" w:eastAsia="sans-serif" w:cs="Times New Roman"/>
                <w:b w:val="0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25" w:type="dxa"/>
            <w:tcBorders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</w:tcPr>
          <w:p w14:paraId="7D480D7C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bCs/>
                <w:color w:val="000000"/>
                <w:szCs w:val="21"/>
              </w:rPr>
            </w:pPr>
            <w:r>
              <w:rPr>
                <w:rStyle w:val="8"/>
                <w:rFonts w:ascii="Times New Roman" w:hAnsi="Times New Roman" w:eastAsia="sans-serif" w:cs="Times New Roman"/>
                <w:b w:val="0"/>
                <w:bCs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1656" w:type="dxa"/>
            <w:tcBorders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</w:tcPr>
          <w:p w14:paraId="6C7F5401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bCs/>
                <w:color w:val="000000"/>
                <w:szCs w:val="21"/>
              </w:rPr>
            </w:pPr>
            <w:r>
              <w:rPr>
                <w:rStyle w:val="8"/>
                <w:rFonts w:ascii="Times New Roman" w:hAnsi="Times New Roman" w:eastAsia="sans-serif" w:cs="Times New Roman"/>
                <w:b w:val="0"/>
                <w:bCs/>
                <w:color w:val="000000"/>
                <w:kern w:val="0"/>
                <w:szCs w:val="21"/>
                <w:lang w:bidi="ar"/>
              </w:rPr>
              <w:t>Sample</w:t>
            </w:r>
          </w:p>
        </w:tc>
        <w:tc>
          <w:tcPr>
            <w:tcW w:w="2105" w:type="dxa"/>
            <w:tcBorders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</w:tcPr>
          <w:p w14:paraId="00750EA8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bCs/>
                <w:color w:val="000000"/>
                <w:szCs w:val="21"/>
              </w:rPr>
            </w:pPr>
            <w:r>
              <w:rPr>
                <w:rStyle w:val="8"/>
                <w:rFonts w:ascii="Times New Roman" w:hAnsi="Times New Roman" w:eastAsia="sans-serif" w:cs="Times New Roman"/>
                <w:b w:val="0"/>
                <w:bCs/>
                <w:color w:val="000000"/>
                <w:kern w:val="0"/>
                <w:szCs w:val="21"/>
                <w:lang w:bidi="ar"/>
              </w:rPr>
              <w:t>Location</w:t>
            </w:r>
          </w:p>
        </w:tc>
        <w:tc>
          <w:tcPr>
            <w:tcW w:w="3903" w:type="dxa"/>
            <w:tcBorders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</w:tcPr>
          <w:p w14:paraId="20BBDD56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bCs/>
                <w:color w:val="000000"/>
                <w:szCs w:val="21"/>
              </w:rPr>
            </w:pPr>
            <w:r>
              <w:rPr>
                <w:rStyle w:val="8"/>
                <w:rFonts w:ascii="Times New Roman" w:hAnsi="Times New Roman" w:eastAsia="sans-serif" w:cs="Times New Roman"/>
                <w:b w:val="0"/>
                <w:bCs/>
                <w:color w:val="000000"/>
                <w:kern w:val="0"/>
                <w:szCs w:val="21"/>
                <w:lang w:bidi="ar"/>
              </w:rPr>
              <w:t>Metabolite</w:t>
            </w:r>
          </w:p>
        </w:tc>
        <w:tc>
          <w:tcPr>
            <w:tcW w:w="2193" w:type="dxa"/>
            <w:tcBorders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</w:tcPr>
          <w:p w14:paraId="00B2DDEE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bCs/>
                <w:color w:val="000000"/>
                <w:szCs w:val="21"/>
              </w:rPr>
            </w:pPr>
            <w:r>
              <w:rPr>
                <w:rStyle w:val="8"/>
                <w:rFonts w:ascii="Times New Roman" w:hAnsi="Times New Roman" w:eastAsia="sans-serif" w:cs="Times New Roman"/>
                <w:b w:val="0"/>
                <w:bCs/>
                <w:color w:val="000000"/>
                <w:kern w:val="0"/>
                <w:szCs w:val="21"/>
                <w:lang w:bidi="ar"/>
              </w:rPr>
              <w:t>Direction of Change</w:t>
            </w:r>
          </w:p>
        </w:tc>
      </w:tr>
      <w:tr w14:paraId="17434E6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4D89DE7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Tryptophan metabolism</w:t>
            </w:r>
          </w:p>
        </w:tc>
        <w:tc>
          <w:tcPr>
            <w:tcW w:w="2425" w:type="dxa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5D486B2">
            <w:pPr>
              <w:pStyle w:val="4"/>
              <w:widowControl/>
              <w:snapToGrid w:val="0"/>
              <w:spacing w:beforeAutospacing="0" w:afterAutospacing="0" w:line="360" w:lineRule="auto"/>
              <w:jc w:val="center"/>
              <w:rPr>
                <w:rFonts w:ascii="Times New Roman" w:hAnsi="Times New Roman" w:eastAsia="sans-serif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Huhn </w:t>
            </w:r>
            <w:r>
              <w:rPr>
                <w:rFonts w:ascii="Times New Roman" w:hAnsi="Times New Roman" w:eastAsia="sans-serif"/>
                <w:i/>
                <w:color w:val="000000"/>
                <w:sz w:val="21"/>
                <w:szCs w:val="21"/>
              </w:rPr>
              <w:t>et al.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 [</w:t>
            </w: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>5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>]</w:t>
            </w:r>
          </w:p>
        </w:tc>
        <w:tc>
          <w:tcPr>
            <w:tcW w:w="1656" w:type="dxa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2E6E191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Mucosa</w:t>
            </w:r>
          </w:p>
        </w:tc>
        <w:tc>
          <w:tcPr>
            <w:tcW w:w="2105" w:type="dxa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24BE6B3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ICD vs CCD</w:t>
            </w:r>
          </w:p>
        </w:tc>
        <w:tc>
          <w:tcPr>
            <w:tcW w:w="3903" w:type="dxa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36ECDE3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Kynurenine</w:t>
            </w:r>
          </w:p>
        </w:tc>
        <w:tc>
          <w:tcPr>
            <w:tcW w:w="2193" w:type="dxa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C7B06A7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szCs w:val="21"/>
              </w:rPr>
              <w:t>↓</w:t>
            </w:r>
          </w:p>
        </w:tc>
      </w:tr>
      <w:tr w14:paraId="4AF47EC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BE3D938">
            <w:pPr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4D0CEE8">
            <w:pPr>
              <w:pStyle w:val="4"/>
              <w:widowControl/>
              <w:snapToGrid w:val="0"/>
              <w:spacing w:beforeAutospacing="0" w:afterAutospacing="0" w:line="360" w:lineRule="auto"/>
              <w:jc w:val="center"/>
              <w:rPr>
                <w:rFonts w:ascii="Times New Roman" w:hAnsi="Times New Roman" w:eastAsia="sans-serif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Jansson </w:t>
            </w:r>
            <w:r>
              <w:rPr>
                <w:rFonts w:ascii="Times New Roman" w:hAnsi="Times New Roman" w:eastAsia="sans-serif"/>
                <w:i/>
                <w:color w:val="000000"/>
                <w:sz w:val="21"/>
                <w:szCs w:val="21"/>
              </w:rPr>
              <w:t>et al.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 [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30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>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D43823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Stool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02FD1DC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ICD vs CCD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597CE61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Tryptophan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1E1E801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↑</w:t>
            </w:r>
          </w:p>
        </w:tc>
      </w:tr>
      <w:tr w14:paraId="0025F2D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9617A3B">
            <w:pPr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AD5DD45">
            <w:pPr>
              <w:pStyle w:val="4"/>
              <w:widowControl/>
              <w:snapToGrid w:val="0"/>
              <w:spacing w:beforeAutospacing="0" w:afterAutospacing="0" w:line="360" w:lineRule="auto"/>
              <w:jc w:val="center"/>
              <w:rPr>
                <w:rFonts w:ascii="Times New Roman" w:hAnsi="Times New Roman" w:eastAsia="sans-serif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Nikolaus </w:t>
            </w:r>
            <w:r>
              <w:rPr>
                <w:rFonts w:ascii="Times New Roman" w:hAnsi="Times New Roman" w:eastAsia="sans-serif"/>
                <w:i/>
                <w:color w:val="000000"/>
                <w:sz w:val="21"/>
                <w:szCs w:val="21"/>
              </w:rPr>
              <w:t>et al.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 [</w:t>
            </w: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>5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>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AA59233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Serum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E6D456D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ICD vs ICCD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5E1670F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Tryptophan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0311017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Difference (P=0.0014)</w:t>
            </w:r>
          </w:p>
        </w:tc>
      </w:tr>
      <w:tr w14:paraId="7ABF39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6CE917A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Fatty acids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74AFCB7">
            <w:pPr>
              <w:pStyle w:val="4"/>
              <w:widowControl/>
              <w:snapToGrid w:val="0"/>
              <w:spacing w:beforeAutospacing="0" w:afterAutospacing="0" w:line="360" w:lineRule="auto"/>
              <w:jc w:val="center"/>
              <w:rPr>
                <w:rFonts w:ascii="Times New Roman" w:hAnsi="Times New Roman" w:eastAsia="sans-serif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Jansson </w:t>
            </w:r>
            <w:r>
              <w:rPr>
                <w:rFonts w:ascii="Times New Roman" w:hAnsi="Times New Roman" w:eastAsia="sans-serif"/>
                <w:i/>
                <w:color w:val="000000"/>
                <w:sz w:val="21"/>
                <w:szCs w:val="21"/>
              </w:rPr>
              <w:t>et al.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 [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30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>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D472365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Stool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5A902CD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ICD vs CCD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737BC2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Oleic acid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32ED18A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↑</w:t>
            </w:r>
          </w:p>
        </w:tc>
      </w:tr>
      <w:tr w14:paraId="4C3EEFE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D0D3D58">
            <w:pPr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FDDA1CF">
            <w:pPr>
              <w:pStyle w:val="4"/>
              <w:widowControl/>
              <w:snapToGrid w:val="0"/>
              <w:spacing w:beforeAutospacing="0" w:afterAutospacing="0" w:line="360" w:lineRule="auto"/>
              <w:jc w:val="center"/>
              <w:rPr>
                <w:rFonts w:ascii="Times New Roman" w:hAnsi="Times New Roman" w:eastAsia="sans-serif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Jansson </w:t>
            </w:r>
            <w:r>
              <w:rPr>
                <w:rFonts w:ascii="Times New Roman" w:hAnsi="Times New Roman" w:eastAsia="sans-serif"/>
                <w:i/>
                <w:color w:val="000000"/>
                <w:sz w:val="21"/>
                <w:szCs w:val="21"/>
              </w:rPr>
              <w:t>et al.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 [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30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>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234236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Stool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91198DB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ICD vs CCD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01BE5D3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Stearic acid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9A42C07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↑</w:t>
            </w:r>
          </w:p>
        </w:tc>
      </w:tr>
      <w:tr w14:paraId="4C722CB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0AC28CC">
            <w:pPr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59EADB5">
            <w:pPr>
              <w:pStyle w:val="4"/>
              <w:widowControl/>
              <w:snapToGrid w:val="0"/>
              <w:spacing w:beforeAutospacing="0" w:afterAutospacing="0" w:line="360" w:lineRule="auto"/>
              <w:jc w:val="center"/>
              <w:rPr>
                <w:rFonts w:ascii="Times New Roman" w:hAnsi="Times New Roman" w:eastAsia="sans-serif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Jansson </w:t>
            </w:r>
            <w:r>
              <w:rPr>
                <w:rFonts w:ascii="Times New Roman" w:hAnsi="Times New Roman" w:eastAsia="sans-serif"/>
                <w:i/>
                <w:color w:val="000000"/>
                <w:sz w:val="21"/>
                <w:szCs w:val="21"/>
              </w:rPr>
              <w:t>et al.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 [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30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>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A1A443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Stool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1F25807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ICD vs CCD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E1ED877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Palmitic acid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CB21905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↑</w:t>
            </w:r>
          </w:p>
        </w:tc>
      </w:tr>
      <w:tr w14:paraId="038A80C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778D756">
            <w:pPr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3B8458B">
            <w:pPr>
              <w:pStyle w:val="4"/>
              <w:widowControl/>
              <w:snapToGrid w:val="0"/>
              <w:spacing w:beforeAutospacing="0" w:afterAutospacing="0" w:line="360" w:lineRule="auto"/>
              <w:jc w:val="center"/>
              <w:rPr>
                <w:rFonts w:ascii="Times New Roman" w:hAnsi="Times New Roman" w:eastAsia="sans-serif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Jansson </w:t>
            </w:r>
            <w:r>
              <w:rPr>
                <w:rFonts w:ascii="Times New Roman" w:hAnsi="Times New Roman" w:eastAsia="sans-serif"/>
                <w:i/>
                <w:color w:val="000000"/>
                <w:sz w:val="21"/>
                <w:szCs w:val="21"/>
              </w:rPr>
              <w:t>et al.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 [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30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>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F421DFA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Stool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B16DD8B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ICD vs CCD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E34CB44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Arachidonic acid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1606FDC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↑</w:t>
            </w:r>
          </w:p>
        </w:tc>
      </w:tr>
      <w:tr w14:paraId="16219CC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CCEFD8B">
            <w:pPr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8DCA385">
            <w:pPr>
              <w:pStyle w:val="4"/>
              <w:widowControl/>
              <w:snapToGrid w:val="0"/>
              <w:spacing w:beforeAutospacing="0" w:afterAutospacing="0" w:line="360" w:lineRule="auto"/>
              <w:jc w:val="center"/>
              <w:rPr>
                <w:rFonts w:ascii="Times New Roman" w:hAnsi="Times New Roman" w:eastAsia="sans-serif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Notararigo </w:t>
            </w:r>
            <w:r>
              <w:rPr>
                <w:rFonts w:ascii="Times New Roman" w:hAnsi="Times New Roman" w:eastAsia="sans-serif"/>
                <w:i/>
                <w:color w:val="000000"/>
                <w:sz w:val="21"/>
                <w:szCs w:val="21"/>
              </w:rPr>
              <w:t>et al.</w:t>
            </w: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>[</w:t>
            </w: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>5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>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EBF3E9A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Serum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1D9C92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ICCD vs ICD/CCD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9A17EAF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Isobutyrate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4A3F853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↑</w:t>
            </w:r>
          </w:p>
        </w:tc>
      </w:tr>
      <w:tr w14:paraId="2F4BDC9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A41F078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Amino acids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9F12AD2">
            <w:pPr>
              <w:pStyle w:val="4"/>
              <w:widowControl/>
              <w:snapToGrid w:val="0"/>
              <w:spacing w:beforeAutospacing="0" w:afterAutospacing="0" w:line="360" w:lineRule="auto"/>
              <w:jc w:val="center"/>
              <w:rPr>
                <w:rFonts w:ascii="Times New Roman" w:hAnsi="Times New Roman" w:eastAsia="sans-serif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Jansson </w:t>
            </w:r>
            <w:r>
              <w:rPr>
                <w:rFonts w:ascii="Times New Roman" w:hAnsi="Times New Roman" w:eastAsia="sans-serif"/>
                <w:i/>
                <w:color w:val="000000"/>
                <w:sz w:val="21"/>
                <w:szCs w:val="21"/>
              </w:rPr>
              <w:t>et al.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 [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30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>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974990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Stool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DD64BA2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ICD vs CCD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8FA5181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Tyrosine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882E9C2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↑</w:t>
            </w:r>
          </w:p>
        </w:tc>
      </w:tr>
      <w:tr w14:paraId="0FFDE58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4E48A34">
            <w:pPr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178E9F7">
            <w:pPr>
              <w:pStyle w:val="4"/>
              <w:widowControl/>
              <w:snapToGrid w:val="0"/>
              <w:spacing w:beforeAutospacing="0" w:afterAutospacing="0" w:line="360" w:lineRule="auto"/>
              <w:jc w:val="center"/>
              <w:rPr>
                <w:rFonts w:ascii="Times New Roman" w:hAnsi="Times New Roman" w:eastAsia="sans-serif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Jansson </w:t>
            </w:r>
            <w:r>
              <w:rPr>
                <w:rFonts w:ascii="Times New Roman" w:hAnsi="Times New Roman" w:eastAsia="sans-serif"/>
                <w:i/>
                <w:color w:val="000000"/>
                <w:sz w:val="21"/>
                <w:szCs w:val="21"/>
              </w:rPr>
              <w:t>et al.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 [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30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>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D10D286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Stool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F367EF3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ICD vs CCD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FF86403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Phenylalanine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28BDC0C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↑</w:t>
            </w:r>
          </w:p>
        </w:tc>
      </w:tr>
      <w:tr w14:paraId="3589A73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DC22069">
            <w:pPr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2098D87">
            <w:pPr>
              <w:pStyle w:val="4"/>
              <w:widowControl/>
              <w:snapToGrid w:val="0"/>
              <w:spacing w:beforeAutospacing="0" w:afterAutospacing="0" w:line="360" w:lineRule="auto"/>
              <w:jc w:val="center"/>
              <w:rPr>
                <w:rFonts w:ascii="Times New Roman" w:hAnsi="Times New Roman" w:eastAsia="sans-serif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Aldars-García </w:t>
            </w:r>
            <w:r>
              <w:rPr>
                <w:rFonts w:ascii="Times New Roman" w:hAnsi="Times New Roman" w:eastAsia="sans-serif"/>
                <w:i/>
                <w:color w:val="000000"/>
                <w:sz w:val="21"/>
                <w:szCs w:val="21"/>
              </w:rPr>
              <w:t>et al.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 [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59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>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8EEE233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Serum &amp; Urine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AAB3565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CCD vs HCs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A0A09CC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Glutamic acid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215CB8C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szCs w:val="21"/>
              </w:rPr>
              <w:t>↓</w:t>
            </w:r>
          </w:p>
        </w:tc>
      </w:tr>
      <w:tr w14:paraId="0DBC1C1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4C2B8CC">
            <w:pPr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8D829E9">
            <w:pPr>
              <w:pStyle w:val="4"/>
              <w:widowControl/>
              <w:snapToGrid w:val="0"/>
              <w:spacing w:beforeAutospacing="0" w:afterAutospacing="0" w:line="360" w:lineRule="auto"/>
              <w:jc w:val="center"/>
              <w:rPr>
                <w:rFonts w:ascii="Times New Roman" w:hAnsi="Times New Roman" w:eastAsia="宋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Notararigo </w:t>
            </w:r>
            <w:r>
              <w:rPr>
                <w:rFonts w:ascii="Times New Roman" w:hAnsi="Times New Roman" w:eastAsia="sans-serif"/>
                <w:i/>
                <w:color w:val="000000"/>
                <w:sz w:val="21"/>
                <w:szCs w:val="21"/>
              </w:rPr>
              <w:t>et al.</w:t>
            </w: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>[</w:t>
            </w: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>5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>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839B3A6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Serum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3072AFA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ICCD vs ICD/CCD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96CC459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Homoserine/Methionine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80752B6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↑</w:t>
            </w:r>
          </w:p>
        </w:tc>
      </w:tr>
      <w:tr w14:paraId="30066ED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39F1AD5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Organic acids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6E6D731">
            <w:pPr>
              <w:pStyle w:val="4"/>
              <w:widowControl/>
              <w:snapToGrid w:val="0"/>
              <w:spacing w:beforeAutospacing="0" w:afterAutospacing="0" w:line="360" w:lineRule="auto"/>
              <w:jc w:val="center"/>
              <w:rPr>
                <w:rFonts w:ascii="Times New Roman" w:hAnsi="Times New Roman" w:eastAsia="sans-serif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Aldars-García </w:t>
            </w:r>
            <w:r>
              <w:rPr>
                <w:rFonts w:ascii="Times New Roman" w:hAnsi="Times New Roman" w:eastAsia="sans-serif"/>
                <w:i/>
                <w:color w:val="000000"/>
                <w:sz w:val="21"/>
                <w:szCs w:val="21"/>
              </w:rPr>
              <w:t>et al.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 [</w:t>
            </w: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>5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>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EBB91D6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Serum &amp; Urine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046D4C3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CCD vs HCs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2D75C15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Citric acid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BF7DA6E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szCs w:val="21"/>
              </w:rPr>
              <w:t>↓</w:t>
            </w:r>
          </w:p>
        </w:tc>
      </w:tr>
      <w:tr w14:paraId="2DA072F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5C7EAF9">
            <w:pPr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F289EF6">
            <w:pPr>
              <w:pStyle w:val="4"/>
              <w:widowControl/>
              <w:snapToGrid w:val="0"/>
              <w:spacing w:beforeAutospacing="0" w:afterAutospacing="0" w:line="360" w:lineRule="auto"/>
              <w:jc w:val="center"/>
              <w:rPr>
                <w:rFonts w:ascii="Times New Roman" w:hAnsi="Times New Roman" w:eastAsia="sans-serif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Aldars-García </w:t>
            </w:r>
            <w:r>
              <w:rPr>
                <w:rFonts w:ascii="Times New Roman" w:hAnsi="Times New Roman" w:eastAsia="sans-serif"/>
                <w:i/>
                <w:color w:val="000000"/>
                <w:sz w:val="21"/>
                <w:szCs w:val="21"/>
              </w:rPr>
              <w:t>et al.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 [</w:t>
            </w: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>5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>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58D00AA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Serum &amp; Urine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3EEF715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CCD vs HCs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98EF7A3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Hippuric acid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1A01C12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szCs w:val="21"/>
              </w:rPr>
              <w:t>↓</w:t>
            </w:r>
          </w:p>
        </w:tc>
      </w:tr>
      <w:tr w14:paraId="093BA15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875F239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Uric acid metabolism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B618CEC">
            <w:pPr>
              <w:pStyle w:val="4"/>
              <w:widowControl/>
              <w:snapToGrid w:val="0"/>
              <w:spacing w:beforeAutospacing="0" w:afterAutospacing="0" w:line="360" w:lineRule="auto"/>
              <w:jc w:val="center"/>
              <w:rPr>
                <w:rFonts w:ascii="Times New Roman" w:hAnsi="Times New Roman" w:eastAsia="sans-serif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Zhu </w:t>
            </w:r>
            <w:r>
              <w:rPr>
                <w:rFonts w:ascii="Times New Roman" w:hAnsi="Times New Roman" w:eastAsia="sans-serif"/>
                <w:i/>
                <w:color w:val="000000"/>
                <w:sz w:val="21"/>
                <w:szCs w:val="21"/>
              </w:rPr>
              <w:t>et al.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 [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61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>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840FC01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Serum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250C151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CCD vs ICD/ICCD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355327A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UA/Cr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AAA4864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↑</w:t>
            </w:r>
          </w:p>
        </w:tc>
      </w:tr>
      <w:tr w14:paraId="305E33B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19065E2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Style w:val="8"/>
                <w:rFonts w:ascii="Times New Roman" w:hAnsi="Times New Roman" w:eastAsia="宋体" w:cs="Times New Roman"/>
                <w:b w:val="0"/>
                <w:color w:val="000000"/>
                <w:szCs w:val="21"/>
              </w:rPr>
              <w:t>Steroids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EEA1D7D">
            <w:pPr>
              <w:pStyle w:val="4"/>
              <w:widowControl/>
              <w:snapToGrid w:val="0"/>
              <w:spacing w:beforeAutospacing="0" w:afterAutospacing="0" w:line="360" w:lineRule="auto"/>
              <w:jc w:val="center"/>
              <w:rPr>
                <w:rFonts w:ascii="Times New Roman" w:hAnsi="Times New Roman" w:eastAsia="宋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Ferru-Clément </w:t>
            </w:r>
            <w:r>
              <w:rPr>
                <w:rFonts w:ascii="Times New Roman" w:hAnsi="Times New Roman" w:eastAsia="sans-serif"/>
                <w:i/>
                <w:color w:val="000000"/>
                <w:sz w:val="21"/>
                <w:szCs w:val="21"/>
              </w:rPr>
              <w:t>et al.</w:t>
            </w: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 xml:space="preserve"> [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62</w:t>
            </w: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>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72F7EE4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Serum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3E252B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ICD vs CCD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C41AFE8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Sitosterol</w:t>
            </w:r>
            <w:r>
              <w:rPr>
                <w:rFonts w:hint="eastAsia"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sulfate/Cholesta-4,6-dien-3-one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BDD4BE3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↑</w:t>
            </w:r>
          </w:p>
        </w:tc>
      </w:tr>
      <w:tr w14:paraId="6EAE208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865506C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No significant differences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898B798">
            <w:pPr>
              <w:pStyle w:val="4"/>
              <w:widowControl/>
              <w:snapToGrid w:val="0"/>
              <w:spacing w:beforeAutospacing="0" w:afterAutospacing="0" w:line="360" w:lineRule="auto"/>
              <w:jc w:val="center"/>
              <w:rPr>
                <w:rFonts w:ascii="Times New Roman" w:hAnsi="Times New Roman" w:eastAsia="sans-serif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Iwamoto </w:t>
            </w:r>
            <w:r>
              <w:rPr>
                <w:rFonts w:ascii="Times New Roman" w:hAnsi="Times New Roman" w:eastAsia="sans-serif"/>
                <w:i/>
                <w:color w:val="000000"/>
                <w:sz w:val="21"/>
                <w:szCs w:val="21"/>
              </w:rPr>
              <w:t>et al.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 [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63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>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3512F51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Serum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63BF84F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ICD vs CCD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5CED9CC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Sitosterol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DF48A75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</w:tr>
      <w:tr w14:paraId="6C6C6C0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7A5CEF0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C91F20E">
            <w:pPr>
              <w:pStyle w:val="4"/>
              <w:widowControl/>
              <w:snapToGrid w:val="0"/>
              <w:spacing w:beforeAutospacing="0" w:afterAutospacing="0" w:line="360" w:lineRule="auto"/>
              <w:jc w:val="center"/>
              <w:rPr>
                <w:rFonts w:ascii="Times New Roman" w:hAnsi="Times New Roman" w:eastAsia="sans-serif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Wilson </w:t>
            </w:r>
            <w:r>
              <w:rPr>
                <w:rFonts w:ascii="Times New Roman" w:hAnsi="Times New Roman" w:eastAsia="sans-serif"/>
                <w:i/>
                <w:color w:val="000000"/>
                <w:sz w:val="21"/>
                <w:szCs w:val="21"/>
              </w:rPr>
              <w:t>et al.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 [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64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>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656DB47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Serum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61E50B6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ICD vs CCD vs ICCD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C599AED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TMAO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D3294C4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szCs w:val="21"/>
              </w:rPr>
              <w:t>-</w:t>
            </w:r>
          </w:p>
        </w:tc>
      </w:tr>
      <w:tr w14:paraId="4C6F7FC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B47198D">
            <w:pPr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9D8A8CB">
            <w:pPr>
              <w:pStyle w:val="4"/>
              <w:widowControl/>
              <w:snapToGrid w:val="0"/>
              <w:spacing w:beforeAutospacing="0" w:afterAutospacing="0" w:line="360" w:lineRule="auto"/>
              <w:jc w:val="center"/>
              <w:rPr>
                <w:rFonts w:ascii="Times New Roman" w:hAnsi="Times New Roman" w:eastAsia="sans-serif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Williams </w:t>
            </w:r>
            <w:r>
              <w:rPr>
                <w:rFonts w:ascii="Times New Roman" w:hAnsi="Times New Roman" w:eastAsia="sans-serif"/>
                <w:i/>
                <w:color w:val="000000"/>
                <w:sz w:val="21"/>
                <w:szCs w:val="21"/>
              </w:rPr>
              <w:t>et al.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 [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65</w:t>
            </w: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>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ADE6ABB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Urine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CCEE788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ICD vs CCD vs ICCD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F9E4BB6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Formate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F31F798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szCs w:val="21"/>
              </w:rPr>
              <w:t>-</w:t>
            </w:r>
          </w:p>
        </w:tc>
      </w:tr>
      <w:tr w14:paraId="3990D2C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E647292">
            <w:pPr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D987FC2">
            <w:pPr>
              <w:pStyle w:val="4"/>
              <w:widowControl/>
              <w:snapToGrid w:val="0"/>
              <w:spacing w:beforeAutospacing="0" w:afterAutospacing="0" w:line="360" w:lineRule="auto"/>
              <w:jc w:val="center"/>
              <w:rPr>
                <w:rFonts w:ascii="Times New Roman" w:hAnsi="Times New Roman" w:eastAsia="sans-serif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sans-serif"/>
                <w:color w:val="000000"/>
                <w:sz w:val="21"/>
                <w:szCs w:val="21"/>
              </w:rPr>
              <w:t xml:space="preserve">De Preter </w:t>
            </w:r>
            <w:r>
              <w:rPr>
                <w:rFonts w:ascii="Times New Roman" w:hAnsi="Times New Roman" w:eastAsia="sans-serif"/>
                <w:i/>
                <w:color w:val="000000"/>
                <w:sz w:val="21"/>
                <w:szCs w:val="21"/>
              </w:rPr>
              <w:t>et al.</w:t>
            </w: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 xml:space="preserve"> [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66</w:t>
            </w: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>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DE39EA8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Stool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A07C038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ICD vs CCD vs ICCD</w:t>
            </w:r>
          </w:p>
        </w:tc>
        <w:tc>
          <w:tcPr>
            <w:tcW w:w="39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A633218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Individual metabolites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DFD5584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</w:tr>
      <w:tr w14:paraId="111E575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  <w:vMerge w:val="continue"/>
            <w:tcBorders>
              <w:top w:val="nil"/>
              <w:left w:val="nil"/>
              <w:right w:val="nil"/>
              <w:tl2br w:val="nil"/>
              <w:tr2bl w:val="nil"/>
            </w:tcBorders>
            <w:shd w:val="clear" w:color="auto" w:fill="FFFFFF"/>
          </w:tcPr>
          <w:p w14:paraId="7C8570D7">
            <w:pPr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szCs w:val="21"/>
              </w:rPr>
            </w:pPr>
          </w:p>
        </w:tc>
        <w:tc>
          <w:tcPr>
            <w:tcW w:w="2425" w:type="dxa"/>
            <w:tcBorders>
              <w:top w:val="nil"/>
              <w:left w:val="nil"/>
              <w:right w:val="nil"/>
              <w:tl2br w:val="nil"/>
              <w:tr2bl w:val="nil"/>
            </w:tcBorders>
            <w:shd w:val="clear" w:color="auto" w:fill="FFFFFF"/>
          </w:tcPr>
          <w:p w14:paraId="68FDCB3C">
            <w:pPr>
              <w:pStyle w:val="4"/>
              <w:widowControl/>
              <w:snapToGrid w:val="0"/>
              <w:spacing w:beforeAutospacing="0" w:afterAutospacing="0" w:line="36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Jagt </w:t>
            </w:r>
            <w:r>
              <w:rPr>
                <w:rFonts w:ascii="Times New Roman" w:hAnsi="Times New Roman" w:eastAsia="sans-serif"/>
                <w:i/>
                <w:color w:val="000000"/>
                <w:sz w:val="21"/>
                <w:szCs w:val="21"/>
              </w:rPr>
              <w:t>et al.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[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60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]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  <w:tl2br w:val="nil"/>
              <w:tr2bl w:val="nil"/>
            </w:tcBorders>
            <w:shd w:val="clear" w:color="auto" w:fill="FFFFFF"/>
          </w:tcPr>
          <w:p w14:paraId="32003882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Stool</w:t>
            </w:r>
          </w:p>
        </w:tc>
        <w:tc>
          <w:tcPr>
            <w:tcW w:w="2105" w:type="dxa"/>
            <w:tcBorders>
              <w:top w:val="nil"/>
              <w:left w:val="nil"/>
              <w:right w:val="nil"/>
              <w:tl2br w:val="nil"/>
              <w:tr2bl w:val="nil"/>
            </w:tcBorders>
            <w:shd w:val="clear" w:color="auto" w:fill="FFFFFF"/>
          </w:tcPr>
          <w:p w14:paraId="6AB13A34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ICD vs CCD vs ICCD</w:t>
            </w:r>
          </w:p>
        </w:tc>
        <w:tc>
          <w:tcPr>
            <w:tcW w:w="3903" w:type="dxa"/>
            <w:tcBorders>
              <w:top w:val="nil"/>
              <w:left w:val="nil"/>
              <w:right w:val="nil"/>
              <w:tl2br w:val="nil"/>
              <w:tr2bl w:val="nil"/>
            </w:tcBorders>
            <w:shd w:val="clear" w:color="auto" w:fill="FFFFFF"/>
          </w:tcPr>
          <w:p w14:paraId="6D10FC16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sans-serif" w:cs="Times New Roman"/>
                <w:color w:val="000000"/>
                <w:kern w:val="0"/>
                <w:szCs w:val="21"/>
                <w:lang w:bidi="ar"/>
              </w:rPr>
              <w:t>Amino acids</w:t>
            </w:r>
          </w:p>
        </w:tc>
        <w:tc>
          <w:tcPr>
            <w:tcW w:w="2193" w:type="dxa"/>
            <w:tcBorders>
              <w:top w:val="nil"/>
              <w:left w:val="nil"/>
              <w:right w:val="nil"/>
              <w:tl2br w:val="nil"/>
              <w:tr2bl w:val="nil"/>
            </w:tcBorders>
            <w:shd w:val="clear" w:color="auto" w:fill="FFFFFF"/>
          </w:tcPr>
          <w:p w14:paraId="27D6A4B7">
            <w:pPr>
              <w:widowControl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-</w:t>
            </w:r>
          </w:p>
        </w:tc>
      </w:tr>
    </w:tbl>
    <w:p w14:paraId="408BA92A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Note: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</w:rPr>
        <w:t>↑ denotes a significantly higher concentration; ↓ denotes a significantly lower concentration; - indicates no significant difference between groups. ICD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, </w:t>
      </w:r>
      <w:r>
        <w:rPr>
          <w:rFonts w:ascii="Times New Roman" w:hAnsi="Times New Roman" w:cs="Times New Roman"/>
          <w:sz w:val="24"/>
        </w:rPr>
        <w:t>ileal Crohn's disease; CCD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, </w:t>
      </w:r>
      <w:r>
        <w:rPr>
          <w:rFonts w:ascii="Times New Roman" w:hAnsi="Times New Roman" w:cs="Times New Roman"/>
          <w:sz w:val="24"/>
        </w:rPr>
        <w:t>colonic Crohn's disease; ICCD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, </w:t>
      </w:r>
      <w:r>
        <w:rPr>
          <w:rFonts w:ascii="Times New Roman" w:hAnsi="Times New Roman" w:cs="Times New Roman"/>
          <w:sz w:val="24"/>
        </w:rPr>
        <w:t>ileocolonic Crohn's disease; HCs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, </w:t>
      </w:r>
      <w:r>
        <w:rPr>
          <w:rFonts w:ascii="Times New Roman" w:hAnsi="Times New Roman" w:cs="Times New Roman"/>
          <w:sz w:val="24"/>
        </w:rPr>
        <w:t>healthy controls; UA/Cr</w:t>
      </w:r>
      <w:r>
        <w:rPr>
          <w:rFonts w:hint="eastAsia" w:ascii="Times New Roman" w:hAnsi="Times New Roman" w:cs="Times New Roman"/>
          <w:sz w:val="24"/>
          <w:lang w:val="en-US" w:eastAsia="zh-CN"/>
        </w:rPr>
        <w:t>,</w:t>
      </w:r>
      <w:r>
        <w:rPr>
          <w:rFonts w:ascii="Times New Roman" w:hAnsi="Times New Roman" w:cs="Times New Roman"/>
          <w:sz w:val="24"/>
        </w:rPr>
        <w:t xml:space="preserve"> uric acid to creatinine ratio;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TMAO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, </w:t>
      </w:r>
      <w:r>
        <w:rPr>
          <w:rFonts w:ascii="Times New Roman" w:hAnsi="Times New Roman" w:cs="Times New Roman"/>
          <w:sz w:val="24"/>
        </w:rPr>
        <w:t>trimethylamine N-oxide.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3D4843"/>
    <w:rsid w:val="00144CEE"/>
    <w:rsid w:val="00204591"/>
    <w:rsid w:val="00572D12"/>
    <w:rsid w:val="0078016F"/>
    <w:rsid w:val="00F5025A"/>
    <w:rsid w:val="04C20741"/>
    <w:rsid w:val="053D770F"/>
    <w:rsid w:val="176A36E3"/>
    <w:rsid w:val="1B1945B8"/>
    <w:rsid w:val="31EE62A5"/>
    <w:rsid w:val="400E6CE7"/>
    <w:rsid w:val="4969753A"/>
    <w:rsid w:val="4FEB6651"/>
    <w:rsid w:val="743D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312</Words>
  <Characters>1504</Characters>
  <Lines>153</Lines>
  <Paragraphs>142</Paragraphs>
  <TotalTime>15</TotalTime>
  <ScaleCrop>false</ScaleCrop>
  <LinksUpToDate>false</LinksUpToDate>
  <CharactersWithSpaces>1697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2026-04-05T18:57:00Z</dcterms:created>
  <dc:creator>Huang Jieqing</dc:creator>
  <cp:lastModifiedBy>Huang Jieqing</cp:lastModifiedBy>
  <dcterms:modified xsi:type="dcterms:W3CDTF">2026-05-01T19:57:06Z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38B8BBD0727A443586203A59939BEE37_13</vt:lpwstr>
  </property>
  <property fmtid="{D5CDD505-2E9C-101B-9397-08002B2CF9AE}" pid="4" name="KSOTemplateDocerSaveRecord">
    <vt:lpwstr>eyJoZGlkIjoiMzQ0MzhiMGI1YWE4YzNhOGI0MTc1NWFlZTc3OGVjMzEiLCJ1c2VySWQiOiIxMDg2NjI3NTE5In0=</vt:lpwstr>
  </property>
</Properties>
</file>