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/>
        <w:rPr>
          <w:rFonts w:ascii="Times New Roman" w:hAnsi="Times New Roman" w:cs="Times New Roman" w:hint="eastAsia"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upplementary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Comparison of </w:t>
      </w:r>
      <w:r>
        <w:rPr>
          <w:rFonts w:cs="Times New Roman" w:hint="eastAsia" w:ascii="Times New Roman" w:hAnsi="Times New Roman"/>
          <w:sz w:val="24"/>
          <w:szCs w:val="24"/>
        </w:rPr>
        <w:t>c</w:t>
      </w:r>
      <w:r>
        <w:rPr>
          <w:rFonts w:cs="Times New Roman" w:ascii="Times New Roman" w:hAnsi="Times New Roman"/>
          <w:sz w:val="24"/>
          <w:szCs w:val="24"/>
        </w:rPr>
        <w:t xml:space="preserve">linical </w:t>
      </w:r>
      <w:r>
        <w:rPr>
          <w:rFonts w:cs="Times New Roman" w:hint="eastAsia" w:ascii="Times New Roman" w:hAnsi="Times New Roman"/>
          <w:sz w:val="24"/>
          <w:szCs w:val="24"/>
        </w:rPr>
        <w:t>c</w:t>
      </w:r>
      <w:r>
        <w:rPr>
          <w:rFonts w:cs="Times New Roman" w:ascii="Times New Roman" w:hAnsi="Times New Roman"/>
          <w:sz w:val="24"/>
          <w:szCs w:val="24"/>
        </w:rPr>
        <w:t>haracteristics and CT-</w:t>
      </w:r>
      <w:r>
        <w:rPr>
          <w:rFonts w:cs="Times New Roman" w:hint="eastAsia" w:ascii="Times New Roman" w:hAnsi="Times New Roman"/>
          <w:sz w:val="24"/>
          <w:szCs w:val="24"/>
        </w:rPr>
        <w:t>d</w:t>
      </w:r>
      <w:r>
        <w:rPr>
          <w:rFonts w:cs="Times New Roman" w:ascii="Times New Roman" w:hAnsi="Times New Roman"/>
          <w:sz w:val="24"/>
          <w:szCs w:val="24"/>
        </w:rPr>
        <w:t xml:space="preserve">erived </w:t>
      </w:r>
      <w:r>
        <w:rPr>
          <w:rFonts w:cs="Times New Roman" w:hint="eastAsia" w:ascii="Times New Roman" w:hAnsi="Times New Roman"/>
          <w:sz w:val="24"/>
          <w:szCs w:val="24"/>
        </w:rPr>
        <w:t>p</w:t>
      </w:r>
      <w:r>
        <w:rPr>
          <w:rFonts w:cs="Times New Roman" w:ascii="Times New Roman" w:hAnsi="Times New Roman"/>
          <w:sz w:val="24"/>
          <w:szCs w:val="24"/>
        </w:rPr>
        <w:t xml:space="preserve">arameters </w:t>
      </w:r>
      <w:r>
        <w:rPr>
          <w:rFonts w:cs="Times New Roman" w:hint="eastAsia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cross </w:t>
      </w:r>
      <w:r>
        <w:rPr>
          <w:rFonts w:cs="Times New Roman" w:hint="eastAsia" w:ascii="Times New Roman" w:hAnsi="Times New Roman"/>
          <w:sz w:val="24"/>
          <w:szCs w:val="24"/>
        </w:rPr>
        <w:t>d</w:t>
      </w:r>
      <w:r>
        <w:rPr>
          <w:rFonts w:cs="Times New Roman" w:ascii="Times New Roman" w:hAnsi="Times New Roman"/>
          <w:sz w:val="24"/>
          <w:szCs w:val="24"/>
        </w:rPr>
        <w:t xml:space="preserve">ifferent </w:t>
      </w:r>
      <w:r>
        <w:rPr>
          <w:rFonts w:cs="Times New Roman" w:hint="eastAsia" w:ascii="Times New Roman" w:hAnsi="Times New Roman"/>
          <w:sz w:val="24"/>
          <w:szCs w:val="24"/>
        </w:rPr>
        <w:t>h</w:t>
      </w:r>
      <w:r>
        <w:rPr>
          <w:rFonts w:cs="Times New Roman" w:ascii="Times New Roman" w:hAnsi="Times New Roman"/>
          <w:sz w:val="24"/>
          <w:szCs w:val="24"/>
        </w:rPr>
        <w:t xml:space="preserve">epatic </w:t>
      </w:r>
      <w:r>
        <w:rPr>
          <w:rFonts w:cs="Times New Roman" w:hint="eastAsia" w:ascii="Times New Roman" w:hAnsi="Times New Roman"/>
          <w:sz w:val="24"/>
          <w:szCs w:val="24"/>
        </w:rPr>
        <w:t>s</w:t>
      </w:r>
      <w:r>
        <w:rPr>
          <w:rFonts w:cs="Times New Roman" w:ascii="Times New Roman" w:hAnsi="Times New Roman"/>
          <w:sz w:val="24"/>
          <w:szCs w:val="24"/>
        </w:rPr>
        <w:t>teatosis</w:t>
      </w:r>
      <w:r>
        <w:rPr>
          <w:rFonts w:cs="Times New Roman" w:hint="eastAsia" w:ascii="Times New Roman" w:hAnsi="Times New Roman"/>
          <w:sz w:val="24"/>
          <w:szCs w:val="24"/>
        </w:rPr>
        <w:t xml:space="preserve"> g</w:t>
      </w:r>
      <w:r>
        <w:rPr>
          <w:rFonts w:cs="Times New Roman" w:ascii="Times New Roman" w:hAnsi="Times New Roman"/>
          <w:sz w:val="24"/>
          <w:szCs w:val="24"/>
        </w:rPr>
        <w:t>rades</w:t>
      </w:r>
    </w:p>
    <w:tbl>
      <w:tblPr>
        <w:tblStyle w:val="aa"/>
        <w:tblW w:w="1301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843"/>
        <w:gridCol w:w="1516"/>
        <w:gridCol w:w="1395"/>
        <w:gridCol w:w="893"/>
        <w:gridCol w:w="1395"/>
        <w:gridCol w:w="1397"/>
        <w:gridCol w:w="892"/>
        <w:gridCol w:w="1396"/>
        <w:gridCol w:w="1397"/>
        <w:gridCol w:w="891"/>
      </w:tblGrid>
      <w:tr>
        <w:trPr>
          <w:trHeight w:val="284" w:hRule="exact"/>
        </w:trPr>
        <w:tc>
          <w:tcPr>
            <w:tcW w:w="184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Variables</w:t>
            </w:r>
          </w:p>
        </w:tc>
        <w:tc>
          <w:tcPr>
            <w:tcW w:w="3804" w:type="dxa"/>
            <w:gridSpan w:val="3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S0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vs.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≥ S1</w:t>
            </w:r>
          </w:p>
        </w:tc>
        <w:tc>
          <w:tcPr>
            <w:tcW w:w="3684" w:type="dxa"/>
            <w:gridSpan w:val="3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S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0-1 vs.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≥ S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3684" w:type="dxa"/>
            <w:gridSpan w:val="3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S0-2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vs.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S3</w:t>
            </w:r>
          </w:p>
        </w:tc>
      </w:tr>
      <w:tr>
        <w:trPr>
          <w:trHeight w:val="284" w:hRule="exact"/>
        </w:trPr>
        <w:tc>
          <w:tcPr>
            <w:tcW w:w="184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516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N = 32</w:t>
            </w:r>
          </w:p>
        </w:tc>
        <w:tc>
          <w:tcPr>
            <w:tcW w:w="1395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N = 289</w:t>
            </w:r>
          </w:p>
        </w:tc>
        <w:tc>
          <w:tcPr>
            <w:tcW w:w="893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i/>
                <w:i/>
                <w:iCs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i/>
                <w:iCs/>
                <w:kern w:val="0"/>
                <w:sz w:val="24"/>
                <w:szCs w:val="24"/>
                <w:lang w:val="en-US" w:eastAsia="zh-CN" w:bidi="ar-SA"/>
              </w:rPr>
              <w:t>p</w:t>
            </w:r>
          </w:p>
        </w:tc>
        <w:tc>
          <w:tcPr>
            <w:tcW w:w="1395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N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=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11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39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N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=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203</w:t>
            </w:r>
          </w:p>
        </w:tc>
        <w:tc>
          <w:tcPr>
            <w:tcW w:w="892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i/>
                <w:i/>
                <w:iCs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i/>
                <w:iCs/>
                <w:kern w:val="0"/>
                <w:sz w:val="24"/>
                <w:szCs w:val="24"/>
                <w:lang w:val="en-US" w:eastAsia="zh-CN" w:bidi="ar-SA"/>
              </w:rPr>
              <w:t>p</w:t>
            </w:r>
          </w:p>
        </w:tc>
        <w:tc>
          <w:tcPr>
            <w:tcW w:w="1396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N = 233</w:t>
            </w:r>
          </w:p>
        </w:tc>
        <w:tc>
          <w:tcPr>
            <w:tcW w:w="139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N = 88</w:t>
            </w:r>
          </w:p>
        </w:tc>
        <w:tc>
          <w:tcPr>
            <w:tcW w:w="891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i/>
                <w:i/>
                <w:iCs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i/>
                <w:iCs/>
                <w:kern w:val="0"/>
                <w:sz w:val="24"/>
                <w:szCs w:val="24"/>
                <w:lang w:val="en-US" w:eastAsia="zh-CN" w:bidi="ar-SA"/>
              </w:rPr>
              <w:t>p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Age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, year</w:t>
            </w:r>
          </w:p>
        </w:tc>
        <w:tc>
          <w:tcPr>
            <w:tcW w:w="1516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29.5 (15.3)</w:t>
            </w:r>
          </w:p>
        </w:tc>
        <w:tc>
          <w:tcPr>
            <w:tcW w:w="1395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31.0 (11.0)</w:t>
            </w:r>
          </w:p>
        </w:tc>
        <w:tc>
          <w:tcPr>
            <w:tcW w:w="893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0.868</w:t>
            </w:r>
          </w:p>
        </w:tc>
        <w:tc>
          <w:tcPr>
            <w:tcW w:w="1395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2.0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(12.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0.0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.0)</w:t>
            </w:r>
          </w:p>
        </w:tc>
        <w:tc>
          <w:tcPr>
            <w:tcW w:w="892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220</w:t>
            </w:r>
          </w:p>
        </w:tc>
        <w:tc>
          <w:tcPr>
            <w:tcW w:w="1396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32.0 (11.0)</w:t>
            </w:r>
          </w:p>
        </w:tc>
        <w:tc>
          <w:tcPr>
            <w:tcW w:w="1397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29.0 (12.0)</w:t>
            </w:r>
          </w:p>
        </w:tc>
        <w:tc>
          <w:tcPr>
            <w:tcW w:w="891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0.031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Gender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0.002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040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0.570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ind w:firstLineChars="100" w:startChars="0" w:endChars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Male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 (0.9)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107 (33.3)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32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78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24.3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82 (25.5)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28 (8.7)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ind w:firstLineChars="100" w:startChars="0" w:endChars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29 (9.0)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182 (56.7)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86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26.8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38.9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151 (47.0)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60 (18.7)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BMI, kg/m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34.9 (7.0)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37.9 (8.1)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0.019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5.6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(7.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9.0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(8.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37.2 (8.4)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39.0 (7.8)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0.033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Hypertension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0.009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693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0.627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ind w:firstLineChars="100" w:startChars="0" w:endChars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Absence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29 (9.0)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198 (61.7)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85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26.5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142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44.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163 (50.8)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64 (19.9)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ind w:firstLineChars="100" w:startChars="0" w:endChars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Presence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 (0.9)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91 (28.3)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33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61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19.0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70 (21.8)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24 (7.5)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AGM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0.010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0.465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ind w:firstLineChars="100" w:startChars="0" w:endChars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Absence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25 (7.8)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157 (48.9)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76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23.7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33.0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135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42.1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14.6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ind w:firstLineChars="100" w:startChars="0" w:endChars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Presence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7 (2.2)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132 (41.1)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42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13.1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97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30.2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98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30.5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41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12.8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PLT, 10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vertAlign w:val="superscript"/>
                <w:lang w:val="en-US" w:eastAsia="zh-CN" w:bidi="ar-SA"/>
              </w:rPr>
              <w:t>9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281.5 (134.0)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264.0 (71.0)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0.341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263.0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93.8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26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9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65.0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626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271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82.5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258.5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63.8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411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ALT, U/L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16.2 (8.3)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40.1 (40.4)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26.1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21.4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49.4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44.3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33.7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30.6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65.0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55.4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AST, U/L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16.2 (2.8)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25.8 (19.7)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8.6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8.9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30.2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24.3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20.8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14.0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35.7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31.4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TBil, umol/L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9.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(4.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(5.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035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10.2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(5.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645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10.3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(5.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869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DBil, umol/L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1.9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(1.2)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1.9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2.1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(1.2)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28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FBG, mmol/L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4.6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(0.7)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5.1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(1.6)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9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TG, mmol/L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(0.8)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1.7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(1.2)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1.7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1.7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151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TC, mmol/L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4.3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4.8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(1.1)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028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4.8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88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HDL-C, mmol/L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(0.3)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049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1.1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(0.4)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(0.3)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001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(0.3)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823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LDL-C, mmol/L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2.6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(1.2)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(1.0)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9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1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(1.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83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CRP, mg/L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(7.1)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268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4.9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6.9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6.2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7.5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(7.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0.002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SMI, cm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/m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43.9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48.7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11.4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45.7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12.7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48.8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0.024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48.0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12.0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48.6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10.2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0.657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CT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vertAlign w:val="subscript"/>
                <w:lang w:val="en-US" w:eastAsia="zh-CN" w:bidi="ar-SA"/>
              </w:rPr>
              <w:t>Liver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,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 HU</w:t>
            </w:r>
          </w:p>
        </w:tc>
        <w:tc>
          <w:tcPr>
            <w:tcW w:w="151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60.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3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(7.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4.6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18.9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5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51.6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14.5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29.3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15.1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43.5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20.3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23.5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19.5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</w:tr>
      <w:tr>
        <w:trPr>
          <w:trHeight w:val="284" w:hRule="exact"/>
        </w:trPr>
        <w:tc>
          <w:tcPr>
            <w:tcW w:w="1843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CT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vertAlign w:val="subscript"/>
                <w:lang w:val="en-US" w:eastAsia="zh-CN" w:bidi="ar-SA"/>
              </w:rPr>
              <w:t>L/S</w:t>
            </w:r>
          </w:p>
        </w:tc>
        <w:tc>
          <w:tcPr>
            <w:tcW w:w="1516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1.2 (0.2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5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0.7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3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5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1.0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0.6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0.3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2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96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0.9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39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 xml:space="preserve">0.5 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0.4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91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eastAsia="等线" w:cs="Times New Roman" w:hint="eastAsia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&lt;</w:t>
            </w:r>
            <w:r>
              <w:rPr>
                <w:rFonts w:eastAsia="等线" w:cs="Times New Roman" w:ascii="Times New Roman" w:hAnsi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</w:tr>
    </w:tbl>
    <w:p>
      <w:pPr>
        <w:pStyle w:val="Normal"/>
        <w:rPr>
          <w:rFonts w:ascii="Times New Roman" w:hAnsi="Times New Roman" w:cs="Times New Roman" w:hint="eastAsia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 w:hint="eastAsia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cs="Times New Roman" w:hint="eastAsia"/>
        </w:rPr>
      </w:pPr>
      <w:r>
        <w:rPr>
          <w:rFonts w:ascii="Times New Roman" w:hAnsi="Times New Roman"/>
        </w:rPr>
        <w:t>Data are presented as med</w:t>
      </w:r>
      <w:r>
        <w:rPr>
          <w:rFonts w:cs="Times New Roman" w:ascii="Times New Roman" w:hAnsi="Times New Roman"/>
        </w:rPr>
        <w:t>ian (interquartile) o</w:t>
      </w:r>
      <w:r>
        <w:rPr>
          <w:rFonts w:ascii="Times New Roman" w:hAnsi="Times New Roman"/>
        </w:rPr>
        <w:t>r n (%).</w:t>
      </w:r>
      <w:r>
        <w:rPr>
          <w:rFonts w:hint="eastAsia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MASH</w:t>
      </w:r>
      <w:r>
        <w:rPr>
          <w:rFonts w:cs="Times New Roman" w:hint="eastAsia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metabolic dysfunction-associated steatohepatitis</w:t>
      </w:r>
      <w:r>
        <w:rPr>
          <w:rFonts w:cs="Times New Roman" w:hint="eastAsia" w:ascii="Times New Roman" w:hAnsi="Times New Roman"/>
        </w:rPr>
        <w:t xml:space="preserve">. </w:t>
      </w:r>
      <w:r>
        <w:rPr>
          <w:rFonts w:cs="Times New Roman" w:ascii="Times New Roman" w:hAnsi="Times New Roman"/>
        </w:rPr>
        <w:t>BMI</w:t>
      </w:r>
      <w:r>
        <w:rPr>
          <w:rFonts w:cs="Times New Roman" w:hint="eastAsia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body mass index</w:t>
      </w:r>
      <w:r>
        <w:rPr>
          <w:rFonts w:hint="eastAsia" w:ascii="Times New Roman" w:hAnsi="Times New Roman"/>
        </w:rPr>
        <w:t xml:space="preserve">. AGM, </w:t>
      </w:r>
      <w:r>
        <w:rPr>
          <w:rFonts w:cs="Times New Roman" w:hint="eastAsia" w:ascii="Times New Roman" w:hAnsi="Times New Roman"/>
        </w:rPr>
        <w:t xml:space="preserve">abnormal glucose metabolism. </w:t>
      </w:r>
      <w:r>
        <w:rPr>
          <w:rFonts w:cs="Times New Roman" w:ascii="Times New Roman" w:hAnsi="Times New Roman"/>
        </w:rPr>
        <w:t>PLT</w:t>
      </w:r>
      <w:r>
        <w:rPr>
          <w:rFonts w:cs="Times New Roman" w:hint="eastAsia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Platelet</w:t>
      </w:r>
      <w:r>
        <w:rPr>
          <w:rFonts w:cs="Times New Roman" w:hint="eastAsia" w:ascii="Times New Roman" w:hAnsi="Times New Roman"/>
        </w:rPr>
        <w:t>. ALT, alanine aminotransferase. AST, aspartate aminotransferase. TBil, total bilirubin. DBil, d</w:t>
      </w:r>
      <w:r>
        <w:rPr>
          <w:rFonts w:cs="Times New Roman" w:ascii="Times New Roman" w:hAnsi="Times New Roman"/>
        </w:rPr>
        <w:t xml:space="preserve">irect </w:t>
      </w:r>
      <w:r>
        <w:rPr>
          <w:rFonts w:cs="Times New Roman" w:hint="eastAsia" w:ascii="Times New Roman" w:hAnsi="Times New Roman"/>
        </w:rPr>
        <w:t>b</w:t>
      </w:r>
      <w:r>
        <w:rPr>
          <w:rFonts w:cs="Times New Roman" w:ascii="Times New Roman" w:hAnsi="Times New Roman"/>
        </w:rPr>
        <w:t>ilirubin</w:t>
      </w:r>
      <w:r>
        <w:rPr>
          <w:rFonts w:cs="Times New Roman" w:hint="eastAsia" w:ascii="Times New Roman" w:hAnsi="Times New Roman"/>
        </w:rPr>
        <w:t xml:space="preserve">. TG, triglyceride. TC, total cholesterol. </w:t>
      </w:r>
      <w:r>
        <w:rPr>
          <w:rFonts w:cs="Times New Roman" w:ascii="Times New Roman" w:hAnsi="Times New Roman"/>
        </w:rPr>
        <w:t>FBG</w:t>
      </w:r>
      <w:r>
        <w:rPr>
          <w:rFonts w:cs="Times New Roman" w:hint="eastAsia" w:ascii="Times New Roman" w:hAnsi="Times New Roman"/>
        </w:rPr>
        <w:t>,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hint="eastAsia" w:ascii="Times New Roman" w:hAnsi="Times New Roman"/>
        </w:rPr>
        <w:t>f</w:t>
      </w:r>
      <w:r>
        <w:rPr>
          <w:rFonts w:cs="Times New Roman" w:ascii="Times New Roman" w:hAnsi="Times New Roman"/>
        </w:rPr>
        <w:t xml:space="preserve">asting </w:t>
      </w:r>
      <w:r>
        <w:rPr>
          <w:rFonts w:cs="Times New Roman" w:hint="eastAsia" w:ascii="Times New Roman" w:hAnsi="Times New Roman"/>
        </w:rPr>
        <w:t>blood g</w:t>
      </w:r>
      <w:r>
        <w:rPr>
          <w:rFonts w:cs="Times New Roman" w:ascii="Times New Roman" w:hAnsi="Times New Roman"/>
        </w:rPr>
        <w:t>lucose</w:t>
      </w:r>
      <w:r>
        <w:rPr>
          <w:rFonts w:cs="Times New Roman" w:hint="eastAsia" w:ascii="Times New Roman" w:hAnsi="Times New Roman"/>
        </w:rPr>
        <w:t>. HDL-C, high-density lipoprotein cholesterol. LDL-C, low-density lipoprotein cholesterol. CRP, C-reactive protein. SMI, skeletal muscle index. CT</w:t>
      </w:r>
      <w:r>
        <w:rPr>
          <w:rFonts w:cs="Times New Roman" w:hint="eastAsia" w:ascii="Times New Roman" w:hAnsi="Times New Roman"/>
          <w:vertAlign w:val="subscript"/>
        </w:rPr>
        <w:t>Liver</w:t>
      </w:r>
      <w:r>
        <w:rPr>
          <w:rFonts w:cs="Times New Roman" w:hint="eastAsia" w:ascii="Times New Roman" w:hAnsi="Times New Roman"/>
        </w:rPr>
        <w:t>,</w:t>
      </w:r>
      <w:r>
        <w:rPr>
          <w:rFonts w:cs="Times New Roman" w:ascii="Times New Roman" w:hAnsi="Times New Roman"/>
        </w:rPr>
        <w:t xml:space="preserve"> liver CT attenuation value</w:t>
      </w:r>
      <w:r>
        <w:rPr>
          <w:rFonts w:cs="Times New Roman" w:hint="eastAsia" w:ascii="Times New Roman" w:hAnsi="Times New Roman"/>
        </w:rPr>
        <w:t>.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hint="eastAsia" w:ascii="Times New Roman" w:hAnsi="Times New Roman"/>
        </w:rPr>
        <w:t xml:space="preserve">HU, </w:t>
      </w:r>
      <w:r>
        <w:rPr>
          <w:rFonts w:cs="Times New Roman" w:ascii="Times New Roman" w:hAnsi="Times New Roman"/>
        </w:rPr>
        <w:t>Hounsfield units</w:t>
      </w:r>
      <w:r>
        <w:rPr>
          <w:rFonts w:cs="Times New Roman" w:hint="eastAsia" w:ascii="Times New Roman" w:hAnsi="Times New Roman"/>
        </w:rPr>
        <w:t>. CT</w:t>
      </w:r>
      <w:r>
        <w:rPr>
          <w:rFonts w:cs="Times New Roman" w:ascii="Times New Roman" w:hAnsi="Times New Roman"/>
          <w:vertAlign w:val="subscript"/>
        </w:rPr>
        <w:t>L/S</w:t>
      </w:r>
      <w:r>
        <w:rPr>
          <w:rFonts w:cs="Times New Roman" w:hint="eastAsia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liver to spleen CT attenuation ratio</w:t>
      </w:r>
      <w:r>
        <w:rPr>
          <w:rFonts w:cs="Times New Roman" w:hint="eastAsia" w:ascii="Times New Roman" w:hAnsi="Times New Roman"/>
        </w:rPr>
        <w:t>. OR, Odds Ratio.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4" w:h="11909"/>
      <w:pgMar w:left="1800" w:right="1800" w:gutter="0" w:header="0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等线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等线 Ligh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68812750"/>
    </w:sdtPr>
    <w:sdtContent>
      <w:p>
        <w:pPr>
          <w:pStyle w:val="Footer"/>
          <w:jc w:val="center"/>
          <w:rPr>
            <w:rFonts w:hint="eastAsia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>
        <w:rFonts w:hint="eastAsia"/>
      </w:rPr>
    </w:pPr>
    <w:r>
      <w:rPr>
        <w:rFonts w:hint="eastAsi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68812750"/>
    </w:sdtPr>
    <w:sdtContent>
      <w:p>
        <w:pPr>
          <w:pStyle w:val="Footer"/>
          <w:jc w:val="center"/>
          <w:rPr>
            <w:rFonts w:hint="eastAsia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>
        <w:rFonts w:hint="eastAsia"/>
      </w:rPr>
    </w:pPr>
    <w:r>
      <w:rPr>
        <w:rFonts w:hint="eastAsia"/>
      </w:rPr>
    </w:r>
  </w:p>
</w:ftr>
</file>

<file path=word/settings.xml><?xml version="1.0" encoding="utf-8"?>
<w:settings xmlns:w="http://schemas.openxmlformats.org/wordprocessingml/2006/main">
  <w:zoom w:percent="75"/>
  <w:defaultTabStop w:val="420"/>
  <w:autoHyphenation w:val="true"/>
  <w:hyphenationZone w:val="0"/>
  <w:compat>
    <w:doNotExpandShiftReturn/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等线" w:cs="" w:asciiTheme="minorHAnsi" w:cstheme="minorBidi" w:eastAsiaTheme="minorEastAsia" w:hAnsiTheme="minorHAnsi"/>
        <w:kern w:val="2"/>
        <w:sz w:val="21"/>
        <w:szCs w:val="21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0704"/>
    <w:pPr>
      <w:widowControl w:val="false"/>
      <w:bidi w:val="0"/>
      <w:spacing w:before="0" w:after="0"/>
      <w:jc w:val="both"/>
    </w:pPr>
    <w:rPr>
      <w:rFonts w:ascii="等线" w:hAnsi="等线" w:eastAsia="等线" w:cs="" w:asciiTheme="minorHAnsi" w:cstheme="minorBidi" w:eastAsiaTheme="minorEastAsia" w:hAnsiTheme="minorHAnsi"/>
      <w:color w:val="auto"/>
      <w:kern w:val="2"/>
      <w:sz w:val="21"/>
      <w:szCs w:val="21"/>
      <w:lang w:val="en-US" w:eastAsia="zh-CN" w:bidi="ar-SA"/>
    </w:rPr>
  </w:style>
  <w:style w:type="paragraph" w:styleId="Heading1">
    <w:name w:val="heading 1"/>
    <w:next w:val="NoSpacing"/>
    <w:link w:val="1"/>
    <w:autoRedefine/>
    <w:uiPriority w:val="9"/>
    <w:qFormat/>
    <w:rsid w:val="00f16136"/>
    <w:pPr>
      <w:keepNext w:val="true"/>
      <w:keepLines/>
      <w:widowControl/>
      <w:bidi w:val="0"/>
      <w:snapToGrid w:val="false"/>
      <w:spacing w:lineRule="auto" w:line="360" w:before="0" w:after="0"/>
      <w:jc w:val="start"/>
      <w:outlineLvl w:val="0"/>
    </w:pPr>
    <w:rPr>
      <w:rFonts w:ascii="Times New Roman" w:hAnsi="Times New Roman" w:eastAsia="宋体" w:cs="" w:cstheme="minorBidi"/>
      <w:bCs/>
      <w:color w:val="auto"/>
      <w:kern w:val="2"/>
      <w:sz w:val="24"/>
      <w:szCs w:val="4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标题 1 字符"/>
    <w:basedOn w:val="DefaultParagraphFont"/>
    <w:link w:val="Heading1"/>
    <w:uiPriority w:val="9"/>
    <w:qFormat/>
    <w:rsid w:val="00f16136"/>
    <w:rPr>
      <w:rFonts w:ascii="Times New Roman" w:hAnsi="Times New Roman" w:eastAsia="宋体"/>
      <w:bCs/>
      <w:kern w:val="2"/>
      <w:sz w:val="24"/>
      <w:szCs w:val="44"/>
    </w:rPr>
  </w:style>
  <w:style w:type="character" w:styleId="11" w:customStyle="1">
    <w:name w:val="文件1 字符"/>
    <w:basedOn w:val="DefaultParagraphFont"/>
    <w:link w:val="12"/>
    <w:qFormat/>
    <w:rsid w:val="00ba619c"/>
    <w:rPr>
      <w:rFonts w:ascii="Times New Roman" w:hAnsi="Times New Roman" w:eastAsia="宋体" w:cs="Times New Roman"/>
      <w:kern w:val="0"/>
      <w:sz w:val="24"/>
      <w:szCs w:val="20"/>
      <w:lang w:eastAsia="en-US"/>
    </w:rPr>
  </w:style>
  <w:style w:type="character" w:styleId="Style13" w:customStyle="1">
    <w:name w:val="页眉 字符"/>
    <w:basedOn w:val="DefaultParagraphFont"/>
    <w:link w:val="Header"/>
    <w:uiPriority w:val="99"/>
    <w:qFormat/>
    <w:rsid w:val="0079429c"/>
    <w:rPr>
      <w:sz w:val="18"/>
      <w:szCs w:val="18"/>
    </w:rPr>
  </w:style>
  <w:style w:type="character" w:styleId="Style14" w:customStyle="1">
    <w:name w:val="页脚 字符"/>
    <w:basedOn w:val="DefaultParagraphFont"/>
    <w:link w:val="Footer"/>
    <w:uiPriority w:val="99"/>
    <w:qFormat/>
    <w:rsid w:val="0079429c"/>
    <w:rPr>
      <w:sz w:val="18"/>
      <w:szCs w:val="18"/>
    </w:rPr>
  </w:style>
  <w:style w:type="character" w:styleId="Style15" w:customStyle="1">
    <w:name w:val="批注框文本 字符"/>
    <w:basedOn w:val="DefaultParagraphFont"/>
    <w:link w:val="BalloonText"/>
    <w:uiPriority w:val="99"/>
    <w:semiHidden/>
    <w:qFormat/>
    <w:rsid w:val="00496289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0689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70689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16136"/>
    <w:pPr>
      <w:widowControl w:val="false"/>
      <w:bidi w:val="0"/>
      <w:spacing w:before="0" w:after="0"/>
      <w:jc w:val="both"/>
    </w:pPr>
    <w:rPr>
      <w:rFonts w:ascii="等线" w:hAnsi="等线" w:eastAsia="等线" w:cs="" w:asciiTheme="minorHAnsi" w:cstheme="minorBidi" w:eastAsiaTheme="minorEastAsia" w:hAnsiTheme="minorHAnsi"/>
      <w:color w:val="auto"/>
      <w:kern w:val="2"/>
      <w:sz w:val="21"/>
      <w:szCs w:val="21"/>
      <w:lang w:val="en-US" w:eastAsia="zh-CN" w:bidi="ar-SA"/>
    </w:rPr>
  </w:style>
  <w:style w:type="paragraph" w:styleId="12" w:customStyle="1">
    <w:name w:val="文件1"/>
    <w:next w:val="NoSpacing"/>
    <w:link w:val="11"/>
    <w:qFormat/>
    <w:rsid w:val="00ba619c"/>
    <w:pPr>
      <w:widowControl/>
      <w:bidi w:val="0"/>
      <w:snapToGrid w:val="false"/>
      <w:spacing w:lineRule="auto" w:line="360" w:before="0" w:after="0"/>
      <w:jc w:val="both"/>
    </w:pPr>
    <w:rPr>
      <w:rFonts w:ascii="Times New Roman" w:hAnsi="Times New Roman" w:eastAsia="宋体" w:cs="Times New Roman"/>
      <w:color w:val="auto"/>
      <w:kern w:val="0"/>
      <w:sz w:val="24"/>
      <w:szCs w:val="20"/>
      <w:lang w:eastAsia="en-US" w:val="en-US" w:bidi="ar-SA"/>
    </w:rPr>
  </w:style>
  <w:style w:type="paragraph" w:styleId="13" w:customStyle="1">
    <w:name w:val="文本1"/>
    <w:basedOn w:val="Normal"/>
    <w:next w:val="NoSpacing"/>
    <w:qFormat/>
    <w:rsid w:val="00064f92"/>
    <w:pPr>
      <w:spacing w:lineRule="auto" w:line="360"/>
    </w:pPr>
    <w:rPr>
      <w:rFonts w:ascii="Times New Roman" w:hAnsi="Times New Roman" w:eastAsia="宋体" w:cs="Arial"/>
      <w:kern w:val="0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79429c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Style14"/>
    <w:uiPriority w:val="99"/>
    <w:unhideWhenUsed/>
    <w:rsid w:val="0079429c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96289"/>
    <w:pPr/>
    <w:rPr>
      <w:sz w:val="18"/>
      <w:szCs w:val="18"/>
    </w:rPr>
  </w:style>
  <w:style w:type="paragraph" w:styleId="EndNoteBibliography" w:customStyle="1">
    <w:name w:val="EndNote Bibliography"/>
    <w:qFormat/>
    <w:rsid w:val="00bd0704"/>
    <w:pPr>
      <w:widowControl w:val="false"/>
      <w:bidi w:val="0"/>
      <w:spacing w:before="0" w:after="0"/>
      <w:jc w:val="both"/>
    </w:pPr>
    <w:rPr>
      <w:rFonts w:ascii="等线" w:hAnsi="等线" w:eastAsia="等线" w:cs="等线"/>
      <w:color w:val="000000"/>
      <w:kern w:val="2"/>
      <w:sz w:val="20"/>
      <w:szCs w:val="20"/>
      <w:u w:val="none" w:color="000000"/>
      <w:lang w:val="fr-FR" w:eastAsia="zh-CN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c70689"/>
    <w:pPr>
      <w:widowControl/>
      <w:spacing w:before="240" w:after="120"/>
      <w:jc w:val="start"/>
    </w:pPr>
    <w:rPr>
      <w:rFonts w:eastAsia="等线" w:cs="宋体" w:eastAsiaTheme="minorHAnsi"/>
      <w:b/>
      <w:bCs/>
      <w:kern w:val="0"/>
      <w:sz w:val="20"/>
      <w:szCs w:val="20"/>
    </w:rPr>
  </w:style>
  <w:style w:type="paragraph" w:styleId="TOC11" w:customStyle="1">
    <w:name w:val="TOC 标题1"/>
    <w:basedOn w:val="Heading1"/>
    <w:next w:val="Normal"/>
    <w:autoRedefine/>
    <w:uiPriority w:val="39"/>
    <w:qFormat/>
    <w:rsid w:val="00c70689"/>
    <w:pPr>
      <w:snapToGrid w:val="true"/>
      <w:spacing w:lineRule="auto" w:line="276" w:before="480" w:after="0"/>
      <w:outlineLvl w:val="9"/>
    </w:pPr>
    <w:rPr>
      <w:rFonts w:ascii="等线 Light" w:hAnsi="等线 Light" w:eastAsia="等线 Light" w:cs="" w:asciiTheme="majorHAnsi" w:cstheme="majorBidi" w:eastAsiaTheme="majorEastAsia" w:hAnsiTheme="majorHAnsi"/>
      <w:b/>
      <w:color w:themeColor="accent1" w:themeShade="bf" w:val="2F5496"/>
      <w:kern w:val="0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2"/>
    <w:uiPriority w:val="39"/>
    <w:rsid w:val="00da2216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 pitchFamily="0" charset="1"/>
        <a:ea typeface=""/>
        <a:cs typeface=""/>
      </a:majorFont>
      <a:minorFont>
        <a:latin typeface="等线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Application>LibreOffice/25.8.0.4$Windows_X86_64 LibreOffice_project/48f00303701489684e67c38c28aff00cd5929e67</Application>
  <AppVersion>15.0000</AppVersion>
  <Pages>2</Pages>
  <Words>487</Words>
  <Characters>2376</Characters>
  <CharactersWithSpaces>2632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2021-03-18T05:24:00Z</dcterms:created>
  <dc:creator>Administrator</dc:creator>
  <dc:description/>
  <dc:language>en-US</dc:language>
  <cp:lastModifiedBy/>
  <dcterms:modified xsi:type="dcterms:W3CDTF">2026-05-14T09:47:57Z</dcterms:modified>
  <cp:revision>142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