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B20E6F">
      <w:pPr>
        <w:widowControl/>
        <w:spacing w:before="240" w:after="240" w:line="240" w:lineRule="auto"/>
        <w:jc w:val="left"/>
        <w:rPr>
          <w:rFonts w:hint="default" w:ascii="Times New Roman" w:hAnsi="Times New Roman" w:eastAsia="Aptos" w:cs="Times New Roman"/>
          <w:b/>
          <w:bCs/>
          <w:sz w:val="20"/>
          <w:szCs w:val="20"/>
          <w:lang w:val="en-US" w:eastAsia="en-US"/>
          <w14:ligatures w14:val="standardContextual"/>
        </w:rPr>
      </w:pPr>
      <w:r>
        <w:rPr>
          <w:rFonts w:ascii="Times New Roman" w:hAnsi="Times New Roman" w:eastAsia="Aptos" w:cs="Times New Roman"/>
          <w:b/>
          <w:bCs/>
          <w:sz w:val="20"/>
          <w:szCs w:val="20"/>
          <w:lang w:val="en-US" w:eastAsia="en-US"/>
          <w14:ligatures w14:val="standardContextual"/>
        </w:rPr>
        <w:t xml:space="preserve">Title: </w:t>
      </w:r>
      <w:r>
        <w:rPr>
          <w:rFonts w:hint="default" w:ascii="Times New Roman" w:hAnsi="Times New Roman" w:eastAsia="Aptos" w:cs="Times New Roman"/>
          <w:b/>
          <w:bCs/>
          <w:sz w:val="20"/>
          <w:szCs w:val="20"/>
          <w:lang w:val="en-US" w:eastAsia="en-US"/>
          <w14:ligatures w14:val="standardContextual"/>
        </w:rPr>
        <w:t>Meta-analysis: Safety and Efficacy of Ustekinumab in Pediatric Inflammatory Bowel Disease Patients with Anti-TNF Failure</w:t>
      </w:r>
    </w:p>
    <w:p w14:paraId="6BA0B2CE">
      <w:pPr>
        <w:widowControl/>
        <w:spacing w:before="240" w:after="240" w:line="240" w:lineRule="auto"/>
        <w:jc w:val="left"/>
        <w:rPr>
          <w:rFonts w:hint="eastAsia" w:ascii="Times New Roman" w:hAnsi="Times New Roman" w:eastAsia="Aptos" w:cs="Times New Roman"/>
          <w:b/>
          <w:bCs/>
          <w:sz w:val="20"/>
          <w:szCs w:val="20"/>
          <w:lang w:val="en-US" w:eastAsia="zh-CN"/>
          <w14:ligatures w14:val="standardContextual"/>
        </w:rPr>
      </w:pPr>
      <w:r>
        <w:rPr>
          <w:rFonts w:hint="eastAsia" w:ascii="Times New Roman" w:hAnsi="Times New Roman" w:eastAsia="Aptos" w:cs="Times New Roman"/>
          <w:b/>
          <w:bCs/>
          <w:sz w:val="20"/>
          <w:szCs w:val="20"/>
          <w:lang w:val="en-US" w:eastAsia="zh-CN"/>
          <w14:ligatures w14:val="standardContextual"/>
        </w:rPr>
        <w:t>Journal: Digestive Disease and Science</w:t>
      </w:r>
    </w:p>
    <w:p w14:paraId="0A263CD4">
      <w:pPr>
        <w:widowControl/>
        <w:spacing w:before="240" w:after="240" w:line="240" w:lineRule="auto"/>
        <w:jc w:val="left"/>
        <w:rPr>
          <w:rFonts w:hint="default" w:ascii="Times New Roman" w:hAnsi="Times New Roman" w:eastAsia="Aptos" w:cs="Times New Roman"/>
          <w:b/>
          <w:bCs/>
          <w:sz w:val="20"/>
          <w:szCs w:val="20"/>
          <w:vertAlign w:val="baseline"/>
          <w:lang w:val="en-US" w:eastAsia="zh-CN"/>
          <w14:ligatures w14:val="standardContextual"/>
        </w:rPr>
      </w:pPr>
      <w:r>
        <w:rPr>
          <w:rFonts w:hint="eastAsia" w:ascii="Times New Roman" w:hAnsi="Times New Roman" w:eastAsia="Aptos" w:cs="Times New Roman"/>
          <w:b/>
          <w:bCs/>
          <w:sz w:val="20"/>
          <w:szCs w:val="20"/>
          <w:lang w:val="en-US" w:eastAsia="zh-CN"/>
          <w14:ligatures w14:val="standardContextual"/>
        </w:rPr>
        <w:t>Authors: Zhaoyang Heng</w:t>
      </w:r>
      <w:r>
        <w:rPr>
          <w:rFonts w:hint="eastAsia" w:ascii="Times New Roman" w:hAnsi="Times New Roman" w:eastAsia="Aptos" w:cs="Times New Roman"/>
          <w:b/>
          <w:bCs/>
          <w:sz w:val="20"/>
          <w:szCs w:val="20"/>
          <w:vertAlign w:val="superscript"/>
          <w:lang w:val="en-US" w:eastAsia="zh-CN"/>
          <w14:ligatures w14:val="standardContextual"/>
        </w:rPr>
        <w:t>1</w:t>
      </w:r>
      <w:r>
        <w:rPr>
          <w:rFonts w:hint="eastAsia" w:ascii="Times New Roman" w:hAnsi="Times New Roman" w:eastAsia="Aptos" w:cs="Times New Roman"/>
          <w:b/>
          <w:bCs/>
          <w:sz w:val="20"/>
          <w:szCs w:val="20"/>
          <w:lang w:val="en-US" w:eastAsia="zh-CN"/>
          <w14:ligatures w14:val="standardContextual"/>
        </w:rPr>
        <w:t>, Li Zhan</w:t>
      </w:r>
      <w:r>
        <w:rPr>
          <w:rFonts w:hint="eastAsia" w:ascii="Times New Roman" w:hAnsi="Times New Roman" w:eastAsia="Aptos" w:cs="Times New Roman"/>
          <w:b/>
          <w:bCs/>
          <w:sz w:val="20"/>
          <w:szCs w:val="20"/>
          <w:vertAlign w:val="superscript"/>
          <w:lang w:val="en-US" w:eastAsia="zh-CN"/>
          <w14:ligatures w14:val="standardContextual"/>
        </w:rPr>
        <w:t>2</w:t>
      </w:r>
      <w:r>
        <w:rPr>
          <w:rFonts w:hint="eastAsia" w:ascii="Times New Roman" w:hAnsi="Times New Roman" w:eastAsia="Aptos" w:cs="Times New Roman"/>
          <w:b/>
          <w:bCs/>
          <w:sz w:val="20"/>
          <w:szCs w:val="20"/>
          <w:vertAlign w:val="baseline"/>
          <w:lang w:val="en-US" w:eastAsia="zh-CN"/>
          <w14:ligatures w14:val="standardContextual"/>
        </w:rPr>
        <w:t>, Yuhan Zhang</w:t>
      </w:r>
      <w:r>
        <w:rPr>
          <w:rFonts w:hint="eastAsia" w:ascii="Times New Roman" w:hAnsi="Times New Roman" w:eastAsia="Aptos" w:cs="Times New Roman"/>
          <w:b/>
          <w:bCs/>
          <w:sz w:val="20"/>
          <w:szCs w:val="20"/>
          <w:vertAlign w:val="superscript"/>
          <w:lang w:val="en-US" w:eastAsia="zh-CN"/>
          <w14:ligatures w14:val="standardContextual"/>
        </w:rPr>
        <w:t>3</w:t>
      </w:r>
      <w:r>
        <w:rPr>
          <w:rFonts w:hint="eastAsia" w:ascii="Times New Roman" w:hAnsi="Times New Roman" w:eastAsia="Aptos" w:cs="Times New Roman"/>
          <w:b/>
          <w:bCs/>
          <w:sz w:val="20"/>
          <w:szCs w:val="20"/>
          <w:vertAlign w:val="baseline"/>
          <w:lang w:val="en-US" w:eastAsia="zh-CN"/>
          <w14:ligatures w14:val="standardContextual"/>
        </w:rPr>
        <w:t>, Keyou Zhou</w:t>
      </w:r>
      <w:r>
        <w:rPr>
          <w:rFonts w:hint="eastAsia" w:ascii="Times New Roman" w:hAnsi="Times New Roman" w:eastAsia="Aptos" w:cs="Times New Roman"/>
          <w:b/>
          <w:bCs/>
          <w:sz w:val="20"/>
          <w:szCs w:val="20"/>
          <w:vertAlign w:val="superscript"/>
          <w:lang w:val="en-US" w:eastAsia="zh-CN"/>
          <w14:ligatures w14:val="standardContextual"/>
        </w:rPr>
        <w:t>1</w:t>
      </w:r>
      <w:r>
        <w:rPr>
          <w:rFonts w:hint="eastAsia" w:ascii="Times New Roman" w:hAnsi="Times New Roman" w:eastAsia="Aptos" w:cs="Times New Roman"/>
          <w:b/>
          <w:bCs/>
          <w:sz w:val="20"/>
          <w:szCs w:val="20"/>
          <w:vertAlign w:val="baseline"/>
          <w:lang w:val="en-US" w:eastAsia="zh-CN"/>
          <w14:ligatures w14:val="standardContextual"/>
        </w:rPr>
        <w:t>, Meng Song</w:t>
      </w:r>
      <w:r>
        <w:rPr>
          <w:rFonts w:hint="eastAsia" w:ascii="Times New Roman" w:hAnsi="Times New Roman" w:eastAsia="Aptos" w:cs="Times New Roman"/>
          <w:b/>
          <w:bCs/>
          <w:sz w:val="20"/>
          <w:szCs w:val="20"/>
          <w:vertAlign w:val="superscript"/>
          <w:lang w:val="en-US" w:eastAsia="zh-CN"/>
          <w14:ligatures w14:val="standardContextual"/>
        </w:rPr>
        <w:t>4</w:t>
      </w:r>
      <w:r>
        <w:rPr>
          <w:rFonts w:hint="eastAsia" w:ascii="Times New Roman" w:hAnsi="Times New Roman" w:eastAsia="Aptos" w:cs="Times New Roman"/>
          <w:b/>
          <w:bCs/>
          <w:sz w:val="20"/>
          <w:szCs w:val="20"/>
          <w:vertAlign w:val="baseline"/>
          <w:lang w:val="en-US" w:eastAsia="zh-CN"/>
          <w14:ligatures w14:val="standardContextual"/>
        </w:rPr>
        <w:t>, Kelei Zhao</w:t>
      </w:r>
      <w:r>
        <w:rPr>
          <w:rFonts w:hint="eastAsia" w:ascii="Times New Roman" w:hAnsi="Times New Roman" w:eastAsia="Aptos" w:cs="Times New Roman"/>
          <w:b/>
          <w:bCs/>
          <w:sz w:val="20"/>
          <w:szCs w:val="20"/>
          <w:vertAlign w:val="superscript"/>
          <w:lang w:val="en-US" w:eastAsia="zh-CN"/>
          <w14:ligatures w14:val="standardContextual"/>
        </w:rPr>
        <w:t>4</w:t>
      </w:r>
      <w:r>
        <w:rPr>
          <w:rFonts w:hint="eastAsia" w:ascii="Times New Roman" w:hAnsi="Times New Roman" w:eastAsia="Aptos" w:cs="Times New Roman"/>
          <w:b/>
          <w:bCs/>
          <w:sz w:val="20"/>
          <w:szCs w:val="20"/>
          <w:vertAlign w:val="baseline"/>
          <w:lang w:val="en-US" w:eastAsia="zh-CN"/>
          <w14:ligatures w14:val="standardContextual"/>
        </w:rPr>
        <w:t>, Md. Shoykot Jahan</w:t>
      </w:r>
      <w:r>
        <w:rPr>
          <w:rFonts w:hint="eastAsia" w:ascii="Times New Roman" w:hAnsi="Times New Roman" w:eastAsia="Aptos" w:cs="Times New Roman"/>
          <w:b/>
          <w:bCs/>
          <w:sz w:val="20"/>
          <w:szCs w:val="20"/>
          <w:vertAlign w:val="superscript"/>
          <w:lang w:val="en-US" w:eastAsia="zh-CN"/>
          <w14:ligatures w14:val="standardContextual"/>
        </w:rPr>
        <w:t>4</w:t>
      </w:r>
      <w:r>
        <w:rPr>
          <w:rFonts w:hint="eastAsia" w:ascii="Times New Roman" w:hAnsi="Times New Roman" w:eastAsia="Aptos" w:cs="Times New Roman"/>
          <w:b/>
          <w:bCs/>
          <w:sz w:val="20"/>
          <w:szCs w:val="20"/>
          <w:vertAlign w:val="baseline"/>
          <w:lang w:val="en-US" w:eastAsia="zh-CN"/>
          <w14:ligatures w14:val="standardContextual"/>
        </w:rPr>
        <w:t>, Most. Fatema Akter</w:t>
      </w:r>
      <w:r>
        <w:rPr>
          <w:rFonts w:hint="eastAsia" w:ascii="Times New Roman" w:hAnsi="Times New Roman" w:eastAsia="Aptos" w:cs="Times New Roman"/>
          <w:b/>
          <w:bCs/>
          <w:sz w:val="20"/>
          <w:szCs w:val="20"/>
          <w:vertAlign w:val="superscript"/>
          <w:lang w:val="en-US" w:eastAsia="zh-CN"/>
          <w14:ligatures w14:val="standardContextual"/>
        </w:rPr>
        <w:t>4</w:t>
      </w:r>
      <w:r>
        <w:rPr>
          <w:rFonts w:hint="eastAsia" w:ascii="Times New Roman" w:hAnsi="Times New Roman" w:eastAsia="Aptos" w:cs="Times New Roman"/>
          <w:b/>
          <w:bCs/>
          <w:sz w:val="20"/>
          <w:szCs w:val="20"/>
          <w:vertAlign w:val="baseline"/>
          <w:lang w:val="en-US" w:eastAsia="zh-CN"/>
          <w14:ligatures w14:val="standardContextual"/>
        </w:rPr>
        <w:t>, Ping Lu</w:t>
      </w:r>
      <w:r>
        <w:rPr>
          <w:rFonts w:hint="eastAsia" w:ascii="Times New Roman" w:hAnsi="Times New Roman" w:eastAsia="Aptos" w:cs="Times New Roman"/>
          <w:b/>
          <w:bCs/>
          <w:sz w:val="20"/>
          <w:szCs w:val="20"/>
          <w:vertAlign w:val="superscript"/>
          <w:lang w:val="en-US" w:eastAsia="zh-CN"/>
          <w14:ligatures w14:val="standardContextual"/>
        </w:rPr>
        <w:t>4</w:t>
      </w:r>
      <w:r>
        <w:rPr>
          <w:rFonts w:hint="eastAsia" w:ascii="Times New Roman" w:hAnsi="Times New Roman" w:eastAsia="Aptos" w:cs="Times New Roman"/>
          <w:b/>
          <w:bCs/>
          <w:sz w:val="20"/>
          <w:szCs w:val="20"/>
          <w:vertAlign w:val="baseline"/>
          <w:lang w:val="en-US" w:eastAsia="zh-CN"/>
          <w14:ligatures w14:val="standardContextual"/>
        </w:rPr>
        <w:t>, Yinghua Ji</w:t>
      </w:r>
      <w:r>
        <w:rPr>
          <w:rFonts w:hint="eastAsia" w:ascii="Times New Roman" w:hAnsi="Times New Roman" w:eastAsia="Aptos" w:cs="Times New Roman"/>
          <w:b/>
          <w:bCs/>
          <w:sz w:val="20"/>
          <w:szCs w:val="20"/>
          <w:vertAlign w:val="superscript"/>
          <w:lang w:val="en-US" w:eastAsia="zh-CN"/>
          <w14:ligatures w14:val="standardContextual"/>
        </w:rPr>
        <w:t>4</w:t>
      </w:r>
      <w:r>
        <w:rPr>
          <w:rFonts w:hint="eastAsia" w:ascii="Times New Roman" w:hAnsi="Times New Roman" w:eastAsia="Aptos" w:cs="Times New Roman"/>
          <w:b/>
          <w:bCs/>
          <w:sz w:val="20"/>
          <w:szCs w:val="20"/>
          <w:vertAlign w:val="baseline"/>
          <w:lang w:val="en-US" w:eastAsia="zh-CN"/>
          <w14:ligatures w14:val="standardContextual"/>
        </w:rPr>
        <w:t>, Yanting Liu</w:t>
      </w:r>
      <w:r>
        <w:rPr>
          <w:rFonts w:hint="eastAsia" w:ascii="Times New Roman" w:hAnsi="Times New Roman" w:eastAsia="Aptos" w:cs="Times New Roman"/>
          <w:b/>
          <w:bCs/>
          <w:sz w:val="20"/>
          <w:szCs w:val="20"/>
          <w:vertAlign w:val="superscript"/>
          <w:lang w:val="en-US" w:eastAsia="zh-CN"/>
          <w14:ligatures w14:val="standardContextual"/>
        </w:rPr>
        <w:t>4</w:t>
      </w:r>
    </w:p>
    <w:p w14:paraId="7CBC3981">
      <w:pPr>
        <w:jc w:val="both"/>
        <w:rPr>
          <w:rFonts w:hint="eastAsia" w:ascii="Times New Roman" w:hAnsi="Times New Roman" w:eastAsia="Aptos" w:cs="Times New Roman"/>
          <w:b/>
          <w:bCs/>
          <w:sz w:val="20"/>
          <w:szCs w:val="20"/>
          <w:lang w:val="en-US" w:eastAsia="zh-CN"/>
          <w14:ligatures w14:val="standardContextual"/>
        </w:rPr>
      </w:pPr>
      <w:r>
        <w:rPr>
          <w:rFonts w:hint="eastAsia" w:ascii="Times New Roman" w:hAnsi="Times New Roman" w:eastAsia="Aptos" w:cs="Times New Roman"/>
          <w:b/>
          <w:bCs/>
          <w:sz w:val="20"/>
          <w:szCs w:val="20"/>
          <w:lang w:val="en-US" w:eastAsia="zh-CN"/>
          <w14:ligatures w14:val="standardContextual"/>
        </w:rPr>
        <w:t>Affiliations:</w:t>
      </w:r>
    </w:p>
    <w:p w14:paraId="1E06A0FC">
      <w:pPr>
        <w:jc w:val="both"/>
        <w:rPr>
          <w:rFonts w:hint="default"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 First Clinical College, Henan Medical University, Xinxiang, Henan, China</w:t>
      </w:r>
    </w:p>
    <w:p w14:paraId="42DE754F">
      <w:pPr>
        <w:jc w:val="both"/>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2 Clinical Medical College, Southwest Medical University, Luzhou, Sichuan, China</w:t>
      </w:r>
    </w:p>
    <w:p w14:paraId="0ABE0B23">
      <w:pPr>
        <w:jc w:val="both"/>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3 The Second Xiangya Hospital, Central South University, Changsha, Hunan, China</w:t>
      </w:r>
    </w:p>
    <w:p w14:paraId="1F1F9080">
      <w:pPr>
        <w:jc w:val="both"/>
        <w:rPr>
          <w:rFonts w:hint="default"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4 Department of Oncology, The First Affiliated Hospital of Henan Medical University, Xinxiang, Henan, China</w:t>
      </w:r>
    </w:p>
    <w:p w14:paraId="72D10781">
      <w:pPr>
        <w:widowControl/>
        <w:spacing w:before="240" w:after="240" w:line="240" w:lineRule="auto"/>
        <w:jc w:val="left"/>
        <w:rPr>
          <w:rFonts w:hint="eastAsia" w:ascii="Times New Roman" w:hAnsi="Times New Roman" w:eastAsia="Aptos" w:cs="Times New Roman"/>
          <w:b/>
          <w:bCs/>
          <w:sz w:val="20"/>
          <w:szCs w:val="20"/>
          <w:lang w:val="en-US" w:eastAsia="zh-CN"/>
          <w14:ligatures w14:val="standardContextual"/>
        </w:rPr>
      </w:pPr>
      <w:r>
        <w:rPr>
          <w:rFonts w:ascii="Times New Roman" w:hAnsi="Times New Roman" w:eastAsia="Aptos" w:cs="Times New Roman"/>
          <w:sz w:val="20"/>
          <w:szCs w:val="20"/>
          <w:lang w:val="en-IN" w:eastAsia="en-IN"/>
          <w14:ligatures w14:val="standardContextual"/>
        </w:rPr>
        <mc:AlternateContent>
          <mc:Choice Requires="wps">
            <w:drawing>
              <wp:anchor distT="0" distB="0" distL="114300" distR="114300" simplePos="0" relativeHeight="251659264" behindDoc="0" locked="0" layoutInCell="1" allowOverlap="1">
                <wp:simplePos x="0" y="0"/>
                <wp:positionH relativeFrom="column">
                  <wp:posOffset>-233680</wp:posOffset>
                </wp:positionH>
                <wp:positionV relativeFrom="paragraph">
                  <wp:posOffset>643255</wp:posOffset>
                </wp:positionV>
                <wp:extent cx="5794375" cy="321310"/>
                <wp:effectExtent l="0" t="0" r="0" b="0"/>
                <wp:wrapNone/>
                <wp:docPr id="125225681" name="Text Box 2"/>
                <wp:cNvGraphicFramePr/>
                <a:graphic xmlns:a="http://schemas.openxmlformats.org/drawingml/2006/main">
                  <a:graphicData uri="http://schemas.microsoft.com/office/word/2010/wordprocessingShape">
                    <wps:wsp>
                      <wps:cNvSpPr txBox="1"/>
                      <wps:spPr>
                        <a:xfrm>
                          <a:off x="0" y="0"/>
                          <a:ext cx="5794217" cy="321310"/>
                        </a:xfrm>
                        <a:prstGeom prst="rect">
                          <a:avLst/>
                        </a:prstGeom>
                        <a:noFill/>
                        <a:ln w="6350">
                          <a:noFill/>
                        </a:ln>
                      </wps:spPr>
                      <wps:txbx>
                        <w:txbxContent>
                          <w:p w14:paraId="528248A3">
                            <w:pPr>
                              <w:widowControl/>
                              <w:jc w:val="left"/>
                              <w:rPr>
                                <w:rFonts w:ascii="Times New Roman" w:hAnsi="Times New Roman" w:eastAsia="Aptos" w:cs="Times New Roman"/>
                                <w:b/>
                                <w:bCs/>
                                <w:sz w:val="24"/>
                                <w:lang w:val="en-US" w:eastAsia="en-US"/>
                                <w14:ligatures w14:val="standardContextual"/>
                              </w:rPr>
                            </w:pPr>
                            <w:r>
                              <w:rPr>
                                <w:rFonts w:ascii="Times New Roman" w:hAnsi="Times New Roman" w:eastAsia="Aptos" w:cs="Times New Roman"/>
                                <w:b/>
                                <w:bCs/>
                                <w:sz w:val="24"/>
                                <w:lang w:val="en-US" w:eastAsia="en-US"/>
                                <w14:ligatures w14:val="standardContextual"/>
                              </w:rPr>
                              <w:t>Table S</w:t>
                            </w:r>
                            <w:r>
                              <w:rPr>
                                <w:rFonts w:hint="eastAsia" w:ascii="Times New Roman" w:hAnsi="Times New Roman" w:eastAsia="Aptos" w:cs="Times New Roman"/>
                                <w:b/>
                                <w:bCs/>
                                <w:sz w:val="24"/>
                                <w:lang w:val="en-US" w:eastAsia="zh-CN"/>
                                <w14:ligatures w14:val="standardContextual"/>
                              </w:rPr>
                              <w:t>1</w:t>
                            </w:r>
                            <w:r>
                              <w:rPr>
                                <w:rFonts w:ascii="Times New Roman" w:hAnsi="Times New Roman" w:eastAsia="Aptos" w:cs="Times New Roman"/>
                                <w:b/>
                                <w:bCs/>
                                <w:sz w:val="24"/>
                                <w:lang w:val="en-US" w:eastAsia="en-US"/>
                                <w14:ligatures w14:val="standardContextual"/>
                              </w:rPr>
                              <w:t>: Search Strategy per Database</w:t>
                            </w:r>
                          </w:p>
                          <w:p w14:paraId="357342C9">
                            <w:pPr>
                              <w:widowControl/>
                              <w:jc w:val="left"/>
                              <w:rPr>
                                <w:rFonts w:ascii="Aptos" w:hAnsi="Aptos" w:eastAsia="Aptos" w:cs="Times New Roman"/>
                                <w:sz w:val="11"/>
                                <w:szCs w:val="11"/>
                                <w:lang w:val="en-US" w:eastAsia="en-US"/>
                                <w14:ligatures w14:val="standardContextua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2" o:spid="_x0000_s1026" o:spt="202" type="#_x0000_t202" style="position:absolute;left:0pt;margin-left:-18.4pt;margin-top:50.65pt;height:25.3pt;width:456.25pt;z-index:251659264;mso-width-relative:page;mso-height-relative:page;" filled="f" stroked="f" coordsize="21600,21600" o:gfxdata="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Kc2UUbcAAAACwEAAA8AAAAAAAAAAQAgAAAAIgAAAGRycy9kb3ducmV2&#10;LnhtbFBLAQIUABQAAAAIAIdO4kDIGRFkMQIAAG0EAAAOAAAAAAAAAAEAIAAAACsBAABkcnMvZTJv&#10;RG9jLnhtbFBLBQYAAAAABgAGAFkBAADOBQAAAAA=&#10;">
                <v:fill on="f" focussize="0,0"/>
                <v:stroke on="f" weight="0.5pt"/>
                <v:imagedata o:title=""/>
                <o:lock v:ext="edit" aspectratio="f"/>
                <v:textbox>
                  <w:txbxContent>
                    <w:p w14:paraId="528248A3">
                      <w:pPr>
                        <w:widowControl/>
                        <w:jc w:val="left"/>
                        <w:rPr>
                          <w:rFonts w:ascii="Times New Roman" w:hAnsi="Times New Roman" w:eastAsia="Aptos" w:cs="Times New Roman"/>
                          <w:b/>
                          <w:bCs/>
                          <w:sz w:val="24"/>
                          <w:lang w:val="en-US" w:eastAsia="en-US"/>
                          <w14:ligatures w14:val="standardContextual"/>
                        </w:rPr>
                      </w:pPr>
                      <w:r>
                        <w:rPr>
                          <w:rFonts w:ascii="Times New Roman" w:hAnsi="Times New Roman" w:eastAsia="Aptos" w:cs="Times New Roman"/>
                          <w:b/>
                          <w:bCs/>
                          <w:sz w:val="24"/>
                          <w:lang w:val="en-US" w:eastAsia="en-US"/>
                          <w14:ligatures w14:val="standardContextual"/>
                        </w:rPr>
                        <w:t>Table S</w:t>
                      </w:r>
                      <w:r>
                        <w:rPr>
                          <w:rFonts w:hint="eastAsia" w:ascii="Times New Roman" w:hAnsi="Times New Roman" w:eastAsia="Aptos" w:cs="Times New Roman"/>
                          <w:b/>
                          <w:bCs/>
                          <w:sz w:val="24"/>
                          <w:lang w:val="en-US" w:eastAsia="zh-CN"/>
                          <w14:ligatures w14:val="standardContextual"/>
                        </w:rPr>
                        <w:t>1</w:t>
                      </w:r>
                      <w:r>
                        <w:rPr>
                          <w:rFonts w:ascii="Times New Roman" w:hAnsi="Times New Roman" w:eastAsia="Aptos" w:cs="Times New Roman"/>
                          <w:b/>
                          <w:bCs/>
                          <w:sz w:val="24"/>
                          <w:lang w:val="en-US" w:eastAsia="en-US"/>
                          <w14:ligatures w14:val="standardContextual"/>
                        </w:rPr>
                        <w:t>: Search Strategy per Database</w:t>
                      </w:r>
                    </w:p>
                    <w:p w14:paraId="357342C9">
                      <w:pPr>
                        <w:widowControl/>
                        <w:jc w:val="left"/>
                        <w:rPr>
                          <w:rFonts w:ascii="Aptos" w:hAnsi="Aptos" w:eastAsia="Aptos" w:cs="Times New Roman"/>
                          <w:sz w:val="11"/>
                          <w:szCs w:val="11"/>
                          <w:lang w:val="en-US" w:eastAsia="en-US"/>
                          <w14:ligatures w14:val="standardContextual"/>
                        </w:rPr>
                      </w:pPr>
                    </w:p>
                  </w:txbxContent>
                </v:textbox>
              </v:shape>
            </w:pict>
          </mc:Fallback>
        </mc:AlternateContent>
      </w:r>
    </w:p>
    <w:tbl>
      <w:tblPr>
        <w:tblStyle w:val="6"/>
        <w:tblpPr w:leftFromText="180" w:rightFromText="180" w:vertAnchor="text" w:horzAnchor="page" w:tblpX="1158" w:tblpY="767"/>
        <w:tblW w:w="148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3"/>
        <w:gridCol w:w="13126"/>
      </w:tblGrid>
      <w:tr w14:paraId="2A19D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650" w:type="dxa"/>
            <w:vAlign w:val="top"/>
          </w:tcPr>
          <w:p w14:paraId="6F70C9DF">
            <w:pPr>
              <w:widowControl/>
              <w:spacing w:before="240" w:after="240" w:line="240" w:lineRule="auto"/>
              <w:jc w:val="center"/>
              <w:rPr>
                <w:rFonts w:ascii="Times New Roman" w:hAnsi="Times New Roman" w:eastAsia="Aptos" w:cs="Times New Roman"/>
                <w:b/>
                <w:bCs/>
                <w:sz w:val="24"/>
                <w:lang w:val="en-US" w:eastAsia="en-US"/>
                <w14:ligatures w14:val="standardContextual"/>
              </w:rPr>
            </w:pPr>
            <w:r>
              <w:rPr>
                <w:rFonts w:ascii="Times New Roman" w:hAnsi="Times New Roman" w:eastAsia="Aptos" w:cs="Times New Roman"/>
                <w:b/>
                <w:bCs/>
                <w:sz w:val="20"/>
                <w:szCs w:val="20"/>
                <w:lang w:val="en-US" w:eastAsia="en-US"/>
                <w14:ligatures w14:val="standardContextual"/>
              </w:rPr>
              <w:t>Database</w:t>
            </w:r>
          </w:p>
        </w:tc>
        <w:tc>
          <w:tcPr>
            <w:tcW w:w="13159" w:type="dxa"/>
            <w:vAlign w:val="top"/>
          </w:tcPr>
          <w:p w14:paraId="5BFE3D97">
            <w:pPr>
              <w:widowControl/>
              <w:spacing w:before="240" w:after="240" w:line="240" w:lineRule="auto"/>
              <w:jc w:val="center"/>
              <w:rPr>
                <w:rFonts w:ascii="Times New Roman" w:hAnsi="Times New Roman" w:eastAsia="Aptos" w:cs="Times New Roman"/>
                <w:b/>
                <w:bCs/>
                <w:sz w:val="24"/>
                <w:lang w:val="en-US" w:eastAsia="en-US"/>
                <w14:ligatures w14:val="standardContextual"/>
              </w:rPr>
            </w:pPr>
            <w:r>
              <w:rPr>
                <w:rFonts w:ascii="Times New Roman" w:hAnsi="Times New Roman" w:eastAsia="Aptos" w:cs="Times New Roman"/>
                <w:b/>
                <w:bCs/>
                <w:sz w:val="20"/>
                <w:szCs w:val="20"/>
                <w:lang w:val="en-US" w:eastAsia="en-US"/>
                <w14:ligatures w14:val="standardContextual"/>
              </w:rPr>
              <w:t>Search Strategy</w:t>
            </w:r>
          </w:p>
        </w:tc>
      </w:tr>
      <w:tr w14:paraId="1ECB4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1650" w:type="dxa"/>
            <w:vAlign w:val="top"/>
          </w:tcPr>
          <w:p w14:paraId="4718E5C3">
            <w:pPr>
              <w:widowControl/>
              <w:spacing w:before="240" w:after="240" w:line="240" w:lineRule="auto"/>
              <w:jc w:val="center"/>
              <w:rPr>
                <w:rFonts w:ascii="Times New Roman" w:hAnsi="Times New Roman" w:eastAsia="Aptos" w:cs="Times New Roman"/>
                <w:b/>
                <w:bCs/>
                <w:sz w:val="20"/>
                <w:szCs w:val="20"/>
                <w:lang w:val="en-US" w:eastAsia="en-US"/>
                <w14:ligatures w14:val="standardContextual"/>
              </w:rPr>
            </w:pPr>
            <w:r>
              <w:rPr>
                <w:rFonts w:ascii="Times New Roman" w:hAnsi="Times New Roman" w:eastAsia="Aptos" w:cs="Times New Roman"/>
                <w:b/>
                <w:bCs/>
                <w:sz w:val="20"/>
                <w:szCs w:val="20"/>
                <w:lang w:val="en-US" w:eastAsia="en-US"/>
                <w14:ligatures w14:val="standardContextual"/>
              </w:rPr>
              <w:t>Pubmed/Medline</w:t>
            </w:r>
          </w:p>
          <w:p w14:paraId="63EE420C">
            <w:pPr>
              <w:widowControl/>
              <w:spacing w:before="240" w:after="240" w:line="360" w:lineRule="auto"/>
              <w:jc w:val="center"/>
              <w:rPr>
                <w:rFonts w:ascii="Times New Roman" w:hAnsi="Times New Roman" w:eastAsia="Aptos" w:cs="Times New Roman"/>
                <w:sz w:val="24"/>
                <w:lang w:val="en-US" w:eastAsia="en-US"/>
                <w14:ligatures w14:val="standardContextual"/>
              </w:rPr>
            </w:pPr>
            <w:r>
              <w:rPr>
                <w:rFonts w:ascii="Times New Roman" w:hAnsi="Times New Roman" w:eastAsia="Aptos" w:cs="Times New Roman"/>
                <w:sz w:val="24"/>
                <w:lang w:val="en-US" w:eastAsia="en-US"/>
                <w14:ligatures w14:val="standardContextual"/>
              </w:rPr>
              <w:t>(</w:t>
            </w:r>
            <w:r>
              <w:rPr>
                <w:rFonts w:hint="eastAsia" w:ascii="Times New Roman" w:hAnsi="Times New Roman" w:eastAsia="Aptos" w:cs="Times New Roman"/>
                <w:sz w:val="24"/>
                <w:lang w:val="en-US" w:eastAsia="zh-CN"/>
                <w14:ligatures w14:val="standardContextual"/>
              </w:rPr>
              <w:t>249</w:t>
            </w:r>
            <w:r>
              <w:rPr>
                <w:rFonts w:ascii="Times New Roman" w:hAnsi="Times New Roman" w:eastAsia="Aptos" w:cs="Times New Roman"/>
                <w:sz w:val="24"/>
                <w:lang w:val="en-US" w:eastAsia="en-US"/>
                <w14:ligatures w14:val="standardContextual"/>
              </w:rPr>
              <w:t>)</w:t>
            </w:r>
          </w:p>
        </w:tc>
        <w:tc>
          <w:tcPr>
            <w:tcW w:w="13159" w:type="dxa"/>
            <w:vAlign w:val="top"/>
          </w:tcPr>
          <w:p w14:paraId="506CE8C3">
            <w:pPr>
              <w:widowControl/>
              <w:spacing w:before="240" w:after="240" w:line="360" w:lineRule="auto"/>
              <w:jc w:val="both"/>
              <w:rPr>
                <w:rFonts w:ascii="Times New Roman" w:hAnsi="Times New Roman" w:eastAsia="Aptos" w:cs="Times New Roman"/>
                <w:sz w:val="24"/>
                <w:lang w:val="en-US" w:eastAsia="en-US"/>
                <w14:ligatures w14:val="standardContextual"/>
              </w:rPr>
            </w:pPr>
            <w:r>
              <w:rPr>
                <w:rFonts w:ascii="Times New Roman" w:hAnsi="Times New Roman" w:eastAsia="Aptos" w:cs="Times New Roman"/>
                <w:sz w:val="20"/>
                <w:szCs w:val="20"/>
                <w:lang w:val="en-US" w:eastAsia="en-US"/>
                <w14:ligatures w14:val="standardContextual"/>
              </w:rPr>
              <w:t>("ustekinumab"[MeSH Terms] OR "ustekinumab"[All Fields] OR "stelara"[All Fields] OR "CNTO 1275"[All Fields] OR "CNTO-1275"[All Fields]) AND ("inflammatory bowel diseases"[MeSH Terms] OR ("inflammatory"[All Fields] AND "bowel"[All Fields] AND "diseases"[All Fields]) OR "inflammatory bowel disease"[All Fields] OR "IBD"[All Fields] OR "Crohn Disease"[MeSH Terms] OR "Crohn's disease"[All Fields] OR "Crohn's"[All Fields] OR "Colitis, Ulcerative"[MeSH Terms] OR "ulcerative colitis"[All Fields] OR "UC"[All Fields]) AND ("pediatrics"[MeSH Terms] OR "pediatrics"[All Fields] OR "pediatric"[All Fields] OR "paediatric"[All Fields] OR "child"[MeSH Terms] OR "child"[All Fields] OR "children"[All Fields] OR "childhood"[All Fields] OR "adolescent"[MeSH Terms] OR "adolescent"[All Fields] OR "adolescents"[All Fields] OR "teenager"[All Fields] OR "youth"[All Fields] OR "infant"[MeSH Terms] OR "infant"[All Fields])</w:t>
            </w:r>
          </w:p>
        </w:tc>
      </w:tr>
      <w:tr w14:paraId="7CBE8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1650" w:type="dxa"/>
            <w:vAlign w:val="top"/>
          </w:tcPr>
          <w:p w14:paraId="7391767F">
            <w:pPr>
              <w:widowControl/>
              <w:spacing w:before="240" w:after="240" w:line="360" w:lineRule="auto"/>
              <w:jc w:val="center"/>
              <w:rPr>
                <w:rFonts w:ascii="Times New Roman" w:hAnsi="Times New Roman" w:eastAsia="Aptos" w:cs="Times New Roman"/>
                <w:b/>
                <w:bCs/>
                <w:sz w:val="20"/>
                <w:szCs w:val="20"/>
                <w:lang w:val="en-US" w:eastAsia="en-US"/>
                <w14:ligatures w14:val="standardContextual"/>
              </w:rPr>
            </w:pPr>
            <w:r>
              <w:rPr>
                <w:rFonts w:ascii="Times New Roman" w:hAnsi="Times New Roman" w:eastAsia="Aptos" w:cs="Times New Roman"/>
                <w:b/>
                <w:bCs/>
                <w:sz w:val="20"/>
                <w:szCs w:val="20"/>
                <w:lang w:val="en-US" w:eastAsia="en-US"/>
                <w14:ligatures w14:val="standardContextual"/>
              </w:rPr>
              <w:t>Embase</w:t>
            </w:r>
          </w:p>
          <w:p w14:paraId="4C30529E">
            <w:pPr>
              <w:widowControl/>
              <w:spacing w:before="240" w:after="240" w:line="360" w:lineRule="auto"/>
              <w:jc w:val="center"/>
              <w:rPr>
                <w:rFonts w:ascii="Times New Roman" w:hAnsi="Times New Roman" w:eastAsia="Aptos" w:cs="Times New Roman"/>
                <w:sz w:val="24"/>
                <w:lang w:val="en-US" w:eastAsia="en-US"/>
                <w14:ligatures w14:val="standardContextual"/>
              </w:rPr>
            </w:pPr>
            <w:r>
              <w:rPr>
                <w:rFonts w:ascii="Times New Roman" w:hAnsi="Times New Roman" w:eastAsia="Aptos" w:cs="Times New Roman"/>
                <w:sz w:val="24"/>
                <w:lang w:val="en-US" w:eastAsia="en-US"/>
                <w14:ligatures w14:val="standardContextual"/>
              </w:rPr>
              <w:t>(</w:t>
            </w:r>
            <w:r>
              <w:rPr>
                <w:rFonts w:hint="eastAsia" w:ascii="Times New Roman" w:hAnsi="Times New Roman" w:eastAsia="Aptos" w:cs="Times New Roman"/>
                <w:sz w:val="24"/>
                <w:lang w:val="en-US" w:eastAsia="zh-CN"/>
                <w14:ligatures w14:val="standardContextual"/>
              </w:rPr>
              <w:t>374</w:t>
            </w:r>
            <w:r>
              <w:rPr>
                <w:rFonts w:ascii="Times New Roman" w:hAnsi="Times New Roman" w:eastAsia="Aptos" w:cs="Times New Roman"/>
                <w:sz w:val="24"/>
                <w:lang w:val="en-US" w:eastAsia="en-US"/>
                <w14:ligatures w14:val="standardContextual"/>
              </w:rPr>
              <w:t>)</w:t>
            </w:r>
          </w:p>
        </w:tc>
        <w:tc>
          <w:tcPr>
            <w:tcW w:w="13159" w:type="dxa"/>
            <w:vAlign w:val="top"/>
          </w:tcPr>
          <w:p w14:paraId="463A2114">
            <w:pPr>
              <w:widowControl/>
              <w:spacing w:before="240" w:after="240" w:line="360" w:lineRule="auto"/>
              <w:jc w:val="both"/>
              <w:rPr>
                <w:rFonts w:ascii="Times New Roman" w:hAnsi="Times New Roman" w:eastAsia="Aptos" w:cs="Times New Roman"/>
                <w:sz w:val="24"/>
                <w:lang w:val="en-US" w:eastAsia="en-US"/>
                <w14:ligatures w14:val="standardContextual"/>
              </w:rPr>
            </w:pPr>
            <w:r>
              <w:rPr>
                <w:rFonts w:ascii="Times New Roman" w:hAnsi="Times New Roman" w:eastAsia="Aptos" w:cs="Times New Roman"/>
                <w:sz w:val="20"/>
                <w:szCs w:val="20"/>
                <w:lang w:val="en-US" w:eastAsia="en-US"/>
                <w14:ligatures w14:val="standardContextual"/>
              </w:rPr>
              <w:t>('ustekinumab':ti,ab,kw OR 'stelara':ti,ab,kw OR 'cnto 1275':ti,ab,kw OR 'cnto-1275':ti,ab,kw) AND ('inflammatory bowel disease':ti,ab,kw OR 'ibd':ti,ab,kw OR 'crohn disease':ti,ab,kw OR 'ulcerative colitis':ti,ab,kw OR 'colitis':ti,ab,kw OR 'ileitis':ti,ab,kw) AND ('child':ti,ab,kw OR 'children':ti,ab,kw OR 'pediatric':ti,ab,kw OR 'paediatric':ti,ab,kw OR 'adolescent':ti,ab,kw OR 'adolescence':ti,ab,kw OR 'teenager':ti,ab,kw OR 'youth':ti,ab,kw OR 'infant':ti,ab,kw)</w:t>
            </w:r>
          </w:p>
        </w:tc>
      </w:tr>
      <w:tr w14:paraId="06D35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1650" w:type="dxa"/>
            <w:vAlign w:val="top"/>
          </w:tcPr>
          <w:p w14:paraId="07E9EF76">
            <w:pPr>
              <w:widowControl/>
              <w:spacing w:before="240" w:after="240" w:line="360" w:lineRule="auto"/>
              <w:jc w:val="center"/>
              <w:rPr>
                <w:rFonts w:ascii="Times New Roman" w:hAnsi="Times New Roman" w:eastAsia="Aptos" w:cs="Times New Roman"/>
                <w:b/>
                <w:bCs/>
                <w:sz w:val="20"/>
                <w:szCs w:val="20"/>
                <w:lang w:val="en-US" w:eastAsia="en-US"/>
                <w14:ligatures w14:val="standardContextual"/>
              </w:rPr>
            </w:pPr>
            <w:r>
              <w:rPr>
                <w:rFonts w:ascii="Times New Roman" w:hAnsi="Times New Roman" w:eastAsia="Aptos" w:cs="Times New Roman"/>
                <w:b/>
                <w:bCs/>
                <w:sz w:val="20"/>
                <w:szCs w:val="20"/>
                <w:lang w:val="en-US" w:eastAsia="en-US"/>
                <w14:ligatures w14:val="standardContextual"/>
              </w:rPr>
              <w:t>Web of Science</w:t>
            </w:r>
          </w:p>
          <w:p w14:paraId="2785F22F">
            <w:pPr>
              <w:widowControl/>
              <w:spacing w:before="240" w:after="240" w:line="360" w:lineRule="auto"/>
              <w:jc w:val="center"/>
              <w:rPr>
                <w:rFonts w:ascii="Times New Roman" w:hAnsi="Times New Roman" w:eastAsia="Aptos" w:cs="Times New Roman"/>
                <w:sz w:val="24"/>
                <w:lang w:val="en-US" w:eastAsia="en-US"/>
                <w14:ligatures w14:val="standardContextual"/>
              </w:rPr>
            </w:pPr>
            <w:r>
              <w:rPr>
                <w:rFonts w:ascii="Times New Roman" w:hAnsi="Times New Roman" w:eastAsia="Aptos" w:cs="Times New Roman"/>
                <w:sz w:val="24"/>
                <w:lang w:val="en-US" w:eastAsia="en-US"/>
                <w14:ligatures w14:val="standardContextual"/>
              </w:rPr>
              <w:t>(</w:t>
            </w:r>
            <w:r>
              <w:rPr>
                <w:rFonts w:hint="eastAsia" w:ascii="Times New Roman" w:hAnsi="Times New Roman" w:eastAsia="Aptos" w:cs="Times New Roman"/>
                <w:sz w:val="24"/>
                <w:lang w:val="en-US" w:eastAsia="zh-CN"/>
                <w14:ligatures w14:val="standardContextual"/>
              </w:rPr>
              <w:t>212</w:t>
            </w:r>
            <w:r>
              <w:rPr>
                <w:rFonts w:ascii="Times New Roman" w:hAnsi="Times New Roman" w:eastAsia="Aptos" w:cs="Times New Roman"/>
                <w:sz w:val="24"/>
                <w:lang w:val="en-US" w:eastAsia="en-US"/>
                <w14:ligatures w14:val="standardContextual"/>
              </w:rPr>
              <w:t>)</w:t>
            </w:r>
          </w:p>
        </w:tc>
        <w:tc>
          <w:tcPr>
            <w:tcW w:w="13159" w:type="dxa"/>
            <w:vAlign w:val="top"/>
          </w:tcPr>
          <w:p w14:paraId="530514CD">
            <w:pPr>
              <w:widowControl/>
              <w:spacing w:before="240" w:after="240" w:line="360" w:lineRule="auto"/>
              <w:jc w:val="both"/>
              <w:rPr>
                <w:rFonts w:ascii="Times New Roman" w:hAnsi="Times New Roman" w:eastAsia="Aptos" w:cs="Times New Roman"/>
                <w:sz w:val="24"/>
                <w:lang w:val="en-US" w:eastAsia="en-US"/>
                <w14:ligatures w14:val="standardContextual"/>
              </w:rPr>
            </w:pPr>
            <w:r>
              <w:rPr>
                <w:rFonts w:ascii="Times New Roman" w:hAnsi="Times New Roman" w:eastAsia="Aptos" w:cs="Times New Roman"/>
                <w:sz w:val="20"/>
                <w:szCs w:val="20"/>
                <w:lang w:val="en-US" w:eastAsia="en-US"/>
                <w14:ligatures w14:val="standardContextual"/>
              </w:rPr>
              <w:t>TS=(("ustekinumab" OR "Stelara" OR "CNTO 1275" OR "CNTO-1275") AND ("inflammatory bowel disease" OR "IBD" OR "Crohn's disease" OR "ulcerative colitis" OR "UC") AND ("pediatric" OR "paediatric" OR "child" OR "children" OR "adolescent" OR "youth" OR "teenager" OR "infant"))</w:t>
            </w:r>
          </w:p>
        </w:tc>
      </w:tr>
      <w:tr w14:paraId="7C85E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1650" w:type="dxa"/>
            <w:vAlign w:val="top"/>
          </w:tcPr>
          <w:p w14:paraId="29B56CAB">
            <w:pPr>
              <w:widowControl/>
              <w:spacing w:before="240" w:after="240" w:line="360" w:lineRule="auto"/>
              <w:jc w:val="center"/>
              <w:rPr>
                <w:rFonts w:ascii="Times New Roman" w:hAnsi="Times New Roman" w:eastAsia="Aptos" w:cs="Times New Roman"/>
                <w:b/>
                <w:bCs/>
                <w:sz w:val="20"/>
                <w:szCs w:val="20"/>
                <w:lang w:val="en-US" w:eastAsia="en-US"/>
                <w14:ligatures w14:val="standardContextual"/>
              </w:rPr>
            </w:pPr>
            <w:r>
              <w:rPr>
                <w:rFonts w:ascii="Times New Roman" w:hAnsi="Times New Roman" w:eastAsia="Aptos" w:cs="Times New Roman"/>
                <w:b/>
                <w:bCs/>
                <w:sz w:val="20"/>
                <w:szCs w:val="20"/>
                <w:lang w:val="en-US" w:eastAsia="en-US"/>
                <w14:ligatures w14:val="standardContextual"/>
              </w:rPr>
              <w:t>Cochrane Library</w:t>
            </w:r>
          </w:p>
          <w:p w14:paraId="5A99F96A">
            <w:pPr>
              <w:widowControl/>
              <w:spacing w:before="240" w:after="240" w:line="360" w:lineRule="auto"/>
              <w:jc w:val="center"/>
              <w:rPr>
                <w:rFonts w:ascii="Times New Roman" w:hAnsi="Times New Roman" w:eastAsia="Aptos" w:cs="Times New Roman"/>
                <w:sz w:val="24"/>
                <w:lang w:val="en-US" w:eastAsia="en-US"/>
                <w14:ligatures w14:val="standardContextual"/>
              </w:rPr>
            </w:pPr>
            <w:r>
              <w:rPr>
                <w:rFonts w:ascii="Times New Roman" w:hAnsi="Times New Roman" w:eastAsia="Aptos" w:cs="Times New Roman"/>
                <w:sz w:val="24"/>
                <w:lang w:val="en-US" w:eastAsia="en-US"/>
                <w14:ligatures w14:val="standardContextual"/>
              </w:rPr>
              <w:t>(</w:t>
            </w:r>
            <w:r>
              <w:rPr>
                <w:rFonts w:hint="eastAsia" w:ascii="Times New Roman" w:hAnsi="Times New Roman" w:eastAsia="Aptos" w:cs="Times New Roman"/>
                <w:sz w:val="24"/>
                <w:lang w:val="en-US" w:eastAsia="zh-CN"/>
                <w14:ligatures w14:val="standardContextual"/>
              </w:rPr>
              <w:t>33</w:t>
            </w:r>
            <w:r>
              <w:rPr>
                <w:rFonts w:ascii="Times New Roman" w:hAnsi="Times New Roman" w:eastAsia="Aptos" w:cs="Times New Roman"/>
                <w:sz w:val="24"/>
                <w:lang w:val="en-US" w:eastAsia="en-US"/>
                <w14:ligatures w14:val="standardContextual"/>
              </w:rPr>
              <w:t>)</w:t>
            </w:r>
          </w:p>
        </w:tc>
        <w:tc>
          <w:tcPr>
            <w:tcW w:w="13159" w:type="dxa"/>
            <w:vAlign w:val="top"/>
          </w:tcPr>
          <w:p w14:paraId="4B673B1B">
            <w:pPr>
              <w:widowControl/>
              <w:spacing w:before="240" w:after="240" w:line="360" w:lineRule="auto"/>
              <w:jc w:val="both"/>
              <w:rPr>
                <w:rFonts w:ascii="Times New Roman" w:hAnsi="Times New Roman" w:eastAsia="Aptos" w:cs="Times New Roman"/>
                <w:sz w:val="24"/>
                <w:lang w:val="en-US" w:eastAsia="en-US"/>
                <w14:ligatures w14:val="standardContextual"/>
              </w:rPr>
            </w:pPr>
            <w:r>
              <w:rPr>
                <w:rFonts w:ascii="Times New Roman" w:hAnsi="Times New Roman" w:eastAsia="Aptos" w:cs="Times New Roman"/>
                <w:sz w:val="20"/>
                <w:szCs w:val="20"/>
                <w:lang w:val="en-US" w:eastAsia="en-US"/>
                <w14:ligatures w14:val="standardContextual"/>
              </w:rPr>
              <w:t>("ustekinumab" OR "Stelara" OR "CNTO 1275") AND ("inflammatory bowel disease" OR "Crohn's disease" OR "ulcerative colitis" OR "IBD") AND ("pediatric" OR "paediatric" OR "child" OR "children" OR "adolescent")</w:t>
            </w:r>
          </w:p>
        </w:tc>
      </w:tr>
    </w:tbl>
    <w:p w14:paraId="26A9F654">
      <w:pPr>
        <w:rPr>
          <w:rFonts w:ascii="Arial" w:hAnsi="Arial" w:cs="Arial"/>
          <w:b/>
          <w:bCs/>
          <w:sz w:val="20"/>
          <w:szCs w:val="20"/>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14:paraId="6998F166">
      <w:pPr>
        <w:widowControl/>
        <w:jc w:val="left"/>
        <w:rPr>
          <w:rFonts w:hint="default" w:ascii="Times New Roman" w:hAnsi="Times New Roman" w:eastAsia="Aptos" w:cs="Times New Roman"/>
          <w:b/>
          <w:bCs/>
          <w:sz w:val="24"/>
          <w:lang w:val="en-US" w:eastAsia="zh-CN"/>
          <w14:ligatures w14:val="standardContextual"/>
        </w:rPr>
      </w:pPr>
      <w:r>
        <w:rPr>
          <w:rFonts w:hint="eastAsia" w:ascii="Times New Roman" w:hAnsi="Times New Roman" w:eastAsia="Aptos" w:cs="Times New Roman"/>
          <w:b/>
          <w:bCs/>
          <w:sz w:val="24"/>
          <w:lang w:val="en-US" w:eastAsia="zh-CN"/>
          <w14:ligatures w14:val="standardContextual"/>
        </w:rPr>
        <w:t>Table S2: The 2020 Preferred Reporting Items for Systematic Reviews and Meta-Analyses (PRISMA) Checklist</w:t>
      </w:r>
    </w:p>
    <w:tbl>
      <w:tblPr>
        <w:tblStyle w:val="5"/>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45"/>
        <w:gridCol w:w="1200"/>
      </w:tblGrid>
      <w:tr w14:paraId="034B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F21474">
            <w:pPr>
              <w:pStyle w:val="9"/>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E07AE6F">
            <w:pPr>
              <w:pStyle w:val="9"/>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7BBC1C0">
            <w:pPr>
              <w:pStyle w:val="9"/>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04AC1B">
            <w:pPr>
              <w:pStyle w:val="9"/>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693A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9"/>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9"/>
              <w:jc w:val="right"/>
              <w:rPr>
                <w:rFonts w:ascii="Arial" w:hAnsi="Arial" w:cs="Arial"/>
                <w:color w:val="auto"/>
                <w:sz w:val="18"/>
                <w:szCs w:val="18"/>
              </w:rPr>
            </w:pPr>
          </w:p>
        </w:tc>
      </w:tr>
      <w:tr w14:paraId="38904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7273498C">
            <w:pPr>
              <w:pStyle w:val="9"/>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BD96756">
            <w:pPr>
              <w:pStyle w:val="9"/>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6E5E223C">
            <w:pPr>
              <w:pStyle w:val="9"/>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2C544964">
            <w:pPr>
              <w:pStyle w:val="9"/>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p>
        </w:tc>
      </w:tr>
      <w:tr w14:paraId="3414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9"/>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9"/>
              <w:jc w:val="right"/>
              <w:rPr>
                <w:rFonts w:ascii="Arial" w:hAnsi="Arial" w:cs="Arial"/>
                <w:color w:val="auto"/>
                <w:sz w:val="18"/>
                <w:szCs w:val="18"/>
              </w:rPr>
            </w:pPr>
          </w:p>
        </w:tc>
      </w:tr>
      <w:tr w14:paraId="6293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022C7641">
            <w:pPr>
              <w:pStyle w:val="9"/>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C1421F">
            <w:pPr>
              <w:pStyle w:val="9"/>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5712AD67">
            <w:pPr>
              <w:pStyle w:val="9"/>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029328DB">
            <w:pPr>
              <w:pStyle w:val="9"/>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p>
        </w:tc>
      </w:tr>
      <w:tr w14:paraId="5138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9"/>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9"/>
              <w:jc w:val="right"/>
              <w:rPr>
                <w:rFonts w:ascii="Arial" w:hAnsi="Arial" w:cs="Arial"/>
                <w:color w:val="auto"/>
                <w:sz w:val="18"/>
                <w:szCs w:val="18"/>
              </w:rPr>
            </w:pPr>
          </w:p>
        </w:tc>
      </w:tr>
      <w:tr w14:paraId="1613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92F204E">
            <w:pPr>
              <w:pStyle w:val="9"/>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1FF73C89">
            <w:pPr>
              <w:pStyle w:val="9"/>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6ADA1255">
            <w:pPr>
              <w:pStyle w:val="9"/>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4AFE3A6B">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1-2</w:t>
            </w:r>
          </w:p>
        </w:tc>
      </w:tr>
      <w:tr w14:paraId="126B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729B596">
            <w:pPr>
              <w:pStyle w:val="9"/>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627E886">
            <w:pPr>
              <w:pStyle w:val="9"/>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34103CE3">
            <w:pPr>
              <w:pStyle w:val="9"/>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6DFCB2FE">
            <w:pPr>
              <w:pStyle w:val="9"/>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w:t>
            </w:r>
          </w:p>
        </w:tc>
      </w:tr>
      <w:tr w14:paraId="324F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9"/>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9"/>
              <w:jc w:val="right"/>
              <w:rPr>
                <w:rFonts w:ascii="Arial" w:hAnsi="Arial" w:cs="Arial"/>
                <w:color w:val="auto"/>
                <w:sz w:val="18"/>
                <w:szCs w:val="18"/>
              </w:rPr>
            </w:pPr>
          </w:p>
        </w:tc>
      </w:tr>
      <w:tr w14:paraId="0A3C9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33B4F24">
            <w:pPr>
              <w:pStyle w:val="9"/>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557CC61">
            <w:pPr>
              <w:pStyle w:val="9"/>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044876D7">
            <w:pPr>
              <w:pStyle w:val="9"/>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6B03C229">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2-3</w:t>
            </w:r>
          </w:p>
        </w:tc>
      </w:tr>
      <w:tr w14:paraId="16FE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5190E0C3">
            <w:pPr>
              <w:pStyle w:val="9"/>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E0B6F4F">
            <w:pPr>
              <w:pStyle w:val="9"/>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57B9F4B4">
            <w:pPr>
              <w:pStyle w:val="9"/>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13ED706A">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442A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54B1526">
            <w:pPr>
              <w:pStyle w:val="9"/>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77254E">
            <w:pPr>
              <w:pStyle w:val="9"/>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21DED44A">
            <w:pPr>
              <w:pStyle w:val="9"/>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7C82E223">
            <w:pPr>
              <w:pStyle w:val="9"/>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3,appendix</w:t>
            </w:r>
          </w:p>
        </w:tc>
      </w:tr>
      <w:tr w14:paraId="1CB7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623B265">
            <w:pPr>
              <w:pStyle w:val="9"/>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27F98AB">
            <w:pPr>
              <w:pStyle w:val="9"/>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3410B901">
            <w:pPr>
              <w:pStyle w:val="9"/>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00962FE3">
            <w:pPr>
              <w:pStyle w:val="9"/>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2860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51505877">
            <w:pPr>
              <w:pStyle w:val="9"/>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25EB2B9">
            <w:pPr>
              <w:pStyle w:val="9"/>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55FB2B23">
            <w:pPr>
              <w:pStyle w:val="9"/>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1FB2C5F1">
            <w:pPr>
              <w:pStyle w:val="9"/>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4DC3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86BEC60">
            <w:pPr>
              <w:pStyle w:val="9"/>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F57E84D">
            <w:pPr>
              <w:pStyle w:val="9"/>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6A77D279">
            <w:pPr>
              <w:pStyle w:val="9"/>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11D25995">
            <w:pPr>
              <w:pStyle w:val="9"/>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35FA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E21F8B5">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4F2A64">
            <w:pPr>
              <w:pStyle w:val="9"/>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101A3B3D">
            <w:pPr>
              <w:pStyle w:val="9"/>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595F3ED8">
            <w:pPr>
              <w:pStyle w:val="9"/>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0276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946292E">
            <w:pPr>
              <w:pStyle w:val="9"/>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3A6AE1D">
            <w:pPr>
              <w:pStyle w:val="9"/>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5C7277A8">
            <w:pPr>
              <w:pStyle w:val="9"/>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2E65623E">
            <w:pPr>
              <w:pStyle w:val="9"/>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578B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C2A98BC">
            <w:pPr>
              <w:pStyle w:val="9"/>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2932148E">
            <w:pPr>
              <w:pStyle w:val="9"/>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014B552B">
            <w:pPr>
              <w:pStyle w:val="9"/>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420F1455">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3-4</w:t>
            </w:r>
          </w:p>
        </w:tc>
      </w:tr>
      <w:tr w14:paraId="3AC34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D0A6E32">
            <w:pPr>
              <w:pStyle w:val="9"/>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43234D5">
            <w:pPr>
              <w:pStyle w:val="9"/>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1521797E">
            <w:pPr>
              <w:pStyle w:val="9"/>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403E8D65">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3-4</w:t>
            </w:r>
          </w:p>
        </w:tc>
      </w:tr>
      <w:tr w14:paraId="1778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3FF4436">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2E89B6B">
            <w:pPr>
              <w:pStyle w:val="9"/>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009F1C82">
            <w:pPr>
              <w:pStyle w:val="9"/>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73156963">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3-4</w:t>
            </w:r>
          </w:p>
        </w:tc>
      </w:tr>
      <w:tr w14:paraId="4FF6F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AC6B0CC">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3793896">
            <w:pPr>
              <w:pStyle w:val="9"/>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5C7C87FD">
            <w:pPr>
              <w:pStyle w:val="9"/>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3079E946">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3-4</w:t>
            </w:r>
          </w:p>
        </w:tc>
      </w:tr>
      <w:tr w14:paraId="45A1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78DE9F90">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9C41A4">
            <w:pPr>
              <w:pStyle w:val="9"/>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788EDA76">
            <w:pPr>
              <w:pStyle w:val="9"/>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1B5FCF50">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3-4</w:t>
            </w:r>
          </w:p>
        </w:tc>
      </w:tr>
      <w:tr w14:paraId="678F7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61CA026E">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CC181F">
            <w:pPr>
              <w:pStyle w:val="9"/>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39C60ECA">
            <w:pPr>
              <w:pStyle w:val="9"/>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7E3237B1">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3-4</w:t>
            </w:r>
          </w:p>
        </w:tc>
      </w:tr>
      <w:tr w14:paraId="0EF9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40E60726">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AD1957">
            <w:pPr>
              <w:pStyle w:val="9"/>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32B204F5">
            <w:pPr>
              <w:pStyle w:val="9"/>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7275097C">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3-4</w:t>
            </w:r>
          </w:p>
        </w:tc>
      </w:tr>
      <w:tr w14:paraId="2C372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06E8AEA">
            <w:pPr>
              <w:pStyle w:val="9"/>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BD41C6F">
            <w:pPr>
              <w:pStyle w:val="9"/>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6353979A">
            <w:pPr>
              <w:pStyle w:val="9"/>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18EBE183">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3-4</w:t>
            </w:r>
          </w:p>
        </w:tc>
      </w:tr>
      <w:tr w14:paraId="56CA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329A6D8">
            <w:pPr>
              <w:pStyle w:val="9"/>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FF29597">
            <w:pPr>
              <w:pStyle w:val="9"/>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1861BBFE">
            <w:pPr>
              <w:pStyle w:val="9"/>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7875B5BE">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1ABEF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9"/>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9"/>
              <w:jc w:val="center"/>
              <w:rPr>
                <w:rFonts w:ascii="Arial" w:hAnsi="Arial" w:cs="Arial"/>
                <w:color w:val="auto"/>
                <w:sz w:val="18"/>
                <w:szCs w:val="18"/>
              </w:rPr>
            </w:pPr>
          </w:p>
        </w:tc>
      </w:tr>
      <w:tr w14:paraId="783B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C5E0E20">
            <w:pPr>
              <w:pStyle w:val="9"/>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F50B5EC">
            <w:pPr>
              <w:pStyle w:val="9"/>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465FDF79">
            <w:pPr>
              <w:pStyle w:val="9"/>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670CFC65">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4-5</w:t>
            </w:r>
          </w:p>
        </w:tc>
      </w:tr>
      <w:tr w14:paraId="1BA22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3401FBA">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E0E0DCA">
            <w:pPr>
              <w:pStyle w:val="9"/>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7C33FBE2">
            <w:pPr>
              <w:pStyle w:val="9"/>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715316E4">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w:t>
            </w:r>
          </w:p>
        </w:tc>
      </w:tr>
      <w:tr w14:paraId="5BCD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248BFA8C">
            <w:pPr>
              <w:pStyle w:val="9"/>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29178F2C">
            <w:pPr>
              <w:pStyle w:val="9"/>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07DC5B50">
            <w:pPr>
              <w:pStyle w:val="9"/>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2BA7B4C0">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4-6</w:t>
            </w:r>
          </w:p>
        </w:tc>
      </w:tr>
      <w:tr w14:paraId="79DAC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74D41F9">
            <w:pPr>
              <w:pStyle w:val="9"/>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39E8AC19">
            <w:pPr>
              <w:pStyle w:val="9"/>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2E1F0F3A">
            <w:pPr>
              <w:pStyle w:val="9"/>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7897FD3B">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5-6</w:t>
            </w:r>
          </w:p>
        </w:tc>
      </w:tr>
      <w:tr w14:paraId="3D37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8FD34DF">
            <w:pPr>
              <w:pStyle w:val="9"/>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4E24747">
            <w:pPr>
              <w:pStyle w:val="9"/>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77D5105C">
            <w:pPr>
              <w:pStyle w:val="9"/>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43E181A6">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8-11</w:t>
            </w:r>
          </w:p>
        </w:tc>
      </w:tr>
      <w:tr w14:paraId="58431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6BFCE5C">
            <w:pPr>
              <w:pStyle w:val="9"/>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75C64BB">
            <w:pPr>
              <w:pStyle w:val="9"/>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0E913473">
            <w:pPr>
              <w:pStyle w:val="9"/>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7395E36F">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4-6</w:t>
            </w:r>
          </w:p>
        </w:tc>
      </w:tr>
      <w:tr w14:paraId="29B5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4760E726">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907E6F">
            <w:pPr>
              <w:pStyle w:val="9"/>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214F5C2A">
            <w:pPr>
              <w:pStyle w:val="9"/>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7C8F8A33">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7-10</w:t>
            </w:r>
          </w:p>
        </w:tc>
      </w:tr>
      <w:tr w14:paraId="4D409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1B863B38">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9AA4A5">
            <w:pPr>
              <w:pStyle w:val="9"/>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52AB047D">
            <w:pPr>
              <w:pStyle w:val="9"/>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05D8123F">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10-11</w:t>
            </w:r>
          </w:p>
        </w:tc>
      </w:tr>
      <w:tr w14:paraId="7118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56A0208">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EDCBE6E">
            <w:pPr>
              <w:pStyle w:val="9"/>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45824D6A">
            <w:pPr>
              <w:pStyle w:val="9"/>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32E0B1FA">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11</w:t>
            </w:r>
          </w:p>
        </w:tc>
      </w:tr>
      <w:tr w14:paraId="24A24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156C072">
            <w:pPr>
              <w:pStyle w:val="9"/>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8218F69">
            <w:pPr>
              <w:pStyle w:val="9"/>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5A87793F">
            <w:pPr>
              <w:pStyle w:val="9"/>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1A435861">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11-12</w:t>
            </w:r>
          </w:p>
        </w:tc>
      </w:tr>
      <w:tr w14:paraId="0FF31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E8D53DB">
            <w:pPr>
              <w:pStyle w:val="9"/>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6CD28">
            <w:pPr>
              <w:pStyle w:val="9"/>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31892DC8">
            <w:pPr>
              <w:pStyle w:val="9"/>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76AE189C">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6CE3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9"/>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9"/>
              <w:jc w:val="center"/>
              <w:rPr>
                <w:rFonts w:ascii="Arial" w:hAnsi="Arial" w:cs="Arial"/>
                <w:color w:val="auto"/>
                <w:sz w:val="18"/>
                <w:szCs w:val="18"/>
              </w:rPr>
            </w:pPr>
          </w:p>
        </w:tc>
      </w:tr>
      <w:tr w14:paraId="44C0D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6A415BD4">
            <w:pPr>
              <w:pStyle w:val="9"/>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686CD052">
            <w:pPr>
              <w:pStyle w:val="9"/>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3180C0BE">
            <w:pPr>
              <w:pStyle w:val="9"/>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336F0287">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12-14</w:t>
            </w:r>
          </w:p>
        </w:tc>
      </w:tr>
      <w:tr w14:paraId="0A24C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4E4593B">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73FF5B7">
            <w:pPr>
              <w:pStyle w:val="9"/>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2BC239AF">
            <w:pPr>
              <w:pStyle w:val="9"/>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552BBDFF">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14</w:t>
            </w:r>
          </w:p>
        </w:tc>
      </w:tr>
      <w:tr w14:paraId="1CBB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276A062">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BF3966A">
            <w:pPr>
              <w:pStyle w:val="9"/>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1ADE0693">
            <w:pPr>
              <w:pStyle w:val="9"/>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52AEF35E">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14</w:t>
            </w:r>
          </w:p>
        </w:tc>
      </w:tr>
      <w:tr w14:paraId="52BD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4105AB4C">
            <w:pPr>
              <w:pStyle w:val="9"/>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189697D">
            <w:pPr>
              <w:pStyle w:val="9"/>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5FA0A2F2">
            <w:pPr>
              <w:pStyle w:val="9"/>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30980325">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14-15</w:t>
            </w:r>
          </w:p>
        </w:tc>
      </w:tr>
      <w:tr w14:paraId="51341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9"/>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9"/>
              <w:jc w:val="center"/>
              <w:rPr>
                <w:rFonts w:ascii="Arial" w:hAnsi="Arial" w:cs="Arial"/>
                <w:color w:val="auto"/>
                <w:sz w:val="18"/>
                <w:szCs w:val="18"/>
              </w:rPr>
            </w:pPr>
          </w:p>
        </w:tc>
      </w:tr>
      <w:tr w14:paraId="5CF9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56E3C875">
            <w:pPr>
              <w:pStyle w:val="9"/>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B8E2191">
            <w:pPr>
              <w:pStyle w:val="9"/>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16AABB8D">
            <w:pPr>
              <w:pStyle w:val="9"/>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2EE9DE13">
            <w:pPr>
              <w:pStyle w:val="9"/>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w:t>
            </w:r>
          </w:p>
        </w:tc>
      </w:tr>
      <w:tr w14:paraId="4C3E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038F19BF">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DB58A7">
            <w:pPr>
              <w:pStyle w:val="9"/>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30E4D536">
            <w:pPr>
              <w:pStyle w:val="9"/>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55D44A96">
            <w:pPr>
              <w:pStyle w:val="9"/>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w:t>
            </w:r>
          </w:p>
        </w:tc>
      </w:tr>
      <w:tr w14:paraId="131EC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3F05BA64">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CC5356">
            <w:pPr>
              <w:pStyle w:val="9"/>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0EA5EF40">
            <w:pPr>
              <w:pStyle w:val="9"/>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0ED81809">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10B0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68E03AB">
            <w:pPr>
              <w:pStyle w:val="9"/>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12FAD83">
            <w:pPr>
              <w:pStyle w:val="9"/>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3D202DC4">
            <w:pPr>
              <w:pStyle w:val="9"/>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1688945E">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30333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7DA1532">
            <w:pPr>
              <w:pStyle w:val="9"/>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46BF2DB">
            <w:pPr>
              <w:pStyle w:val="9"/>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6C50B7A3">
            <w:pPr>
              <w:pStyle w:val="9"/>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6FA1E09F">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15</w:t>
            </w:r>
          </w:p>
        </w:tc>
      </w:tr>
      <w:tr w14:paraId="7E1A8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71A9B4E7">
            <w:pPr>
              <w:pStyle w:val="9"/>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168E063F">
            <w:pPr>
              <w:pStyle w:val="9"/>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619249F8">
            <w:pPr>
              <w:pStyle w:val="9"/>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442C99F1">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15</w:t>
            </w:r>
          </w:p>
        </w:tc>
      </w:tr>
    </w:tbl>
    <w:p w14:paraId="2D1FD980">
      <w:pPr>
        <w:rPr>
          <w:rFonts w:hint="default" w:ascii="Times New Roman" w:hAnsi="Times New Roman" w:cs="Times New Roman"/>
          <w:b/>
          <w:bCs/>
          <w:sz w:val="20"/>
          <w:szCs w:val="20"/>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r>
        <w:rPr>
          <w:rFonts w:hint="default" w:ascii="Times New Roman" w:hAnsi="Times New Roman" w:cs="Times New Roman"/>
          <w:i/>
          <w:iCs/>
          <w:color w:val="auto"/>
          <w:sz w:val="16"/>
          <w:szCs w:val="16"/>
        </w:rPr>
        <w:t xml:space="preserve">From: </w:t>
      </w:r>
      <w:r>
        <w:rPr>
          <w:rFonts w:hint="default" w:ascii="Times New Roman" w:hAnsi="Times New Roman" w:cs="Times New Roman"/>
          <w:color w:val="auto"/>
          <w:sz w:val="16"/>
          <w:szCs w:val="16"/>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r>
        <w:rPr>
          <w:rFonts w:hint="default" w:ascii="Times New Roman" w:hAnsi="Times New Roman" w:cs="Times New Roman"/>
        </w:rPr>
        <w:fldChar w:fldCharType="begin"/>
      </w:r>
      <w:r>
        <w:rPr>
          <w:rFonts w:hint="default" w:ascii="Times New Roman" w:hAnsi="Times New Roman" w:cs="Times New Roman"/>
        </w:rPr>
        <w:instrText xml:space="preserve"> HYPERLINK "https://creativecommons.org/licenses/by/4.0/" </w:instrText>
      </w:r>
      <w:r>
        <w:rPr>
          <w:rFonts w:hint="default" w:ascii="Times New Roman" w:hAnsi="Times New Roman" w:cs="Times New Roman"/>
        </w:rPr>
        <w:fldChar w:fldCharType="separate"/>
      </w:r>
      <w:r>
        <w:rPr>
          <w:rStyle w:val="8"/>
          <w:rFonts w:hint="default" w:ascii="Times New Roman" w:hAnsi="Times New Roman" w:eastAsia="Times New Roman" w:cs="Times New Roman"/>
          <w:sz w:val="16"/>
          <w:szCs w:val="16"/>
        </w:rPr>
        <w:t>https://creativecommons.org/licenses/by/4.0/</w:t>
      </w:r>
      <w:r>
        <w:rPr>
          <w:rStyle w:val="8"/>
          <w:rFonts w:hint="default" w:ascii="Times New Roman" w:hAnsi="Times New Roman" w:eastAsia="Times New Roman" w:cs="Times New Roman"/>
          <w:sz w:val="16"/>
          <w:szCs w:val="16"/>
        </w:rPr>
        <w:fldChar w:fldCharType="end"/>
      </w:r>
    </w:p>
    <w:p w14:paraId="69233EDC">
      <w:pPr>
        <w:rPr>
          <w:rFonts w:hint="default" w:ascii="Times New Roman" w:hAnsi="Times New Roman" w:cs="Times New Roman"/>
          <w:b/>
          <w:bCs/>
          <w:sz w:val="20"/>
          <w:szCs w:val="20"/>
        </w:rPr>
      </w:pPr>
      <w:r>
        <w:rPr>
          <w:rFonts w:hint="default" w:ascii="Times New Roman" w:hAnsi="Times New Roman" w:cs="Times New Roman"/>
          <w:b/>
          <w:bCs/>
          <w:sz w:val="20"/>
          <w:szCs w:val="20"/>
        </w:rPr>
        <w:t>Table S</w:t>
      </w:r>
      <w:r>
        <w:rPr>
          <w:rFonts w:hint="eastAsia" w:ascii="Times New Roman" w:hAnsi="Times New Roman" w:cs="Times New Roman"/>
          <w:b/>
          <w:bCs/>
          <w:sz w:val="20"/>
          <w:szCs w:val="20"/>
          <w:lang w:val="en-US" w:eastAsia="zh-CN"/>
        </w:rPr>
        <w:t>3</w:t>
      </w:r>
      <w:r>
        <w:rPr>
          <w:rFonts w:hint="default" w:ascii="Times New Roman" w:hAnsi="Times New Roman" w:cs="Times New Roman"/>
          <w:b/>
          <w:bCs/>
          <w:sz w:val="20"/>
          <w:szCs w:val="20"/>
        </w:rPr>
        <w:t>: Quality Assessment of Included Studies Using the MINORS Scale</w:t>
      </w:r>
    </w:p>
    <w:tbl>
      <w:tblPr>
        <w:tblStyle w:val="6"/>
        <w:tblW w:w="0" w:type="auto"/>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749"/>
        <w:gridCol w:w="748"/>
        <w:gridCol w:w="748"/>
        <w:gridCol w:w="749"/>
        <w:gridCol w:w="749"/>
        <w:gridCol w:w="749"/>
        <w:gridCol w:w="749"/>
        <w:gridCol w:w="749"/>
        <w:gridCol w:w="749"/>
        <w:gridCol w:w="783"/>
      </w:tblGrid>
      <w:tr w14:paraId="44738AB6">
        <w:tblPrEx>
          <w:tblCellMar>
            <w:top w:w="0" w:type="dxa"/>
            <w:left w:w="108" w:type="dxa"/>
            <w:bottom w:w="0" w:type="dxa"/>
            <w:right w:w="108" w:type="dxa"/>
          </w:tblCellMar>
        </w:tblPrEx>
        <w:trPr>
          <w:jc w:val="center"/>
        </w:trPr>
        <w:tc>
          <w:tcPr>
            <w:tcW w:w="1749" w:type="dxa"/>
            <w:tcBorders>
              <w:top w:val="single" w:color="auto" w:sz="12" w:space="0"/>
              <w:bottom w:val="single" w:color="auto" w:sz="4" w:space="0"/>
            </w:tcBorders>
            <w:vAlign w:val="top"/>
          </w:tcPr>
          <w:p w14:paraId="4DEE2B13">
            <w:pPr>
              <w:spacing w:after="0" w:line="240" w:lineRule="auto"/>
              <w:rPr>
                <w:rFonts w:ascii="Arial" w:hAnsi="Arial" w:cs="Arial"/>
                <w:b/>
                <w:bCs/>
                <w:sz w:val="20"/>
                <w:szCs w:val="20"/>
              </w:rPr>
            </w:pPr>
            <w:r>
              <w:rPr>
                <w:rFonts w:hint="default" w:ascii="Times New Roman" w:hAnsi="Times New Roman" w:cs="Times New Roman"/>
                <w:b/>
                <w:bCs/>
                <w:sz w:val="20"/>
                <w:szCs w:val="20"/>
              </w:rPr>
              <w:t>Study</w:t>
            </w:r>
          </w:p>
        </w:tc>
        <w:tc>
          <w:tcPr>
            <w:tcW w:w="748" w:type="dxa"/>
            <w:tcBorders>
              <w:top w:val="single" w:color="auto" w:sz="12" w:space="0"/>
              <w:bottom w:val="single" w:color="auto" w:sz="4" w:space="0"/>
            </w:tcBorders>
            <w:vAlign w:val="top"/>
          </w:tcPr>
          <w:p w14:paraId="5AAAECAA">
            <w:pPr>
              <w:spacing w:after="0" w:line="240" w:lineRule="auto"/>
              <w:rPr>
                <w:rFonts w:hint="default" w:ascii="Times New Roman" w:hAnsi="Times New Roman" w:cs="Times New Roman"/>
                <w:b/>
                <w:bCs/>
                <w:sz w:val="20"/>
                <w:szCs w:val="20"/>
              </w:rPr>
            </w:pPr>
            <w:r>
              <w:rPr>
                <w:rFonts w:hint="default" w:ascii="Times New Roman" w:hAnsi="Times New Roman" w:cs="Times New Roman"/>
                <w:b/>
                <w:bCs/>
                <w:sz w:val="20"/>
                <w:szCs w:val="20"/>
              </w:rPr>
              <w:t>Item 1</w:t>
            </w:r>
          </w:p>
        </w:tc>
        <w:tc>
          <w:tcPr>
            <w:tcW w:w="748" w:type="dxa"/>
            <w:tcBorders>
              <w:top w:val="single" w:color="auto" w:sz="12" w:space="0"/>
              <w:bottom w:val="single" w:color="auto" w:sz="4" w:space="0"/>
            </w:tcBorders>
            <w:vAlign w:val="top"/>
          </w:tcPr>
          <w:p w14:paraId="59FF84AA">
            <w:pPr>
              <w:spacing w:after="0" w:line="240" w:lineRule="auto"/>
              <w:rPr>
                <w:rFonts w:hint="default" w:ascii="Times New Roman" w:hAnsi="Times New Roman" w:cs="Times New Roman"/>
                <w:b/>
                <w:bCs/>
                <w:sz w:val="20"/>
                <w:szCs w:val="20"/>
              </w:rPr>
            </w:pPr>
            <w:r>
              <w:rPr>
                <w:rFonts w:hint="default" w:ascii="Times New Roman" w:hAnsi="Times New Roman" w:cs="Times New Roman"/>
                <w:b/>
                <w:bCs/>
                <w:sz w:val="20"/>
                <w:szCs w:val="20"/>
              </w:rPr>
              <w:t>Item 2</w:t>
            </w:r>
          </w:p>
        </w:tc>
        <w:tc>
          <w:tcPr>
            <w:tcW w:w="749" w:type="dxa"/>
            <w:tcBorders>
              <w:top w:val="single" w:color="auto" w:sz="12" w:space="0"/>
              <w:bottom w:val="single" w:color="auto" w:sz="4" w:space="0"/>
            </w:tcBorders>
            <w:vAlign w:val="top"/>
          </w:tcPr>
          <w:p w14:paraId="389772D6">
            <w:pPr>
              <w:spacing w:after="0" w:line="240" w:lineRule="auto"/>
              <w:rPr>
                <w:rFonts w:hint="default" w:ascii="Times New Roman" w:hAnsi="Times New Roman" w:cs="Times New Roman"/>
                <w:b/>
                <w:bCs/>
                <w:sz w:val="20"/>
                <w:szCs w:val="20"/>
              </w:rPr>
            </w:pPr>
            <w:r>
              <w:rPr>
                <w:rFonts w:hint="default" w:ascii="Times New Roman" w:hAnsi="Times New Roman" w:cs="Times New Roman"/>
                <w:b/>
                <w:bCs/>
                <w:sz w:val="20"/>
                <w:szCs w:val="20"/>
              </w:rPr>
              <w:t>Item 3</w:t>
            </w:r>
          </w:p>
        </w:tc>
        <w:tc>
          <w:tcPr>
            <w:tcW w:w="749" w:type="dxa"/>
            <w:tcBorders>
              <w:top w:val="single" w:color="auto" w:sz="12" w:space="0"/>
              <w:bottom w:val="single" w:color="auto" w:sz="4" w:space="0"/>
            </w:tcBorders>
            <w:vAlign w:val="top"/>
          </w:tcPr>
          <w:p w14:paraId="60A88937">
            <w:pPr>
              <w:spacing w:after="0" w:line="240" w:lineRule="auto"/>
              <w:rPr>
                <w:rFonts w:hint="default" w:ascii="Times New Roman" w:hAnsi="Times New Roman" w:cs="Times New Roman"/>
                <w:b/>
                <w:bCs/>
                <w:sz w:val="20"/>
                <w:szCs w:val="20"/>
              </w:rPr>
            </w:pPr>
            <w:r>
              <w:rPr>
                <w:rFonts w:hint="default" w:ascii="Times New Roman" w:hAnsi="Times New Roman" w:cs="Times New Roman"/>
                <w:b/>
                <w:bCs/>
                <w:sz w:val="20"/>
                <w:szCs w:val="20"/>
              </w:rPr>
              <w:t>Item 4</w:t>
            </w:r>
          </w:p>
        </w:tc>
        <w:tc>
          <w:tcPr>
            <w:tcW w:w="749" w:type="dxa"/>
            <w:tcBorders>
              <w:top w:val="single" w:color="auto" w:sz="12" w:space="0"/>
              <w:bottom w:val="single" w:color="auto" w:sz="4" w:space="0"/>
            </w:tcBorders>
            <w:vAlign w:val="top"/>
          </w:tcPr>
          <w:p w14:paraId="200FE405">
            <w:pPr>
              <w:spacing w:after="0" w:line="240" w:lineRule="auto"/>
              <w:rPr>
                <w:rFonts w:hint="default" w:ascii="Times New Roman" w:hAnsi="Times New Roman" w:cs="Times New Roman"/>
                <w:b/>
                <w:bCs/>
                <w:sz w:val="20"/>
                <w:szCs w:val="20"/>
              </w:rPr>
            </w:pPr>
            <w:r>
              <w:rPr>
                <w:rFonts w:hint="default" w:ascii="Times New Roman" w:hAnsi="Times New Roman" w:cs="Times New Roman"/>
                <w:b/>
                <w:bCs/>
                <w:sz w:val="20"/>
                <w:szCs w:val="20"/>
              </w:rPr>
              <w:t>Item 5</w:t>
            </w:r>
          </w:p>
        </w:tc>
        <w:tc>
          <w:tcPr>
            <w:tcW w:w="749" w:type="dxa"/>
            <w:tcBorders>
              <w:top w:val="single" w:color="auto" w:sz="12" w:space="0"/>
              <w:bottom w:val="single" w:color="auto" w:sz="4" w:space="0"/>
            </w:tcBorders>
            <w:vAlign w:val="top"/>
          </w:tcPr>
          <w:p w14:paraId="13FDD96A">
            <w:pPr>
              <w:spacing w:after="0" w:line="240" w:lineRule="auto"/>
              <w:rPr>
                <w:rFonts w:hint="default" w:ascii="Times New Roman" w:hAnsi="Times New Roman" w:cs="Times New Roman"/>
                <w:b/>
                <w:bCs/>
                <w:sz w:val="20"/>
                <w:szCs w:val="20"/>
              </w:rPr>
            </w:pPr>
            <w:r>
              <w:rPr>
                <w:rFonts w:hint="default" w:ascii="Times New Roman" w:hAnsi="Times New Roman" w:cs="Times New Roman"/>
                <w:b/>
                <w:bCs/>
                <w:sz w:val="20"/>
                <w:szCs w:val="20"/>
              </w:rPr>
              <w:t>Item 6</w:t>
            </w:r>
          </w:p>
        </w:tc>
        <w:tc>
          <w:tcPr>
            <w:tcW w:w="749" w:type="dxa"/>
            <w:tcBorders>
              <w:top w:val="single" w:color="auto" w:sz="12" w:space="0"/>
              <w:bottom w:val="single" w:color="auto" w:sz="4" w:space="0"/>
            </w:tcBorders>
            <w:vAlign w:val="top"/>
          </w:tcPr>
          <w:p w14:paraId="47D0D495">
            <w:pPr>
              <w:spacing w:after="0" w:line="240" w:lineRule="auto"/>
              <w:rPr>
                <w:rFonts w:hint="default" w:ascii="Times New Roman" w:hAnsi="Times New Roman" w:cs="Times New Roman"/>
                <w:b/>
                <w:bCs/>
                <w:sz w:val="20"/>
                <w:szCs w:val="20"/>
              </w:rPr>
            </w:pPr>
            <w:r>
              <w:rPr>
                <w:rFonts w:hint="default" w:ascii="Times New Roman" w:hAnsi="Times New Roman" w:cs="Times New Roman"/>
                <w:b/>
                <w:bCs/>
                <w:sz w:val="20"/>
                <w:szCs w:val="20"/>
              </w:rPr>
              <w:t>Item 7</w:t>
            </w:r>
          </w:p>
        </w:tc>
        <w:tc>
          <w:tcPr>
            <w:tcW w:w="749" w:type="dxa"/>
            <w:tcBorders>
              <w:top w:val="single" w:color="auto" w:sz="12" w:space="0"/>
              <w:bottom w:val="single" w:color="auto" w:sz="4" w:space="0"/>
            </w:tcBorders>
            <w:vAlign w:val="top"/>
          </w:tcPr>
          <w:p w14:paraId="2DE909EE">
            <w:pPr>
              <w:spacing w:after="0" w:line="240" w:lineRule="auto"/>
              <w:rPr>
                <w:rFonts w:hint="default" w:ascii="Times New Roman" w:hAnsi="Times New Roman" w:cs="Times New Roman"/>
                <w:b/>
                <w:bCs/>
                <w:sz w:val="20"/>
                <w:szCs w:val="20"/>
              </w:rPr>
            </w:pPr>
            <w:r>
              <w:rPr>
                <w:rFonts w:hint="default" w:ascii="Times New Roman" w:hAnsi="Times New Roman" w:cs="Times New Roman"/>
                <w:b/>
                <w:bCs/>
                <w:sz w:val="20"/>
                <w:szCs w:val="20"/>
              </w:rPr>
              <w:t>Item 8</w:t>
            </w:r>
          </w:p>
        </w:tc>
        <w:tc>
          <w:tcPr>
            <w:tcW w:w="783" w:type="dxa"/>
            <w:tcBorders>
              <w:top w:val="single" w:color="auto" w:sz="12" w:space="0"/>
              <w:bottom w:val="single" w:color="auto" w:sz="4" w:space="0"/>
            </w:tcBorders>
            <w:vAlign w:val="top"/>
          </w:tcPr>
          <w:p w14:paraId="324149CC">
            <w:pPr>
              <w:spacing w:after="0" w:line="240" w:lineRule="auto"/>
              <w:rPr>
                <w:rFonts w:hint="default" w:ascii="Times New Roman" w:hAnsi="Times New Roman" w:cs="Times New Roman"/>
                <w:b/>
                <w:bCs/>
                <w:sz w:val="20"/>
                <w:szCs w:val="20"/>
              </w:rPr>
            </w:pPr>
            <w:r>
              <w:rPr>
                <w:rFonts w:hint="default" w:ascii="Times New Roman" w:hAnsi="Times New Roman" w:cs="Times New Roman"/>
                <w:b/>
                <w:bCs/>
                <w:sz w:val="20"/>
                <w:szCs w:val="20"/>
              </w:rPr>
              <w:t>Total Score</w:t>
            </w:r>
          </w:p>
        </w:tc>
      </w:tr>
      <w:tr w14:paraId="14E47CE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749" w:type="dxa"/>
            <w:tcBorders>
              <w:top w:val="single" w:color="auto" w:sz="4" w:space="0"/>
              <w:bottom w:val="nil"/>
            </w:tcBorders>
          </w:tcPr>
          <w:p w14:paraId="0151655D">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Mitchel 2025</w:t>
            </w:r>
          </w:p>
        </w:tc>
        <w:tc>
          <w:tcPr>
            <w:tcW w:w="748" w:type="dxa"/>
            <w:tcBorders>
              <w:top w:val="single" w:color="auto" w:sz="4" w:space="0"/>
              <w:bottom w:val="nil"/>
            </w:tcBorders>
          </w:tcPr>
          <w:p w14:paraId="512BAA4D">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8" w:type="dxa"/>
            <w:tcBorders>
              <w:top w:val="single" w:color="auto" w:sz="4" w:space="0"/>
              <w:bottom w:val="nil"/>
            </w:tcBorders>
          </w:tcPr>
          <w:p w14:paraId="460A2669">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single" w:color="auto" w:sz="4" w:space="0"/>
              <w:bottom w:val="nil"/>
            </w:tcBorders>
          </w:tcPr>
          <w:p w14:paraId="22111D09">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single" w:color="auto" w:sz="4" w:space="0"/>
              <w:bottom w:val="nil"/>
            </w:tcBorders>
          </w:tcPr>
          <w:p w14:paraId="0ACF54E5">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single" w:color="auto" w:sz="4" w:space="0"/>
              <w:bottom w:val="nil"/>
            </w:tcBorders>
          </w:tcPr>
          <w:p w14:paraId="3532BEDC">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w:t>
            </w:r>
          </w:p>
        </w:tc>
        <w:tc>
          <w:tcPr>
            <w:tcW w:w="749" w:type="dxa"/>
            <w:tcBorders>
              <w:top w:val="single" w:color="auto" w:sz="4" w:space="0"/>
              <w:bottom w:val="nil"/>
            </w:tcBorders>
          </w:tcPr>
          <w:p w14:paraId="6F433556">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single" w:color="auto" w:sz="4" w:space="0"/>
              <w:bottom w:val="nil"/>
            </w:tcBorders>
          </w:tcPr>
          <w:p w14:paraId="7EA3AD18">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single" w:color="auto" w:sz="4" w:space="0"/>
              <w:bottom w:val="nil"/>
            </w:tcBorders>
          </w:tcPr>
          <w:p w14:paraId="6B21CEE7">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83" w:type="dxa"/>
            <w:tcBorders>
              <w:top w:val="single" w:color="auto" w:sz="4" w:space="0"/>
              <w:bottom w:val="nil"/>
            </w:tcBorders>
          </w:tcPr>
          <w:p w14:paraId="275B39C7">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13</w:t>
            </w:r>
          </w:p>
        </w:tc>
      </w:tr>
      <w:tr w14:paraId="08F0719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749" w:type="dxa"/>
            <w:tcBorders>
              <w:top w:val="nil"/>
              <w:bottom w:val="nil"/>
            </w:tcBorders>
          </w:tcPr>
          <w:p w14:paraId="733F4584">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Alhadab 2025</w:t>
            </w:r>
          </w:p>
        </w:tc>
        <w:tc>
          <w:tcPr>
            <w:tcW w:w="748" w:type="dxa"/>
            <w:tcBorders>
              <w:top w:val="nil"/>
              <w:bottom w:val="nil"/>
            </w:tcBorders>
          </w:tcPr>
          <w:p w14:paraId="0542B6B8">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8" w:type="dxa"/>
            <w:tcBorders>
              <w:top w:val="nil"/>
              <w:bottom w:val="nil"/>
            </w:tcBorders>
          </w:tcPr>
          <w:p w14:paraId="61DC167B">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2DC34313">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49" w:type="dxa"/>
            <w:tcBorders>
              <w:top w:val="nil"/>
              <w:bottom w:val="nil"/>
            </w:tcBorders>
          </w:tcPr>
          <w:p w14:paraId="0B1767AF">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76039D5C">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w:t>
            </w:r>
          </w:p>
        </w:tc>
        <w:tc>
          <w:tcPr>
            <w:tcW w:w="749" w:type="dxa"/>
            <w:tcBorders>
              <w:top w:val="nil"/>
              <w:bottom w:val="nil"/>
            </w:tcBorders>
          </w:tcPr>
          <w:p w14:paraId="45902997">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0A87E945">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112F7021">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83" w:type="dxa"/>
            <w:tcBorders>
              <w:top w:val="nil"/>
              <w:bottom w:val="nil"/>
            </w:tcBorders>
          </w:tcPr>
          <w:p w14:paraId="39F6373C">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11</w:t>
            </w:r>
          </w:p>
        </w:tc>
      </w:tr>
      <w:tr w14:paraId="188FC06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749" w:type="dxa"/>
            <w:tcBorders>
              <w:top w:val="nil"/>
              <w:bottom w:val="nil"/>
            </w:tcBorders>
          </w:tcPr>
          <w:p w14:paraId="363C2508">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Yamamoto 2025</w:t>
            </w:r>
          </w:p>
        </w:tc>
        <w:tc>
          <w:tcPr>
            <w:tcW w:w="748" w:type="dxa"/>
            <w:tcBorders>
              <w:top w:val="nil"/>
              <w:bottom w:val="nil"/>
            </w:tcBorders>
          </w:tcPr>
          <w:p w14:paraId="75F66F63">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8" w:type="dxa"/>
            <w:tcBorders>
              <w:top w:val="nil"/>
              <w:bottom w:val="nil"/>
            </w:tcBorders>
          </w:tcPr>
          <w:p w14:paraId="52EF8004">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5A925735">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49" w:type="dxa"/>
            <w:tcBorders>
              <w:top w:val="nil"/>
              <w:bottom w:val="nil"/>
            </w:tcBorders>
          </w:tcPr>
          <w:p w14:paraId="220BFFA9">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1D8342F3">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w:t>
            </w:r>
          </w:p>
        </w:tc>
        <w:tc>
          <w:tcPr>
            <w:tcW w:w="749" w:type="dxa"/>
            <w:tcBorders>
              <w:top w:val="nil"/>
              <w:bottom w:val="nil"/>
            </w:tcBorders>
          </w:tcPr>
          <w:p w14:paraId="66F634D7">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290AC01C">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0E92A49B">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83" w:type="dxa"/>
            <w:tcBorders>
              <w:top w:val="nil"/>
              <w:bottom w:val="nil"/>
            </w:tcBorders>
          </w:tcPr>
          <w:p w14:paraId="115F3DD9">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11</w:t>
            </w:r>
          </w:p>
        </w:tc>
      </w:tr>
      <w:tr w14:paraId="7783E04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749" w:type="dxa"/>
            <w:tcBorders>
              <w:top w:val="nil"/>
              <w:bottom w:val="nil"/>
            </w:tcBorders>
          </w:tcPr>
          <w:p w14:paraId="260DB281">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Pujol-Muncunill 2024</w:t>
            </w:r>
          </w:p>
        </w:tc>
        <w:tc>
          <w:tcPr>
            <w:tcW w:w="748" w:type="dxa"/>
            <w:tcBorders>
              <w:top w:val="nil"/>
              <w:bottom w:val="nil"/>
            </w:tcBorders>
          </w:tcPr>
          <w:p w14:paraId="686E8D89">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8" w:type="dxa"/>
            <w:tcBorders>
              <w:top w:val="nil"/>
              <w:bottom w:val="nil"/>
            </w:tcBorders>
          </w:tcPr>
          <w:p w14:paraId="407C0799">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26BC569D">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49" w:type="dxa"/>
            <w:tcBorders>
              <w:top w:val="nil"/>
              <w:bottom w:val="nil"/>
            </w:tcBorders>
          </w:tcPr>
          <w:p w14:paraId="30CE05C4">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4B1AF690">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w:t>
            </w:r>
          </w:p>
        </w:tc>
        <w:tc>
          <w:tcPr>
            <w:tcW w:w="749" w:type="dxa"/>
            <w:tcBorders>
              <w:top w:val="nil"/>
              <w:bottom w:val="nil"/>
            </w:tcBorders>
          </w:tcPr>
          <w:p w14:paraId="4EE9B8BB">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44EA6B5A">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45987BBF">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83" w:type="dxa"/>
            <w:tcBorders>
              <w:top w:val="nil"/>
              <w:bottom w:val="nil"/>
            </w:tcBorders>
          </w:tcPr>
          <w:p w14:paraId="2FF70D8F">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11</w:t>
            </w:r>
          </w:p>
        </w:tc>
      </w:tr>
      <w:tr w14:paraId="2BA2334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749" w:type="dxa"/>
            <w:tcBorders>
              <w:top w:val="nil"/>
              <w:bottom w:val="nil"/>
            </w:tcBorders>
          </w:tcPr>
          <w:p w14:paraId="68B95BE0">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Cohen A 2021</w:t>
            </w:r>
          </w:p>
        </w:tc>
        <w:tc>
          <w:tcPr>
            <w:tcW w:w="748" w:type="dxa"/>
            <w:tcBorders>
              <w:top w:val="nil"/>
              <w:bottom w:val="nil"/>
            </w:tcBorders>
          </w:tcPr>
          <w:p w14:paraId="09B661E1">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8" w:type="dxa"/>
            <w:tcBorders>
              <w:top w:val="nil"/>
              <w:bottom w:val="nil"/>
            </w:tcBorders>
          </w:tcPr>
          <w:p w14:paraId="2A1425D0">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4DE67512">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49" w:type="dxa"/>
            <w:tcBorders>
              <w:top w:val="nil"/>
              <w:bottom w:val="nil"/>
            </w:tcBorders>
          </w:tcPr>
          <w:p w14:paraId="2FF7070C">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1DEDEAC0">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49" w:type="dxa"/>
            <w:tcBorders>
              <w:top w:val="nil"/>
              <w:bottom w:val="nil"/>
            </w:tcBorders>
          </w:tcPr>
          <w:p w14:paraId="1A85D710">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52F88C3D">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52DBE395">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83" w:type="dxa"/>
            <w:tcBorders>
              <w:top w:val="nil"/>
              <w:bottom w:val="nil"/>
            </w:tcBorders>
          </w:tcPr>
          <w:p w14:paraId="73B08CEF">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10</w:t>
            </w:r>
          </w:p>
        </w:tc>
      </w:tr>
      <w:tr w14:paraId="137E99D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749" w:type="dxa"/>
            <w:tcBorders>
              <w:top w:val="nil"/>
              <w:bottom w:val="nil"/>
            </w:tcBorders>
          </w:tcPr>
          <w:p w14:paraId="63E6BA36">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Kim 2021</w:t>
            </w:r>
          </w:p>
        </w:tc>
        <w:tc>
          <w:tcPr>
            <w:tcW w:w="748" w:type="dxa"/>
            <w:tcBorders>
              <w:top w:val="nil"/>
              <w:bottom w:val="nil"/>
            </w:tcBorders>
          </w:tcPr>
          <w:p w14:paraId="7B3A6D62">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8" w:type="dxa"/>
            <w:tcBorders>
              <w:top w:val="nil"/>
              <w:bottom w:val="nil"/>
            </w:tcBorders>
          </w:tcPr>
          <w:p w14:paraId="2D0A1895">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3CCE5EA3">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49" w:type="dxa"/>
            <w:tcBorders>
              <w:top w:val="nil"/>
              <w:bottom w:val="nil"/>
            </w:tcBorders>
          </w:tcPr>
          <w:p w14:paraId="65FD6402">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1646F23E">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w:t>
            </w:r>
          </w:p>
        </w:tc>
        <w:tc>
          <w:tcPr>
            <w:tcW w:w="749" w:type="dxa"/>
            <w:tcBorders>
              <w:top w:val="nil"/>
              <w:bottom w:val="nil"/>
            </w:tcBorders>
          </w:tcPr>
          <w:p w14:paraId="307A0EEA">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46CA44EC">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624FC39C">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83" w:type="dxa"/>
            <w:tcBorders>
              <w:top w:val="nil"/>
              <w:bottom w:val="nil"/>
            </w:tcBorders>
          </w:tcPr>
          <w:p w14:paraId="07EE932C">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11</w:t>
            </w:r>
          </w:p>
        </w:tc>
      </w:tr>
      <w:tr w14:paraId="088DD48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01" w:hRule="atLeast"/>
          <w:jc w:val="center"/>
        </w:trPr>
        <w:tc>
          <w:tcPr>
            <w:tcW w:w="1749" w:type="dxa"/>
            <w:tcBorders>
              <w:top w:val="nil"/>
              <w:bottom w:val="nil"/>
            </w:tcBorders>
          </w:tcPr>
          <w:p w14:paraId="5F9B5C2B">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Takeuchi 2020</w:t>
            </w:r>
          </w:p>
        </w:tc>
        <w:tc>
          <w:tcPr>
            <w:tcW w:w="748" w:type="dxa"/>
            <w:tcBorders>
              <w:top w:val="nil"/>
              <w:bottom w:val="nil"/>
            </w:tcBorders>
          </w:tcPr>
          <w:p w14:paraId="360F717A">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8" w:type="dxa"/>
            <w:tcBorders>
              <w:top w:val="nil"/>
              <w:bottom w:val="nil"/>
            </w:tcBorders>
          </w:tcPr>
          <w:p w14:paraId="730802B9">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104B9188">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49" w:type="dxa"/>
            <w:tcBorders>
              <w:top w:val="nil"/>
              <w:bottom w:val="nil"/>
            </w:tcBorders>
          </w:tcPr>
          <w:p w14:paraId="7A93FA3F">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17C904D7">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w:t>
            </w:r>
          </w:p>
        </w:tc>
        <w:tc>
          <w:tcPr>
            <w:tcW w:w="749" w:type="dxa"/>
            <w:tcBorders>
              <w:top w:val="nil"/>
              <w:bottom w:val="nil"/>
            </w:tcBorders>
          </w:tcPr>
          <w:p w14:paraId="5C58C96E">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42E201D4">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w:t>
            </w:r>
          </w:p>
        </w:tc>
        <w:tc>
          <w:tcPr>
            <w:tcW w:w="749" w:type="dxa"/>
            <w:tcBorders>
              <w:top w:val="nil"/>
              <w:bottom w:val="nil"/>
            </w:tcBorders>
          </w:tcPr>
          <w:p w14:paraId="29F77449">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83" w:type="dxa"/>
            <w:tcBorders>
              <w:top w:val="nil"/>
              <w:bottom w:val="nil"/>
            </w:tcBorders>
          </w:tcPr>
          <w:p w14:paraId="48098B4E">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10</w:t>
            </w:r>
          </w:p>
        </w:tc>
      </w:tr>
      <w:tr w14:paraId="476F13A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749" w:type="dxa"/>
            <w:tcBorders>
              <w:top w:val="nil"/>
              <w:bottom w:val="nil"/>
            </w:tcBorders>
          </w:tcPr>
          <w:p w14:paraId="3184680A">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Dayan 2019</w:t>
            </w:r>
          </w:p>
        </w:tc>
        <w:tc>
          <w:tcPr>
            <w:tcW w:w="748" w:type="dxa"/>
            <w:tcBorders>
              <w:top w:val="nil"/>
              <w:bottom w:val="nil"/>
            </w:tcBorders>
          </w:tcPr>
          <w:p w14:paraId="4ECC0321">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8" w:type="dxa"/>
            <w:tcBorders>
              <w:top w:val="nil"/>
              <w:bottom w:val="nil"/>
            </w:tcBorders>
          </w:tcPr>
          <w:p w14:paraId="210CA68B">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6298AEE8">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49" w:type="dxa"/>
            <w:tcBorders>
              <w:top w:val="nil"/>
              <w:bottom w:val="nil"/>
            </w:tcBorders>
          </w:tcPr>
          <w:p w14:paraId="7B44E1B6">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650574B4">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w:t>
            </w:r>
          </w:p>
        </w:tc>
        <w:tc>
          <w:tcPr>
            <w:tcW w:w="749" w:type="dxa"/>
            <w:tcBorders>
              <w:top w:val="nil"/>
              <w:bottom w:val="nil"/>
            </w:tcBorders>
          </w:tcPr>
          <w:p w14:paraId="280AFF5D">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61CA088D">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116A852D">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83" w:type="dxa"/>
            <w:tcBorders>
              <w:top w:val="nil"/>
              <w:bottom w:val="nil"/>
            </w:tcBorders>
          </w:tcPr>
          <w:p w14:paraId="3EEBFE4A">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11</w:t>
            </w:r>
          </w:p>
        </w:tc>
      </w:tr>
      <w:tr w14:paraId="4026247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749" w:type="dxa"/>
            <w:tcBorders>
              <w:top w:val="nil"/>
              <w:bottom w:val="nil"/>
            </w:tcBorders>
          </w:tcPr>
          <w:p w14:paraId="2A2668C0">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Koudsi 2023</w:t>
            </w:r>
          </w:p>
        </w:tc>
        <w:tc>
          <w:tcPr>
            <w:tcW w:w="748" w:type="dxa"/>
            <w:tcBorders>
              <w:top w:val="nil"/>
              <w:bottom w:val="nil"/>
            </w:tcBorders>
          </w:tcPr>
          <w:p w14:paraId="753025A9">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8" w:type="dxa"/>
            <w:tcBorders>
              <w:top w:val="nil"/>
              <w:bottom w:val="nil"/>
            </w:tcBorders>
          </w:tcPr>
          <w:p w14:paraId="653E04B9">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34D30AD0">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49" w:type="dxa"/>
            <w:tcBorders>
              <w:top w:val="nil"/>
              <w:bottom w:val="nil"/>
            </w:tcBorders>
          </w:tcPr>
          <w:p w14:paraId="580ADBB1">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74CA1304">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w:t>
            </w:r>
          </w:p>
        </w:tc>
        <w:tc>
          <w:tcPr>
            <w:tcW w:w="749" w:type="dxa"/>
            <w:tcBorders>
              <w:top w:val="nil"/>
              <w:bottom w:val="nil"/>
            </w:tcBorders>
          </w:tcPr>
          <w:p w14:paraId="27CE57B7">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2A16E623">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71CA8EE7">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83" w:type="dxa"/>
            <w:tcBorders>
              <w:top w:val="nil"/>
              <w:bottom w:val="nil"/>
            </w:tcBorders>
          </w:tcPr>
          <w:p w14:paraId="3FA8D3B9">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11</w:t>
            </w:r>
          </w:p>
        </w:tc>
      </w:tr>
      <w:tr w14:paraId="7CBDDCF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749" w:type="dxa"/>
            <w:tcBorders>
              <w:top w:val="nil"/>
              <w:bottom w:val="nil"/>
            </w:tcBorders>
          </w:tcPr>
          <w:p w14:paraId="2A4DA5C8">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Cohen S 2024</w:t>
            </w:r>
          </w:p>
        </w:tc>
        <w:tc>
          <w:tcPr>
            <w:tcW w:w="748" w:type="dxa"/>
            <w:tcBorders>
              <w:top w:val="nil"/>
              <w:bottom w:val="nil"/>
            </w:tcBorders>
          </w:tcPr>
          <w:p w14:paraId="588D6FC7">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8" w:type="dxa"/>
            <w:tcBorders>
              <w:top w:val="nil"/>
              <w:bottom w:val="nil"/>
            </w:tcBorders>
          </w:tcPr>
          <w:p w14:paraId="297497AB">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0A63B430">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49" w:type="dxa"/>
            <w:tcBorders>
              <w:top w:val="nil"/>
              <w:bottom w:val="nil"/>
            </w:tcBorders>
          </w:tcPr>
          <w:p w14:paraId="2B83A1FA">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5BF4B644">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w:t>
            </w:r>
          </w:p>
        </w:tc>
        <w:tc>
          <w:tcPr>
            <w:tcW w:w="749" w:type="dxa"/>
            <w:tcBorders>
              <w:top w:val="nil"/>
              <w:bottom w:val="nil"/>
            </w:tcBorders>
          </w:tcPr>
          <w:p w14:paraId="0C178C14">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63AA6C4F">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2AA75DC5">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83" w:type="dxa"/>
            <w:tcBorders>
              <w:top w:val="nil"/>
              <w:bottom w:val="nil"/>
            </w:tcBorders>
          </w:tcPr>
          <w:p w14:paraId="117D5B8B">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11</w:t>
            </w:r>
          </w:p>
        </w:tc>
      </w:tr>
      <w:tr w14:paraId="261820B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749" w:type="dxa"/>
            <w:tcBorders>
              <w:top w:val="nil"/>
              <w:bottom w:val="nil"/>
            </w:tcBorders>
          </w:tcPr>
          <w:p w14:paraId="64BACFC1">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Do 2020</w:t>
            </w:r>
          </w:p>
        </w:tc>
        <w:tc>
          <w:tcPr>
            <w:tcW w:w="748" w:type="dxa"/>
            <w:tcBorders>
              <w:top w:val="nil"/>
              <w:bottom w:val="nil"/>
            </w:tcBorders>
          </w:tcPr>
          <w:p w14:paraId="19A98663">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8" w:type="dxa"/>
            <w:tcBorders>
              <w:top w:val="nil"/>
              <w:bottom w:val="nil"/>
            </w:tcBorders>
          </w:tcPr>
          <w:p w14:paraId="4A6451F0">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30BE055E">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49" w:type="dxa"/>
            <w:tcBorders>
              <w:top w:val="nil"/>
              <w:bottom w:val="nil"/>
            </w:tcBorders>
          </w:tcPr>
          <w:p w14:paraId="1921257C">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26E28B5E">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w:t>
            </w:r>
          </w:p>
        </w:tc>
        <w:tc>
          <w:tcPr>
            <w:tcW w:w="749" w:type="dxa"/>
            <w:tcBorders>
              <w:top w:val="nil"/>
              <w:bottom w:val="nil"/>
            </w:tcBorders>
          </w:tcPr>
          <w:p w14:paraId="1522606B">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466291AE">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513E67A1">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83" w:type="dxa"/>
            <w:tcBorders>
              <w:top w:val="nil"/>
              <w:bottom w:val="nil"/>
            </w:tcBorders>
          </w:tcPr>
          <w:p w14:paraId="6D2A596F">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11</w:t>
            </w:r>
          </w:p>
        </w:tc>
      </w:tr>
      <w:tr w14:paraId="498CF26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749" w:type="dxa"/>
            <w:tcBorders>
              <w:top w:val="nil"/>
              <w:bottom w:val="nil"/>
            </w:tcBorders>
          </w:tcPr>
          <w:p w14:paraId="63228EB3">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Rehman 2024</w:t>
            </w:r>
          </w:p>
        </w:tc>
        <w:tc>
          <w:tcPr>
            <w:tcW w:w="748" w:type="dxa"/>
            <w:tcBorders>
              <w:top w:val="nil"/>
              <w:bottom w:val="nil"/>
            </w:tcBorders>
          </w:tcPr>
          <w:p w14:paraId="2555E146">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8" w:type="dxa"/>
            <w:tcBorders>
              <w:top w:val="nil"/>
              <w:bottom w:val="nil"/>
            </w:tcBorders>
          </w:tcPr>
          <w:p w14:paraId="5D615B6E">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1B522785">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49" w:type="dxa"/>
            <w:tcBorders>
              <w:top w:val="nil"/>
              <w:bottom w:val="nil"/>
            </w:tcBorders>
          </w:tcPr>
          <w:p w14:paraId="667A2095">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4ABF384F">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w:t>
            </w:r>
          </w:p>
        </w:tc>
        <w:tc>
          <w:tcPr>
            <w:tcW w:w="749" w:type="dxa"/>
            <w:tcBorders>
              <w:top w:val="nil"/>
              <w:bottom w:val="nil"/>
            </w:tcBorders>
          </w:tcPr>
          <w:p w14:paraId="6FBCCC3A">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04CD7260">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34F017E4">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83" w:type="dxa"/>
            <w:tcBorders>
              <w:top w:val="nil"/>
              <w:bottom w:val="nil"/>
            </w:tcBorders>
          </w:tcPr>
          <w:p w14:paraId="36A4D7B4">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11</w:t>
            </w:r>
          </w:p>
        </w:tc>
      </w:tr>
      <w:tr w14:paraId="13351F2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749" w:type="dxa"/>
            <w:tcBorders>
              <w:top w:val="nil"/>
              <w:bottom w:val="nil"/>
            </w:tcBorders>
          </w:tcPr>
          <w:p w14:paraId="74D8ABCE">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Chavannes 2018</w:t>
            </w:r>
          </w:p>
        </w:tc>
        <w:tc>
          <w:tcPr>
            <w:tcW w:w="748" w:type="dxa"/>
            <w:tcBorders>
              <w:top w:val="nil"/>
              <w:bottom w:val="nil"/>
            </w:tcBorders>
          </w:tcPr>
          <w:p w14:paraId="42D67471">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8" w:type="dxa"/>
            <w:tcBorders>
              <w:top w:val="nil"/>
              <w:bottom w:val="nil"/>
            </w:tcBorders>
          </w:tcPr>
          <w:p w14:paraId="2036534D">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634A4114">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49" w:type="dxa"/>
            <w:tcBorders>
              <w:top w:val="nil"/>
              <w:bottom w:val="nil"/>
            </w:tcBorders>
          </w:tcPr>
          <w:p w14:paraId="5BB31573">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20277B32">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w:t>
            </w:r>
          </w:p>
        </w:tc>
        <w:tc>
          <w:tcPr>
            <w:tcW w:w="749" w:type="dxa"/>
            <w:tcBorders>
              <w:top w:val="nil"/>
              <w:bottom w:val="nil"/>
            </w:tcBorders>
          </w:tcPr>
          <w:p w14:paraId="6BEAB10F">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36BCE50A">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3E539A2D">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83" w:type="dxa"/>
            <w:tcBorders>
              <w:top w:val="nil"/>
              <w:bottom w:val="nil"/>
            </w:tcBorders>
          </w:tcPr>
          <w:p w14:paraId="52C6404F">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11</w:t>
            </w:r>
          </w:p>
        </w:tc>
      </w:tr>
      <w:tr w14:paraId="0088E8A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749" w:type="dxa"/>
            <w:tcBorders>
              <w:top w:val="nil"/>
              <w:bottom w:val="nil"/>
            </w:tcBorders>
          </w:tcPr>
          <w:p w14:paraId="735E2035">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Yerushalmy-Feler 2022</w:t>
            </w:r>
          </w:p>
        </w:tc>
        <w:tc>
          <w:tcPr>
            <w:tcW w:w="748" w:type="dxa"/>
            <w:tcBorders>
              <w:top w:val="nil"/>
              <w:bottom w:val="nil"/>
            </w:tcBorders>
          </w:tcPr>
          <w:p w14:paraId="2414B1F8">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8" w:type="dxa"/>
            <w:tcBorders>
              <w:top w:val="nil"/>
              <w:bottom w:val="nil"/>
            </w:tcBorders>
          </w:tcPr>
          <w:p w14:paraId="2BA06833">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2780EC4F">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49" w:type="dxa"/>
            <w:tcBorders>
              <w:top w:val="nil"/>
              <w:bottom w:val="nil"/>
            </w:tcBorders>
          </w:tcPr>
          <w:p w14:paraId="4D743EB0">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3B21699D">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w:t>
            </w:r>
          </w:p>
        </w:tc>
        <w:tc>
          <w:tcPr>
            <w:tcW w:w="749" w:type="dxa"/>
            <w:tcBorders>
              <w:top w:val="nil"/>
              <w:bottom w:val="nil"/>
            </w:tcBorders>
          </w:tcPr>
          <w:p w14:paraId="0143E376">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610AF494">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nil"/>
            </w:tcBorders>
          </w:tcPr>
          <w:p w14:paraId="7C9F8437">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83" w:type="dxa"/>
            <w:tcBorders>
              <w:top w:val="nil"/>
              <w:bottom w:val="nil"/>
            </w:tcBorders>
          </w:tcPr>
          <w:p w14:paraId="4506F867">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11</w:t>
            </w:r>
          </w:p>
        </w:tc>
      </w:tr>
      <w:tr w14:paraId="01A5996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749" w:type="dxa"/>
            <w:tcBorders>
              <w:top w:val="nil"/>
              <w:bottom w:val="single" w:color="auto" w:sz="12" w:space="0"/>
            </w:tcBorders>
            <w:vAlign w:val="top"/>
          </w:tcPr>
          <w:p w14:paraId="627EF62A">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Rébus 2024</w:t>
            </w:r>
          </w:p>
        </w:tc>
        <w:tc>
          <w:tcPr>
            <w:tcW w:w="748" w:type="dxa"/>
            <w:tcBorders>
              <w:top w:val="nil"/>
              <w:bottom w:val="single" w:color="auto" w:sz="12" w:space="0"/>
            </w:tcBorders>
            <w:vAlign w:val="top"/>
          </w:tcPr>
          <w:p w14:paraId="2B227660">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8" w:type="dxa"/>
            <w:tcBorders>
              <w:top w:val="nil"/>
              <w:bottom w:val="single" w:color="auto" w:sz="12" w:space="0"/>
            </w:tcBorders>
            <w:vAlign w:val="top"/>
          </w:tcPr>
          <w:p w14:paraId="657B7262">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single" w:color="auto" w:sz="12" w:space="0"/>
            </w:tcBorders>
            <w:vAlign w:val="top"/>
          </w:tcPr>
          <w:p w14:paraId="500BD155">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49" w:type="dxa"/>
            <w:tcBorders>
              <w:top w:val="nil"/>
              <w:bottom w:val="single" w:color="auto" w:sz="12" w:space="0"/>
            </w:tcBorders>
            <w:vAlign w:val="top"/>
          </w:tcPr>
          <w:p w14:paraId="4BC52881">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single" w:color="auto" w:sz="12" w:space="0"/>
            </w:tcBorders>
            <w:vAlign w:val="top"/>
          </w:tcPr>
          <w:p w14:paraId="43DE84A1">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w:t>
            </w:r>
          </w:p>
        </w:tc>
        <w:tc>
          <w:tcPr>
            <w:tcW w:w="749" w:type="dxa"/>
            <w:tcBorders>
              <w:top w:val="nil"/>
              <w:bottom w:val="single" w:color="auto" w:sz="12" w:space="0"/>
            </w:tcBorders>
            <w:vAlign w:val="top"/>
          </w:tcPr>
          <w:p w14:paraId="2ACC6726">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single" w:color="auto" w:sz="12" w:space="0"/>
            </w:tcBorders>
            <w:vAlign w:val="top"/>
          </w:tcPr>
          <w:p w14:paraId="4F16505C">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w:t>
            </w:r>
          </w:p>
        </w:tc>
        <w:tc>
          <w:tcPr>
            <w:tcW w:w="749" w:type="dxa"/>
            <w:tcBorders>
              <w:top w:val="nil"/>
              <w:bottom w:val="single" w:color="auto" w:sz="12" w:space="0"/>
            </w:tcBorders>
            <w:vAlign w:val="top"/>
          </w:tcPr>
          <w:p w14:paraId="52648A5A">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0</w:t>
            </w:r>
          </w:p>
        </w:tc>
        <w:tc>
          <w:tcPr>
            <w:tcW w:w="783" w:type="dxa"/>
            <w:tcBorders>
              <w:top w:val="nil"/>
              <w:bottom w:val="single" w:color="auto" w:sz="12" w:space="0"/>
            </w:tcBorders>
            <w:vAlign w:val="top"/>
          </w:tcPr>
          <w:p w14:paraId="3A843802">
            <w:pPr>
              <w:spacing w:after="0" w:line="240" w:lineRule="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11</w:t>
            </w:r>
          </w:p>
        </w:tc>
      </w:tr>
    </w:tbl>
    <w:p w14:paraId="01D1A8F1">
      <w:pPr>
        <w:rPr>
          <w:rFonts w:hint="eastAsia" w:ascii="Times New Roman" w:hAnsi="Times New Roman" w:cs="Times New Roman"/>
          <w:b w:val="0"/>
          <w:bCs w:val="0"/>
          <w:sz w:val="20"/>
          <w:szCs w:val="20"/>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default" w:ascii="Times New Roman" w:hAnsi="Times New Roman" w:cs="Times New Roman"/>
          <w:b w:val="0"/>
          <w:bCs w:val="0"/>
          <w:sz w:val="20"/>
          <w:szCs w:val="20"/>
        </w:rPr>
        <w:t>The items are scored 0 (not reported), 1 (reported but inadequate), or 2 (reported and adequate). The maximum possible score for non-comparative studies is 16.</w:t>
      </w:r>
      <w:r>
        <w:rPr>
          <w:rFonts w:hint="eastAsia" w:ascii="Times New Roman" w:hAnsi="Times New Roman" w:cs="Times New Roman"/>
          <w:b w:val="0"/>
          <w:bCs w:val="0"/>
          <w:sz w:val="20"/>
          <w:szCs w:val="20"/>
          <w:lang w:val="en-US" w:eastAsia="zh-CN"/>
        </w:rPr>
        <w:t xml:space="preserve"> </w:t>
      </w:r>
      <w:r>
        <w:rPr>
          <w:rFonts w:hint="default" w:ascii="Times New Roman" w:hAnsi="Times New Roman" w:cs="Times New Roman"/>
          <w:b w:val="0"/>
          <w:bCs w:val="0"/>
          <w:sz w:val="20"/>
          <w:szCs w:val="20"/>
        </w:rPr>
        <w:t>Item 1: A clearly stated aim</w:t>
      </w:r>
      <w:r>
        <w:rPr>
          <w:rFonts w:hint="eastAsia" w:ascii="Times New Roman" w:hAnsi="Times New Roman" w:cs="Times New Roman"/>
          <w:b w:val="0"/>
          <w:bCs w:val="0"/>
          <w:sz w:val="20"/>
          <w:szCs w:val="20"/>
          <w:lang w:val="en-US" w:eastAsia="zh-CN"/>
        </w:rPr>
        <w:t xml:space="preserve">; </w:t>
      </w:r>
      <w:r>
        <w:rPr>
          <w:rFonts w:hint="default" w:ascii="Times New Roman" w:hAnsi="Times New Roman" w:cs="Times New Roman"/>
          <w:b w:val="0"/>
          <w:bCs w:val="0"/>
          <w:sz w:val="20"/>
          <w:szCs w:val="20"/>
        </w:rPr>
        <w:t>Item 2: Inclusion of consecutive patients</w:t>
      </w:r>
      <w:r>
        <w:rPr>
          <w:rFonts w:hint="eastAsia" w:ascii="Times New Roman" w:hAnsi="Times New Roman" w:cs="Times New Roman"/>
          <w:b w:val="0"/>
          <w:bCs w:val="0"/>
          <w:sz w:val="20"/>
          <w:szCs w:val="20"/>
          <w:lang w:val="en-US" w:eastAsia="zh-CN"/>
        </w:rPr>
        <w:t xml:space="preserve">; </w:t>
      </w:r>
      <w:r>
        <w:rPr>
          <w:rFonts w:hint="default" w:ascii="Times New Roman" w:hAnsi="Times New Roman" w:cs="Times New Roman"/>
          <w:b w:val="0"/>
          <w:bCs w:val="0"/>
          <w:sz w:val="20"/>
          <w:szCs w:val="20"/>
        </w:rPr>
        <w:t>Item 3: Prospective collection of data</w:t>
      </w:r>
      <w:r>
        <w:rPr>
          <w:rFonts w:hint="eastAsia" w:ascii="Times New Roman" w:hAnsi="Times New Roman" w:cs="Times New Roman"/>
          <w:b w:val="0"/>
          <w:bCs w:val="0"/>
          <w:sz w:val="20"/>
          <w:szCs w:val="20"/>
          <w:lang w:val="en-US" w:eastAsia="zh-CN"/>
        </w:rPr>
        <w:t xml:space="preserve">; </w:t>
      </w:r>
      <w:r>
        <w:rPr>
          <w:rFonts w:hint="default" w:ascii="Times New Roman" w:hAnsi="Times New Roman" w:cs="Times New Roman"/>
          <w:b w:val="0"/>
          <w:bCs w:val="0"/>
          <w:sz w:val="20"/>
          <w:szCs w:val="20"/>
        </w:rPr>
        <w:t>Item 4: Endpoints appropriate to the aim of the study</w:t>
      </w:r>
      <w:r>
        <w:rPr>
          <w:rFonts w:hint="eastAsia" w:ascii="Times New Roman" w:hAnsi="Times New Roman" w:cs="Times New Roman"/>
          <w:b w:val="0"/>
          <w:bCs w:val="0"/>
          <w:sz w:val="20"/>
          <w:szCs w:val="20"/>
          <w:lang w:val="en-US" w:eastAsia="zh-CN"/>
        </w:rPr>
        <w:t xml:space="preserve">; </w:t>
      </w:r>
      <w:r>
        <w:rPr>
          <w:rFonts w:hint="default" w:ascii="Times New Roman" w:hAnsi="Times New Roman" w:cs="Times New Roman"/>
          <w:b w:val="0"/>
          <w:bCs w:val="0"/>
          <w:sz w:val="20"/>
          <w:szCs w:val="20"/>
        </w:rPr>
        <w:t>Item 5: Unbiased assessment of the study endpoint</w:t>
      </w:r>
      <w:r>
        <w:rPr>
          <w:rFonts w:hint="eastAsia" w:ascii="Times New Roman" w:hAnsi="Times New Roman" w:cs="Times New Roman"/>
          <w:b w:val="0"/>
          <w:bCs w:val="0"/>
          <w:sz w:val="20"/>
          <w:szCs w:val="20"/>
          <w:lang w:val="en-US" w:eastAsia="zh-CN"/>
        </w:rPr>
        <w:t xml:space="preserve">; </w:t>
      </w:r>
      <w:r>
        <w:rPr>
          <w:rFonts w:hint="default" w:ascii="Times New Roman" w:hAnsi="Times New Roman" w:cs="Times New Roman"/>
          <w:b w:val="0"/>
          <w:bCs w:val="0"/>
          <w:sz w:val="20"/>
          <w:szCs w:val="20"/>
        </w:rPr>
        <w:t>Item 6: Follow-up period appropriate to the aim of the study</w:t>
      </w:r>
      <w:r>
        <w:rPr>
          <w:rFonts w:hint="eastAsia" w:ascii="Times New Roman" w:hAnsi="Times New Roman" w:cs="Times New Roman"/>
          <w:b w:val="0"/>
          <w:bCs w:val="0"/>
          <w:sz w:val="20"/>
          <w:szCs w:val="20"/>
          <w:lang w:val="en-US" w:eastAsia="zh-CN"/>
        </w:rPr>
        <w:t xml:space="preserve">; </w:t>
      </w:r>
      <w:r>
        <w:rPr>
          <w:rFonts w:hint="default" w:ascii="Times New Roman" w:hAnsi="Times New Roman" w:cs="Times New Roman"/>
          <w:b w:val="0"/>
          <w:bCs w:val="0"/>
          <w:sz w:val="20"/>
          <w:szCs w:val="20"/>
        </w:rPr>
        <w:t>Item 7: Loss to follow-up less than 5%</w:t>
      </w:r>
      <w:r>
        <w:rPr>
          <w:rFonts w:hint="eastAsia" w:ascii="Times New Roman" w:hAnsi="Times New Roman" w:cs="Times New Roman"/>
          <w:b w:val="0"/>
          <w:bCs w:val="0"/>
          <w:sz w:val="20"/>
          <w:szCs w:val="20"/>
          <w:lang w:val="en-US" w:eastAsia="zh-CN"/>
        </w:rPr>
        <w:t xml:space="preserve">; </w:t>
      </w:r>
      <w:r>
        <w:rPr>
          <w:rFonts w:hint="default" w:ascii="Times New Roman" w:hAnsi="Times New Roman" w:cs="Times New Roman"/>
          <w:b w:val="0"/>
          <w:bCs w:val="0"/>
          <w:sz w:val="20"/>
          <w:szCs w:val="20"/>
        </w:rPr>
        <w:t>Item 8: Prospective calculation of the study siz</w:t>
      </w:r>
      <w:r>
        <w:rPr>
          <w:rFonts w:hint="eastAsia" w:ascii="Times New Roman" w:hAnsi="Times New Roman" w:cs="Times New Roman"/>
          <w:b w:val="0"/>
          <w:bCs w:val="0"/>
          <w:sz w:val="20"/>
          <w:szCs w:val="20"/>
          <w:lang w:val="en-US" w:eastAsia="zh-CN"/>
        </w:rPr>
        <w:t>e</w:t>
      </w:r>
    </w:p>
    <w:p w14:paraId="404A9FFC">
      <w:pPr>
        <w:widowControl/>
        <w:spacing w:after="200" w:line="276" w:lineRule="auto"/>
        <w:jc w:val="center"/>
        <w:rPr>
          <w:rFonts w:ascii="Times New Roman" w:hAnsi="Times New Roman" w:eastAsia="Times New Roman" w:cs="Times New Roman"/>
          <w:kern w:val="0"/>
          <w:sz w:val="18"/>
          <w:szCs w:val="22"/>
          <w:lang w:eastAsia="en-US"/>
        </w:rPr>
      </w:pPr>
      <w:r>
        <w:rPr>
          <w:rFonts w:ascii="Times New Roman" w:hAnsi="Times New Roman" w:eastAsia="Times New Roman" w:cs="Times New Roman"/>
          <w:b/>
          <w:kern w:val="0"/>
          <w:sz w:val="22"/>
          <w:szCs w:val="22"/>
          <w:lang w:eastAsia="en-US"/>
        </w:rPr>
        <w:t>Supplementary Table S4. Treatment durability, concomitant therapies, and timing of response or remission in included studies</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17"/>
        <w:gridCol w:w="2617"/>
        <w:gridCol w:w="2617"/>
        <w:gridCol w:w="2617"/>
        <w:gridCol w:w="2617"/>
        <w:gridCol w:w="2617"/>
      </w:tblGrid>
      <w:tr w14:paraId="511D2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655" w:type="dxa"/>
            <w:shd w:val="clear" w:color="auto" w:fill="F4B382" w:themeFill="accent2" w:themeFillTint="99"/>
            <w:tcMar>
              <w:top w:w="80" w:type="dxa"/>
              <w:left w:w="70" w:type="dxa"/>
              <w:bottom w:w="80" w:type="dxa"/>
              <w:right w:w="70" w:type="dxa"/>
            </w:tcMar>
            <w:vAlign w:val="center"/>
          </w:tcPr>
          <w:p w14:paraId="659EE290">
            <w:pPr>
              <w:widowControl/>
              <w:spacing w:before="0" w:after="0" w:line="240" w:lineRule="auto"/>
              <w:jc w:val="center"/>
              <w:rPr>
                <w:rFonts w:ascii="Times New Roman" w:hAnsi="Times New Roman" w:eastAsia="Times New Roman" w:cs="Times New Roman"/>
                <w:kern w:val="0"/>
                <w:sz w:val="18"/>
                <w:szCs w:val="22"/>
                <w:lang w:eastAsia="en-US"/>
              </w:rPr>
            </w:pPr>
            <w:r>
              <w:rPr>
                <w:rFonts w:ascii="Times New Roman" w:hAnsi="Times New Roman" w:eastAsia="Times New Roman" w:cs="Times New Roman"/>
                <w:b/>
                <w:bCs w:val="0"/>
                <w:kern w:val="0"/>
                <w:sz w:val="15"/>
                <w:szCs w:val="22"/>
                <w:lang w:eastAsia="en-US"/>
              </w:rPr>
              <w:t>Study</w:t>
            </w:r>
          </w:p>
        </w:tc>
        <w:tc>
          <w:tcPr>
            <w:tcW w:w="2088" w:type="dxa"/>
            <w:shd w:val="clear" w:color="auto" w:fill="F4B382" w:themeFill="accent2" w:themeFillTint="99"/>
            <w:tcMar>
              <w:top w:w="80" w:type="dxa"/>
              <w:left w:w="70" w:type="dxa"/>
              <w:bottom w:w="80" w:type="dxa"/>
              <w:right w:w="70" w:type="dxa"/>
            </w:tcMar>
            <w:vAlign w:val="center"/>
          </w:tcPr>
          <w:p w14:paraId="2E9F49C4">
            <w:pPr>
              <w:widowControl/>
              <w:spacing w:before="0" w:after="0" w:line="240" w:lineRule="auto"/>
              <w:jc w:val="center"/>
              <w:rPr>
                <w:rFonts w:ascii="Times New Roman" w:hAnsi="Times New Roman" w:eastAsia="Times New Roman" w:cs="Times New Roman"/>
                <w:kern w:val="0"/>
                <w:sz w:val="18"/>
                <w:szCs w:val="22"/>
                <w:lang w:eastAsia="en-US"/>
              </w:rPr>
            </w:pPr>
            <w:r>
              <w:rPr>
                <w:rFonts w:ascii="Times New Roman" w:hAnsi="Times New Roman" w:eastAsia="Times New Roman" w:cs="Times New Roman"/>
                <w:b/>
                <w:kern w:val="0"/>
                <w:sz w:val="15"/>
                <w:szCs w:val="22"/>
                <w:lang w:eastAsia="en-US"/>
              </w:rPr>
              <w:t>Follow-up / assessment windows</w:t>
            </w:r>
          </w:p>
        </w:tc>
        <w:tc>
          <w:tcPr>
            <w:tcW w:w="2951" w:type="dxa"/>
            <w:shd w:val="clear" w:color="auto" w:fill="F4B382" w:themeFill="accent2" w:themeFillTint="99"/>
            <w:tcMar>
              <w:top w:w="80" w:type="dxa"/>
              <w:left w:w="70" w:type="dxa"/>
              <w:bottom w:w="80" w:type="dxa"/>
              <w:right w:w="70" w:type="dxa"/>
            </w:tcMar>
            <w:vAlign w:val="center"/>
          </w:tcPr>
          <w:p w14:paraId="48DF260D">
            <w:pPr>
              <w:widowControl/>
              <w:spacing w:before="0" w:after="0" w:line="240" w:lineRule="auto"/>
              <w:jc w:val="center"/>
              <w:rPr>
                <w:rFonts w:ascii="Times New Roman" w:hAnsi="Times New Roman" w:eastAsia="Times New Roman" w:cs="Times New Roman"/>
                <w:kern w:val="0"/>
                <w:sz w:val="18"/>
                <w:szCs w:val="22"/>
                <w:lang w:eastAsia="en-US"/>
              </w:rPr>
            </w:pPr>
            <w:r>
              <w:rPr>
                <w:rFonts w:ascii="Times New Roman" w:hAnsi="Times New Roman" w:eastAsia="Times New Roman" w:cs="Times New Roman"/>
                <w:b/>
                <w:kern w:val="0"/>
                <w:sz w:val="15"/>
                <w:szCs w:val="22"/>
                <w:lang w:eastAsia="en-US"/>
              </w:rPr>
              <w:t>Treatment durability</w:t>
            </w:r>
          </w:p>
        </w:tc>
        <w:tc>
          <w:tcPr>
            <w:tcW w:w="2951" w:type="dxa"/>
            <w:shd w:val="clear" w:color="auto" w:fill="F4B382" w:themeFill="accent2" w:themeFillTint="99"/>
            <w:tcMar>
              <w:top w:w="80" w:type="dxa"/>
              <w:left w:w="70" w:type="dxa"/>
              <w:bottom w:w="80" w:type="dxa"/>
              <w:right w:w="70" w:type="dxa"/>
            </w:tcMar>
            <w:vAlign w:val="center"/>
          </w:tcPr>
          <w:p w14:paraId="29055A31">
            <w:pPr>
              <w:widowControl/>
              <w:spacing w:before="0" w:after="0" w:line="240" w:lineRule="auto"/>
              <w:jc w:val="center"/>
              <w:rPr>
                <w:rFonts w:ascii="Times New Roman" w:hAnsi="Times New Roman" w:eastAsia="Times New Roman" w:cs="Times New Roman"/>
                <w:kern w:val="0"/>
                <w:sz w:val="18"/>
                <w:szCs w:val="22"/>
                <w:lang w:eastAsia="en-US"/>
              </w:rPr>
            </w:pPr>
            <w:r>
              <w:rPr>
                <w:rFonts w:ascii="Times New Roman" w:hAnsi="Times New Roman" w:eastAsia="Times New Roman" w:cs="Times New Roman"/>
                <w:b/>
                <w:kern w:val="0"/>
                <w:sz w:val="15"/>
                <w:szCs w:val="22"/>
                <w:lang w:eastAsia="en-US"/>
              </w:rPr>
              <w:t>Concomitant or bridging therapies</w:t>
            </w:r>
          </w:p>
        </w:tc>
        <w:tc>
          <w:tcPr>
            <w:tcW w:w="2951" w:type="dxa"/>
            <w:shd w:val="clear" w:color="auto" w:fill="F4B382" w:themeFill="accent2" w:themeFillTint="99"/>
            <w:tcMar>
              <w:top w:w="80" w:type="dxa"/>
              <w:left w:w="70" w:type="dxa"/>
              <w:bottom w:w="80" w:type="dxa"/>
              <w:right w:w="70" w:type="dxa"/>
            </w:tcMar>
            <w:vAlign w:val="center"/>
          </w:tcPr>
          <w:p w14:paraId="2FD18456">
            <w:pPr>
              <w:widowControl/>
              <w:spacing w:before="0" w:after="0" w:line="240" w:lineRule="auto"/>
              <w:jc w:val="center"/>
              <w:rPr>
                <w:rFonts w:ascii="Times New Roman" w:hAnsi="Times New Roman" w:eastAsia="Times New Roman" w:cs="Times New Roman"/>
                <w:kern w:val="0"/>
                <w:sz w:val="18"/>
                <w:szCs w:val="22"/>
                <w:lang w:eastAsia="en-US"/>
              </w:rPr>
            </w:pPr>
            <w:r>
              <w:rPr>
                <w:rFonts w:ascii="Times New Roman" w:hAnsi="Times New Roman" w:eastAsia="Times New Roman" w:cs="Times New Roman"/>
                <w:b/>
                <w:kern w:val="0"/>
                <w:sz w:val="15"/>
                <w:szCs w:val="22"/>
                <w:lang w:eastAsia="en-US"/>
              </w:rPr>
              <w:t>Timing of response/remission</w:t>
            </w:r>
          </w:p>
        </w:tc>
        <w:tc>
          <w:tcPr>
            <w:tcW w:w="3240" w:type="dxa"/>
            <w:shd w:val="clear" w:color="auto" w:fill="F4B382" w:themeFill="accent2" w:themeFillTint="99"/>
            <w:tcMar>
              <w:top w:w="80" w:type="dxa"/>
              <w:left w:w="70" w:type="dxa"/>
              <w:bottom w:w="80" w:type="dxa"/>
              <w:right w:w="70" w:type="dxa"/>
            </w:tcMar>
            <w:vAlign w:val="center"/>
          </w:tcPr>
          <w:p w14:paraId="3EDC1C4C">
            <w:pPr>
              <w:widowControl/>
              <w:spacing w:before="0" w:after="0" w:line="240" w:lineRule="auto"/>
              <w:jc w:val="center"/>
              <w:rPr>
                <w:rFonts w:ascii="Times New Roman" w:hAnsi="Times New Roman" w:eastAsia="Times New Roman" w:cs="Times New Roman"/>
                <w:kern w:val="0"/>
                <w:sz w:val="18"/>
                <w:szCs w:val="22"/>
                <w:lang w:eastAsia="en-US"/>
              </w:rPr>
            </w:pPr>
            <w:r>
              <w:rPr>
                <w:rFonts w:ascii="Times New Roman" w:hAnsi="Times New Roman" w:eastAsia="Times New Roman" w:cs="Times New Roman"/>
                <w:b/>
                <w:kern w:val="0"/>
                <w:sz w:val="15"/>
                <w:szCs w:val="22"/>
                <w:lang w:eastAsia="en-US"/>
              </w:rPr>
              <w:t>Dose escalation / optimization and notes</w:t>
            </w:r>
          </w:p>
        </w:tc>
      </w:tr>
      <w:tr w14:paraId="3CFAB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55" w:type="dxa"/>
            <w:tcMar>
              <w:top w:w="70" w:type="dxa"/>
              <w:left w:w="70" w:type="dxa"/>
              <w:bottom w:w="70" w:type="dxa"/>
              <w:right w:w="70" w:type="dxa"/>
            </w:tcMar>
            <w:vAlign w:val="top"/>
          </w:tcPr>
          <w:p w14:paraId="0B5863ED">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Mitchel et al., 2025</w:t>
            </w:r>
          </w:p>
        </w:tc>
        <w:tc>
          <w:tcPr>
            <w:tcW w:w="2088" w:type="dxa"/>
            <w:tcMar>
              <w:top w:w="70" w:type="dxa"/>
              <w:left w:w="70" w:type="dxa"/>
              <w:bottom w:w="70" w:type="dxa"/>
              <w:right w:w="70" w:type="dxa"/>
            </w:tcMar>
            <w:vAlign w:val="top"/>
          </w:tcPr>
          <w:p w14:paraId="601A0365">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Median follow-up: 16.6 months; outcomes assessed at 6, 12, 24, and 36 months.</w:t>
            </w:r>
          </w:p>
        </w:tc>
        <w:tc>
          <w:tcPr>
            <w:tcW w:w="2951" w:type="dxa"/>
            <w:tcMar>
              <w:top w:w="70" w:type="dxa"/>
              <w:left w:w="70" w:type="dxa"/>
              <w:bottom w:w="70" w:type="dxa"/>
              <w:right w:w="70" w:type="dxa"/>
            </w:tcMar>
            <w:vAlign w:val="top"/>
          </w:tcPr>
          <w:p w14:paraId="1CA1CEA6">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Drug failure occurred in 28% at 1 year and 38% by last follow-up. Among patients after escalation, 89% remained on UST within 6 months, and 65% remained on UST by last follow-up.</w:t>
            </w:r>
          </w:p>
        </w:tc>
        <w:tc>
          <w:tcPr>
            <w:tcW w:w="2951" w:type="dxa"/>
            <w:tcMar>
              <w:top w:w="70" w:type="dxa"/>
              <w:left w:w="70" w:type="dxa"/>
              <w:bottom w:w="70" w:type="dxa"/>
              <w:right w:w="70" w:type="dxa"/>
            </w:tcMar>
            <w:vAlign w:val="top"/>
          </w:tcPr>
          <w:p w14:paraId="7E0AFCDE">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At UST initiation, 23 patients used methotrexate, 5 used azathioprine, and 22 were on corticosteroids. Steroid exposure within 3 months before UST was reported in 30 patients.</w:t>
            </w:r>
          </w:p>
        </w:tc>
        <w:tc>
          <w:tcPr>
            <w:tcW w:w="2951" w:type="dxa"/>
            <w:tcMar>
              <w:top w:w="70" w:type="dxa"/>
              <w:left w:w="70" w:type="dxa"/>
              <w:bottom w:w="70" w:type="dxa"/>
              <w:right w:w="70" w:type="dxa"/>
            </w:tcMar>
            <w:vAlign w:val="top"/>
          </w:tcPr>
          <w:p w14:paraId="7B2638DA">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Time to steroid-free clinical remission for 50% of patients was 2.7 months. At 1 year, 59 patients were in steroid-free clinical remission.</w:t>
            </w:r>
          </w:p>
        </w:tc>
        <w:tc>
          <w:tcPr>
            <w:tcW w:w="3240" w:type="dxa"/>
            <w:tcMar>
              <w:top w:w="70" w:type="dxa"/>
              <w:left w:w="70" w:type="dxa"/>
              <w:bottom w:w="70" w:type="dxa"/>
              <w:right w:w="70" w:type="dxa"/>
            </w:tcMar>
            <w:vAlign w:val="top"/>
          </w:tcPr>
          <w:p w14:paraId="0E7CB1C7">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Drug escalation occurred in 70%, mainly interval shortening from q8w to q4w or q6w; some received IV reinduction. After escalation, 70% achieved clinical remission and 69% achieved steroid-free remission at last follow-up.</w:t>
            </w:r>
          </w:p>
        </w:tc>
      </w:tr>
      <w:tr w14:paraId="04526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55" w:type="dxa"/>
            <w:shd w:val="clear" w:color="auto" w:fill="F7F7F7"/>
            <w:tcMar>
              <w:top w:w="70" w:type="dxa"/>
              <w:left w:w="70" w:type="dxa"/>
              <w:bottom w:w="70" w:type="dxa"/>
              <w:right w:w="70" w:type="dxa"/>
            </w:tcMar>
            <w:vAlign w:val="top"/>
          </w:tcPr>
          <w:p w14:paraId="48DD0D53">
            <w:pPr>
              <w:widowControl/>
              <w:spacing w:before="0" w:after="0" w:line="240" w:lineRule="auto"/>
              <w:jc w:val="left"/>
              <w:rPr>
                <w:rFonts w:hint="eastAsia" w:ascii="Times New Roman" w:hAnsi="Times New Roman" w:eastAsia="宋体" w:cs="Times New Roman"/>
                <w:kern w:val="0"/>
                <w:sz w:val="18"/>
                <w:szCs w:val="22"/>
                <w:lang w:val="en-US" w:eastAsia="zh-CN"/>
              </w:rPr>
            </w:pPr>
            <w:r>
              <w:rPr>
                <w:rFonts w:ascii="Times New Roman" w:hAnsi="Times New Roman" w:eastAsia="Times New Roman" w:cs="Times New Roman"/>
                <w:b w:val="0"/>
                <w:kern w:val="0"/>
                <w:sz w:val="14"/>
                <w:szCs w:val="22"/>
                <w:lang w:eastAsia="en-US"/>
              </w:rPr>
              <w:t>Alhadab et al., 202</w:t>
            </w:r>
            <w:r>
              <w:rPr>
                <w:rFonts w:hint="eastAsia" w:ascii="Times New Roman" w:hAnsi="Times New Roman" w:eastAsia="宋体" w:cs="Times New Roman"/>
                <w:b w:val="0"/>
                <w:kern w:val="0"/>
                <w:sz w:val="14"/>
                <w:szCs w:val="22"/>
                <w:lang w:val="en-US" w:eastAsia="zh-CN"/>
              </w:rPr>
              <w:t>4</w:t>
            </w:r>
          </w:p>
        </w:tc>
        <w:tc>
          <w:tcPr>
            <w:tcW w:w="2088" w:type="dxa"/>
            <w:shd w:val="clear" w:color="auto" w:fill="F7F7F7"/>
            <w:tcMar>
              <w:top w:w="70" w:type="dxa"/>
              <w:left w:w="70" w:type="dxa"/>
              <w:bottom w:w="70" w:type="dxa"/>
              <w:right w:w="70" w:type="dxa"/>
            </w:tcMar>
            <w:vAlign w:val="top"/>
          </w:tcPr>
          <w:p w14:paraId="65ECE7E0">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Minimum follow-up &gt;=1 year; clinical and laboratory outcomes at baseline, week 26, and week 52.</w:t>
            </w:r>
          </w:p>
        </w:tc>
        <w:tc>
          <w:tcPr>
            <w:tcW w:w="2951" w:type="dxa"/>
            <w:shd w:val="clear" w:color="auto" w:fill="F7F7F7"/>
            <w:tcMar>
              <w:top w:w="70" w:type="dxa"/>
              <w:left w:w="70" w:type="dxa"/>
              <w:bottom w:w="70" w:type="dxa"/>
              <w:right w:w="70" w:type="dxa"/>
            </w:tcMar>
            <w:vAlign w:val="top"/>
          </w:tcPr>
          <w:p w14:paraId="46B5F7ED">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At 1 year, 84% remained on UST. No severe adverse reactions were reported.</w:t>
            </w:r>
          </w:p>
        </w:tc>
        <w:tc>
          <w:tcPr>
            <w:tcW w:w="2951" w:type="dxa"/>
            <w:shd w:val="clear" w:color="auto" w:fill="F7F7F7"/>
            <w:tcMar>
              <w:top w:w="70" w:type="dxa"/>
              <w:left w:w="70" w:type="dxa"/>
              <w:bottom w:w="70" w:type="dxa"/>
              <w:right w:w="70" w:type="dxa"/>
            </w:tcMar>
            <w:vAlign w:val="top"/>
          </w:tcPr>
          <w:p w14:paraId="6D381EC6">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Five patients received corticosteroids at induction; three patients used azathioprine. Antibiotics were used early in treatment in one perianal disease case.</w:t>
            </w:r>
          </w:p>
        </w:tc>
        <w:tc>
          <w:tcPr>
            <w:tcW w:w="2951" w:type="dxa"/>
            <w:shd w:val="clear" w:color="auto" w:fill="F7F7F7"/>
            <w:tcMar>
              <w:top w:w="70" w:type="dxa"/>
              <w:left w:w="70" w:type="dxa"/>
              <w:bottom w:w="70" w:type="dxa"/>
              <w:right w:w="70" w:type="dxa"/>
            </w:tcMar>
            <w:vAlign w:val="top"/>
          </w:tcPr>
          <w:p w14:paraId="0BC1B76E">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Clinical remission was assessed at week 52. Steroid-free remission increased from 0% to 38.4% at week 26 and 69.2% at week 52. One patient's headache/vomiting improved 3 months after UST initiation.</w:t>
            </w:r>
          </w:p>
        </w:tc>
        <w:tc>
          <w:tcPr>
            <w:tcW w:w="3240" w:type="dxa"/>
            <w:shd w:val="clear" w:color="auto" w:fill="F7F7F7"/>
            <w:tcMar>
              <w:top w:w="70" w:type="dxa"/>
              <w:left w:w="70" w:type="dxa"/>
              <w:bottom w:w="70" w:type="dxa"/>
              <w:right w:w="70" w:type="dxa"/>
            </w:tcMar>
            <w:vAlign w:val="top"/>
          </w:tcPr>
          <w:p w14:paraId="35454E92">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Dose interval or dose escalation was determined by clinician assessment; specific pooled escalation numbers were not clearly reported.</w:t>
            </w:r>
          </w:p>
        </w:tc>
      </w:tr>
      <w:tr w14:paraId="45DCF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55" w:type="dxa"/>
            <w:tcMar>
              <w:top w:w="70" w:type="dxa"/>
              <w:left w:w="70" w:type="dxa"/>
              <w:bottom w:w="70" w:type="dxa"/>
              <w:right w:w="70" w:type="dxa"/>
            </w:tcMar>
            <w:vAlign w:val="top"/>
          </w:tcPr>
          <w:p w14:paraId="0A813812">
            <w:pPr>
              <w:widowControl/>
              <w:spacing w:before="0" w:after="0" w:line="240" w:lineRule="auto"/>
              <w:jc w:val="left"/>
              <w:rPr>
                <w:rFonts w:hint="eastAsia" w:ascii="Times New Roman" w:hAnsi="Times New Roman" w:eastAsia="宋体" w:cs="Times New Roman"/>
                <w:kern w:val="0"/>
                <w:sz w:val="18"/>
                <w:szCs w:val="22"/>
                <w:lang w:val="en-US" w:eastAsia="zh-CN"/>
              </w:rPr>
            </w:pPr>
            <w:r>
              <w:rPr>
                <w:rFonts w:ascii="Times New Roman" w:hAnsi="Times New Roman" w:eastAsia="Times New Roman" w:cs="Times New Roman"/>
                <w:b w:val="0"/>
                <w:kern w:val="0"/>
                <w:sz w:val="14"/>
                <w:szCs w:val="22"/>
                <w:lang w:eastAsia="en-US"/>
              </w:rPr>
              <w:t>Yamamoto et al., 202</w:t>
            </w:r>
            <w:r>
              <w:rPr>
                <w:rFonts w:hint="eastAsia" w:ascii="Times New Roman" w:hAnsi="Times New Roman" w:eastAsia="宋体" w:cs="Times New Roman"/>
                <w:b w:val="0"/>
                <w:kern w:val="0"/>
                <w:sz w:val="14"/>
                <w:szCs w:val="22"/>
                <w:lang w:val="en-US" w:eastAsia="zh-CN"/>
              </w:rPr>
              <w:t>4</w:t>
            </w:r>
          </w:p>
        </w:tc>
        <w:tc>
          <w:tcPr>
            <w:tcW w:w="2088" w:type="dxa"/>
            <w:tcMar>
              <w:top w:w="70" w:type="dxa"/>
              <w:left w:w="70" w:type="dxa"/>
              <w:bottom w:w="70" w:type="dxa"/>
              <w:right w:w="70" w:type="dxa"/>
            </w:tcMar>
            <w:vAlign w:val="top"/>
          </w:tcPr>
          <w:p w14:paraId="5C9DB32F">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Median follow-up: 136 weeks; outcomes at weeks 8, 52, and 106.</w:t>
            </w:r>
          </w:p>
        </w:tc>
        <w:tc>
          <w:tcPr>
            <w:tcW w:w="2951" w:type="dxa"/>
            <w:tcMar>
              <w:top w:w="70" w:type="dxa"/>
              <w:left w:w="70" w:type="dxa"/>
              <w:bottom w:w="70" w:type="dxa"/>
              <w:right w:w="70" w:type="dxa"/>
            </w:tcMar>
            <w:vAlign w:val="top"/>
          </w:tcPr>
          <w:p w14:paraId="3E6DAF98">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Continuation rates were 100% at week 8, approximately 91%-92% at week 52, and 80% at week 106. Discontinuation incidence was 6.2% per patient-year; all discontinuations were due to non-response.</w:t>
            </w:r>
          </w:p>
        </w:tc>
        <w:tc>
          <w:tcPr>
            <w:tcW w:w="2951" w:type="dxa"/>
            <w:tcMar>
              <w:top w:w="70" w:type="dxa"/>
              <w:left w:w="70" w:type="dxa"/>
              <w:bottom w:w="70" w:type="dxa"/>
              <w:right w:w="70" w:type="dxa"/>
            </w:tcMar>
            <w:vAlign w:val="top"/>
          </w:tcPr>
          <w:p w14:paraId="18E63706">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At baseline, 34/43 were on partial enteral nutrition, 26 used azathioprine, 1 mercaptopurine, and 3 tacrolimus. Steroid exposure included prednisolone, budesonide, and hydrocortisone.</w:t>
            </w:r>
          </w:p>
        </w:tc>
        <w:tc>
          <w:tcPr>
            <w:tcW w:w="2951" w:type="dxa"/>
            <w:tcMar>
              <w:top w:w="70" w:type="dxa"/>
              <w:left w:w="70" w:type="dxa"/>
              <w:bottom w:w="70" w:type="dxa"/>
              <w:right w:w="70" w:type="dxa"/>
            </w:tcMar>
            <w:vAlign w:val="top"/>
          </w:tcPr>
          <w:p w14:paraId="36106A45">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Clinical remission rates were 84%, 82%, and 80% at weeks 8, 52, and 106. Steroid-free remission rates were 44%, 71%, and 80% at weeks 8, 52, and 106.</w:t>
            </w:r>
          </w:p>
        </w:tc>
        <w:tc>
          <w:tcPr>
            <w:tcW w:w="3240" w:type="dxa"/>
            <w:tcMar>
              <w:top w:w="70" w:type="dxa"/>
              <w:left w:w="70" w:type="dxa"/>
              <w:bottom w:w="70" w:type="dxa"/>
              <w:right w:w="70" w:type="dxa"/>
            </w:tcMar>
            <w:vAlign w:val="top"/>
          </w:tcPr>
          <w:p w14:paraId="16DD4B94">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Interval shortening to q4-7w was required in seven patients with VEO-IBD. One patient underwent IV reinduction after self-interruption; others did not undergo reinduction despite loss of response.</w:t>
            </w:r>
          </w:p>
        </w:tc>
      </w:tr>
      <w:tr w14:paraId="6A3EE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55" w:type="dxa"/>
            <w:shd w:val="clear" w:color="auto" w:fill="F7F7F7"/>
            <w:tcMar>
              <w:top w:w="70" w:type="dxa"/>
              <w:left w:w="70" w:type="dxa"/>
              <w:bottom w:w="70" w:type="dxa"/>
              <w:right w:w="70" w:type="dxa"/>
            </w:tcMar>
            <w:vAlign w:val="top"/>
          </w:tcPr>
          <w:p w14:paraId="1B942C57">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 xml:space="preserve">Pujol-Muncunill et al., 2024 </w:t>
            </w:r>
          </w:p>
        </w:tc>
        <w:tc>
          <w:tcPr>
            <w:tcW w:w="2088" w:type="dxa"/>
            <w:shd w:val="clear" w:color="auto" w:fill="F7F7F7"/>
            <w:tcMar>
              <w:top w:w="70" w:type="dxa"/>
              <w:left w:w="70" w:type="dxa"/>
              <w:bottom w:w="70" w:type="dxa"/>
              <w:right w:w="70" w:type="dxa"/>
            </w:tcMar>
            <w:vAlign w:val="top"/>
          </w:tcPr>
          <w:p w14:paraId="52F6F53D">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Median follow-up: 7.4 months; week 12 and week 52 outcomes.</w:t>
            </w:r>
          </w:p>
        </w:tc>
        <w:tc>
          <w:tcPr>
            <w:tcW w:w="2951" w:type="dxa"/>
            <w:shd w:val="clear" w:color="auto" w:fill="F7F7F7"/>
            <w:tcMar>
              <w:top w:w="70" w:type="dxa"/>
              <w:left w:w="70" w:type="dxa"/>
              <w:bottom w:w="70" w:type="dxa"/>
              <w:right w:w="70" w:type="dxa"/>
            </w:tcMar>
            <w:vAlign w:val="top"/>
          </w:tcPr>
          <w:p w14:paraId="27E67B73">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At week 52, 51/74 patients remained on UST. Twenty-three of 74 discontinued within 1 year, mostly due to lack of response. Six required surgery during 12 months but continued UST after surgery.</w:t>
            </w:r>
          </w:p>
        </w:tc>
        <w:tc>
          <w:tcPr>
            <w:tcW w:w="2951" w:type="dxa"/>
            <w:shd w:val="clear" w:color="auto" w:fill="F7F7F7"/>
            <w:tcMar>
              <w:top w:w="70" w:type="dxa"/>
              <w:left w:w="70" w:type="dxa"/>
              <w:bottom w:w="70" w:type="dxa"/>
              <w:right w:w="70" w:type="dxa"/>
            </w:tcMar>
            <w:vAlign w:val="top"/>
          </w:tcPr>
          <w:p w14:paraId="708D031F">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Baseline: 28 patients on corticosteroids, 15 on exclusive enteral nutrition, and 48 on immunosuppressants. Immunosuppressant use decreased from 45.7% at week 12 to 35.3% at week 52.</w:t>
            </w:r>
          </w:p>
        </w:tc>
        <w:tc>
          <w:tcPr>
            <w:tcW w:w="2951" w:type="dxa"/>
            <w:shd w:val="clear" w:color="auto" w:fill="F7F7F7"/>
            <w:tcMar>
              <w:top w:w="70" w:type="dxa"/>
              <w:left w:w="70" w:type="dxa"/>
              <w:bottom w:w="70" w:type="dxa"/>
              <w:right w:w="70" w:type="dxa"/>
            </w:tcMar>
            <w:vAlign w:val="top"/>
          </w:tcPr>
          <w:p w14:paraId="6E7FB3E4">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Clinical response at week 6 was a predictor of remission at week 12. Corticosteroid- and EEN-free remission was 40.5% at week 12 and 40.5% at week 52.</w:t>
            </w:r>
          </w:p>
        </w:tc>
        <w:tc>
          <w:tcPr>
            <w:tcW w:w="3240" w:type="dxa"/>
            <w:shd w:val="clear" w:color="auto" w:fill="F7F7F7"/>
            <w:tcMar>
              <w:top w:w="70" w:type="dxa"/>
              <w:left w:w="70" w:type="dxa"/>
              <w:bottom w:w="70" w:type="dxa"/>
              <w:right w:w="70" w:type="dxa"/>
            </w:tcMar>
            <w:vAlign w:val="top"/>
          </w:tcPr>
          <w:p w14:paraId="678AF750">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Twenty-five patients underwent treatment optimization within 12 months: 15 within the first 12 weeks, 3 within 6 months, and 7 within 12 months. Among optimized patients, 18/25 responded. IV reinduction was performed in two patients.</w:t>
            </w:r>
          </w:p>
        </w:tc>
      </w:tr>
      <w:tr w14:paraId="29701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55" w:type="dxa"/>
            <w:tcMar>
              <w:top w:w="70" w:type="dxa"/>
              <w:left w:w="70" w:type="dxa"/>
              <w:bottom w:w="70" w:type="dxa"/>
              <w:right w:w="70" w:type="dxa"/>
            </w:tcMar>
            <w:vAlign w:val="top"/>
          </w:tcPr>
          <w:p w14:paraId="106116A5">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Cohen et al., 2021</w:t>
            </w:r>
          </w:p>
        </w:tc>
        <w:tc>
          <w:tcPr>
            <w:tcW w:w="2088" w:type="dxa"/>
            <w:tcMar>
              <w:top w:w="70" w:type="dxa"/>
              <w:left w:w="70" w:type="dxa"/>
              <w:bottom w:w="70" w:type="dxa"/>
              <w:right w:w="70" w:type="dxa"/>
            </w:tcMar>
            <w:vAlign w:val="top"/>
          </w:tcPr>
          <w:p w14:paraId="1213F76A">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Follow-up varied; responders were followed for 6-22 months and nonresponders for 2-24 months.</w:t>
            </w:r>
          </w:p>
        </w:tc>
        <w:tc>
          <w:tcPr>
            <w:tcW w:w="2951" w:type="dxa"/>
            <w:tcMar>
              <w:top w:w="70" w:type="dxa"/>
              <w:left w:w="70" w:type="dxa"/>
              <w:bottom w:w="70" w:type="dxa"/>
              <w:right w:w="70" w:type="dxa"/>
            </w:tcMar>
            <w:vAlign w:val="top"/>
          </w:tcPr>
          <w:p w14:paraId="0929D4EB">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Five of 11 showed initial response; 2/5 maintained response through all available follow-up. Three developed secondary loss of response between 11 and 19 months. One patient clearly maintained remission beyond 1 year, stable at 22 months.</w:t>
            </w:r>
          </w:p>
        </w:tc>
        <w:tc>
          <w:tcPr>
            <w:tcW w:w="2951" w:type="dxa"/>
            <w:tcMar>
              <w:top w:w="70" w:type="dxa"/>
              <w:left w:w="70" w:type="dxa"/>
              <w:bottom w:w="70" w:type="dxa"/>
              <w:right w:w="70" w:type="dxa"/>
            </w:tcMar>
            <w:vAlign w:val="top"/>
          </w:tcPr>
          <w:p w14:paraId="53E6DB83">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At induction, 4/11 used methotrexate or azathioprine and 4/11 used corticosteroids.</w:t>
            </w:r>
          </w:p>
        </w:tc>
        <w:tc>
          <w:tcPr>
            <w:tcW w:w="2951" w:type="dxa"/>
            <w:tcMar>
              <w:top w:w="70" w:type="dxa"/>
              <w:left w:w="70" w:type="dxa"/>
              <w:bottom w:w="70" w:type="dxa"/>
              <w:right w:w="70" w:type="dxa"/>
            </w:tcMar>
            <w:vAlign w:val="top"/>
          </w:tcPr>
          <w:p w14:paraId="5EF564F6">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Responders had abbrPCDAI decrease within 3-6 months. Three patients with secondary loss of response achieved clinical remission within 1-4 months after interval shortening. CRP normalized within 1 month of clinical improvement in responders with elevated baseline CRP.</w:t>
            </w:r>
          </w:p>
        </w:tc>
        <w:tc>
          <w:tcPr>
            <w:tcW w:w="3240" w:type="dxa"/>
            <w:tcMar>
              <w:top w:w="70" w:type="dxa"/>
              <w:left w:w="70" w:type="dxa"/>
              <w:bottom w:w="70" w:type="dxa"/>
              <w:right w:w="70" w:type="dxa"/>
            </w:tcMar>
            <w:vAlign w:val="top"/>
          </w:tcPr>
          <w:p w14:paraId="69147F31">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Maintenance intervals were shortened from q8w to q4w in 9/11 due to ongoing symptoms. Among eight patients with interval shortening, three showed clinical response.</w:t>
            </w:r>
          </w:p>
        </w:tc>
      </w:tr>
      <w:tr w14:paraId="054D3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55" w:type="dxa"/>
            <w:shd w:val="clear" w:color="auto" w:fill="F7F7F7"/>
            <w:tcMar>
              <w:top w:w="70" w:type="dxa"/>
              <w:left w:w="70" w:type="dxa"/>
              <w:bottom w:w="70" w:type="dxa"/>
              <w:right w:w="70" w:type="dxa"/>
            </w:tcMar>
            <w:vAlign w:val="top"/>
          </w:tcPr>
          <w:p w14:paraId="59CB5CCE">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Kim et al., 2021</w:t>
            </w:r>
          </w:p>
        </w:tc>
        <w:tc>
          <w:tcPr>
            <w:tcW w:w="2088" w:type="dxa"/>
            <w:shd w:val="clear" w:color="auto" w:fill="F7F7F7"/>
            <w:tcMar>
              <w:top w:w="70" w:type="dxa"/>
              <w:left w:w="70" w:type="dxa"/>
              <w:bottom w:w="70" w:type="dxa"/>
              <w:right w:w="70" w:type="dxa"/>
            </w:tcMar>
            <w:vAlign w:val="top"/>
          </w:tcPr>
          <w:p w14:paraId="1C1804DB">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Median duration on UST: 62.1 weeks / 14.3 months.</w:t>
            </w:r>
          </w:p>
        </w:tc>
        <w:tc>
          <w:tcPr>
            <w:tcW w:w="2951" w:type="dxa"/>
            <w:shd w:val="clear" w:color="auto" w:fill="F7F7F7"/>
            <w:tcMar>
              <w:top w:w="70" w:type="dxa"/>
              <w:left w:w="70" w:type="dxa"/>
              <w:bottom w:w="70" w:type="dxa"/>
              <w:right w:w="70" w:type="dxa"/>
            </w:tcMar>
            <w:vAlign w:val="top"/>
          </w:tcPr>
          <w:p w14:paraId="6D6E0731">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At last follow-up, 32/38 (84.2%) remained on UST. Five of 38 discontinued due to secondary loss of response; other discontinuations included insurance-related and patient-initiated discontinuation.</w:t>
            </w:r>
          </w:p>
        </w:tc>
        <w:tc>
          <w:tcPr>
            <w:tcW w:w="2951" w:type="dxa"/>
            <w:shd w:val="clear" w:color="auto" w:fill="F7F7F7"/>
            <w:tcMar>
              <w:top w:w="70" w:type="dxa"/>
              <w:left w:w="70" w:type="dxa"/>
              <w:bottom w:w="70" w:type="dxa"/>
              <w:right w:w="70" w:type="dxa"/>
            </w:tcMar>
            <w:vAlign w:val="top"/>
          </w:tcPr>
          <w:p w14:paraId="7DDC2A21">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At UST induction, 7/38 were on oral corticosteroids. Previous immunomodulator exposure was common, including methotrexate and thiopurines.</w:t>
            </w:r>
          </w:p>
        </w:tc>
        <w:tc>
          <w:tcPr>
            <w:tcW w:w="2951" w:type="dxa"/>
            <w:shd w:val="clear" w:color="auto" w:fill="F7F7F7"/>
            <w:tcMar>
              <w:top w:w="70" w:type="dxa"/>
              <w:left w:w="70" w:type="dxa"/>
              <w:bottom w:w="70" w:type="dxa"/>
              <w:right w:w="70" w:type="dxa"/>
            </w:tcMar>
            <w:vAlign w:val="top"/>
          </w:tcPr>
          <w:p w14:paraId="2B77D7BC">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Exact median time to response/remission was not reported; outcomes were mainly reported at last follow-up.</w:t>
            </w:r>
          </w:p>
        </w:tc>
        <w:tc>
          <w:tcPr>
            <w:tcW w:w="3240" w:type="dxa"/>
            <w:shd w:val="clear" w:color="auto" w:fill="F7F7F7"/>
            <w:tcMar>
              <w:top w:w="70" w:type="dxa"/>
              <w:left w:w="70" w:type="dxa"/>
              <w:bottom w:w="70" w:type="dxa"/>
              <w:right w:w="70" w:type="dxa"/>
            </w:tcMar>
            <w:vAlign w:val="top"/>
          </w:tcPr>
          <w:p w14:paraId="5C18BA92">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Eighteen of 38 required dose escalation, IV reinduction, or both. Among the dose-adjustment group, 61.1% achieved clinical remission.</w:t>
            </w:r>
          </w:p>
        </w:tc>
      </w:tr>
      <w:tr w14:paraId="4C462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55" w:type="dxa"/>
            <w:tcMar>
              <w:top w:w="70" w:type="dxa"/>
              <w:left w:w="70" w:type="dxa"/>
              <w:bottom w:w="70" w:type="dxa"/>
              <w:right w:w="70" w:type="dxa"/>
            </w:tcMar>
            <w:vAlign w:val="top"/>
          </w:tcPr>
          <w:p w14:paraId="0E957184">
            <w:pPr>
              <w:widowControl/>
              <w:spacing w:before="0" w:after="0" w:line="240" w:lineRule="auto"/>
              <w:jc w:val="left"/>
              <w:rPr>
                <w:rFonts w:hint="eastAsia" w:ascii="Times New Roman" w:hAnsi="Times New Roman" w:eastAsia="宋体" w:cs="Times New Roman"/>
                <w:kern w:val="0"/>
                <w:sz w:val="18"/>
                <w:szCs w:val="22"/>
                <w:lang w:val="en-US" w:eastAsia="zh-CN"/>
              </w:rPr>
            </w:pPr>
            <w:r>
              <w:rPr>
                <w:rFonts w:ascii="Times New Roman" w:hAnsi="Times New Roman" w:eastAsia="Times New Roman" w:cs="Times New Roman"/>
                <w:b w:val="0"/>
                <w:kern w:val="0"/>
                <w:sz w:val="14"/>
                <w:szCs w:val="22"/>
                <w:lang w:eastAsia="en-US"/>
              </w:rPr>
              <w:t>Takeuchi et al., 202</w:t>
            </w:r>
            <w:r>
              <w:rPr>
                <w:rFonts w:hint="eastAsia" w:ascii="Times New Roman" w:hAnsi="Times New Roman" w:eastAsia="宋体" w:cs="Times New Roman"/>
                <w:b w:val="0"/>
                <w:kern w:val="0"/>
                <w:sz w:val="14"/>
                <w:szCs w:val="22"/>
                <w:lang w:val="en-US" w:eastAsia="zh-CN"/>
              </w:rPr>
              <w:t>0</w:t>
            </w:r>
          </w:p>
        </w:tc>
        <w:tc>
          <w:tcPr>
            <w:tcW w:w="2088" w:type="dxa"/>
            <w:tcMar>
              <w:top w:w="70" w:type="dxa"/>
              <w:left w:w="70" w:type="dxa"/>
              <w:bottom w:w="70" w:type="dxa"/>
              <w:right w:w="70" w:type="dxa"/>
            </w:tcMar>
            <w:vAlign w:val="top"/>
          </w:tcPr>
          <w:p w14:paraId="07633B3C">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Minimum follow-up &gt;=26 weeks; median observed UST duration 58 weeks.</w:t>
            </w:r>
          </w:p>
        </w:tc>
        <w:tc>
          <w:tcPr>
            <w:tcW w:w="2951" w:type="dxa"/>
            <w:tcMar>
              <w:top w:w="70" w:type="dxa"/>
              <w:left w:w="70" w:type="dxa"/>
              <w:bottom w:w="70" w:type="dxa"/>
              <w:right w:w="70" w:type="dxa"/>
            </w:tcMar>
            <w:vAlign w:val="top"/>
          </w:tcPr>
          <w:p w14:paraId="5376CD57">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All patients remained on UST at week 26. Among 10 patients followed for more than 52 weeks, 9/10 continued beyond week 52. One VEO-IBD patient discontinued at week 39 due to poor response.</w:t>
            </w:r>
          </w:p>
        </w:tc>
        <w:tc>
          <w:tcPr>
            <w:tcW w:w="2951" w:type="dxa"/>
            <w:tcMar>
              <w:top w:w="70" w:type="dxa"/>
              <w:left w:w="70" w:type="dxa"/>
              <w:bottom w:w="70" w:type="dxa"/>
              <w:right w:w="70" w:type="dxa"/>
            </w:tcMar>
            <w:vAlign w:val="top"/>
          </w:tcPr>
          <w:p w14:paraId="601531F7">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Baseline steroid exposure was 8/17. Concomitant therapies included azathioprine (n=8), mercaptopurine (n=1), and tacrolimus (n=1). Some patients initiated UST after remission induced by EEN or other biologic interventions.</w:t>
            </w:r>
          </w:p>
        </w:tc>
        <w:tc>
          <w:tcPr>
            <w:tcW w:w="2951" w:type="dxa"/>
            <w:tcMar>
              <w:top w:w="70" w:type="dxa"/>
              <w:left w:w="70" w:type="dxa"/>
              <w:bottom w:w="70" w:type="dxa"/>
              <w:right w:w="70" w:type="dxa"/>
            </w:tcMar>
            <w:vAlign w:val="top"/>
          </w:tcPr>
          <w:p w14:paraId="278FEA31">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Steroid-free remission was 59% at week 26, 50% at week 52, and 70% beyond week 52. Two patients achieved steroid-free remission at weeks 65 and 79.</w:t>
            </w:r>
          </w:p>
        </w:tc>
        <w:tc>
          <w:tcPr>
            <w:tcW w:w="3240" w:type="dxa"/>
            <w:tcMar>
              <w:top w:w="70" w:type="dxa"/>
              <w:left w:w="70" w:type="dxa"/>
              <w:bottom w:w="70" w:type="dxa"/>
              <w:right w:w="70" w:type="dxa"/>
            </w:tcMar>
            <w:vAlign w:val="top"/>
          </w:tcPr>
          <w:p w14:paraId="37C86333">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Two VEO-IBD patients required dose escalation to 2.5 mg/kg; one required interval shortening to q5w. No patient underwent reinduction.</w:t>
            </w:r>
          </w:p>
        </w:tc>
      </w:tr>
      <w:tr w14:paraId="3465E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55" w:type="dxa"/>
            <w:shd w:val="clear" w:color="auto" w:fill="F7F7F7"/>
            <w:tcMar>
              <w:top w:w="70" w:type="dxa"/>
              <w:left w:w="70" w:type="dxa"/>
              <w:bottom w:w="70" w:type="dxa"/>
              <w:right w:w="70" w:type="dxa"/>
            </w:tcMar>
            <w:vAlign w:val="top"/>
          </w:tcPr>
          <w:p w14:paraId="6298FB5B">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Dayan et al., 2019</w:t>
            </w:r>
          </w:p>
        </w:tc>
        <w:tc>
          <w:tcPr>
            <w:tcW w:w="2088" w:type="dxa"/>
            <w:shd w:val="clear" w:color="auto" w:fill="F7F7F7"/>
            <w:tcMar>
              <w:top w:w="70" w:type="dxa"/>
              <w:left w:w="70" w:type="dxa"/>
              <w:bottom w:w="70" w:type="dxa"/>
              <w:right w:w="70" w:type="dxa"/>
            </w:tcMar>
            <w:vAlign w:val="top"/>
          </w:tcPr>
          <w:p w14:paraId="1DC593AB">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Minimum follow-up 52 weeks; median follow-up 18 months.</w:t>
            </w:r>
          </w:p>
        </w:tc>
        <w:tc>
          <w:tcPr>
            <w:tcW w:w="2951" w:type="dxa"/>
            <w:shd w:val="clear" w:color="auto" w:fill="F7F7F7"/>
            <w:tcMar>
              <w:top w:w="70" w:type="dxa"/>
              <w:left w:w="70" w:type="dxa"/>
              <w:bottom w:w="70" w:type="dxa"/>
              <w:right w:w="70" w:type="dxa"/>
            </w:tcMar>
            <w:vAlign w:val="top"/>
          </w:tcPr>
          <w:p w14:paraId="09F51A09">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At week 52, 39/52 (75%) remained on UST. Thirteen discontinued by week 52, with reasons including therapy switch, surgery, side effects, and insurance denial.</w:t>
            </w:r>
          </w:p>
        </w:tc>
        <w:tc>
          <w:tcPr>
            <w:tcW w:w="2951" w:type="dxa"/>
            <w:shd w:val="clear" w:color="auto" w:fill="F7F7F7"/>
            <w:tcMar>
              <w:top w:w="70" w:type="dxa"/>
              <w:left w:w="70" w:type="dxa"/>
              <w:bottom w:w="70" w:type="dxa"/>
              <w:right w:w="70" w:type="dxa"/>
            </w:tcMar>
            <w:vAlign w:val="top"/>
          </w:tcPr>
          <w:p w14:paraId="070E0D7B">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At baseline, 23% received concomitant immunomodulators and 54% were receiving corticosteroids.</w:t>
            </w:r>
          </w:p>
        </w:tc>
        <w:tc>
          <w:tcPr>
            <w:tcW w:w="2951" w:type="dxa"/>
            <w:shd w:val="clear" w:color="auto" w:fill="F7F7F7"/>
            <w:tcMar>
              <w:top w:w="70" w:type="dxa"/>
              <w:left w:w="70" w:type="dxa"/>
              <w:bottom w:w="70" w:type="dxa"/>
              <w:right w:w="70" w:type="dxa"/>
            </w:tcMar>
            <w:vAlign w:val="top"/>
          </w:tcPr>
          <w:p w14:paraId="54E1A675">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Main outcomes were reported at week 52. Steroid-free remission was 50% in bio-exposed patients and 90% in bio-naive patients. Exact median time to remission was not reported.</w:t>
            </w:r>
          </w:p>
        </w:tc>
        <w:tc>
          <w:tcPr>
            <w:tcW w:w="3240" w:type="dxa"/>
            <w:shd w:val="clear" w:color="auto" w:fill="F7F7F7"/>
            <w:tcMar>
              <w:top w:w="70" w:type="dxa"/>
              <w:left w:w="70" w:type="dxa"/>
              <w:bottom w:w="70" w:type="dxa"/>
              <w:right w:w="70" w:type="dxa"/>
            </w:tcMar>
            <w:vAlign w:val="top"/>
          </w:tcPr>
          <w:p w14:paraId="5FC0FAE1">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Among the 39 patients still on UST at week 52, 62% had interval shortening. Three patients received IV reinduction due to persistent symptoms.</w:t>
            </w:r>
          </w:p>
        </w:tc>
      </w:tr>
      <w:tr w14:paraId="09C27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55" w:type="dxa"/>
            <w:tcMar>
              <w:top w:w="70" w:type="dxa"/>
              <w:left w:w="70" w:type="dxa"/>
              <w:bottom w:w="70" w:type="dxa"/>
              <w:right w:w="70" w:type="dxa"/>
            </w:tcMar>
            <w:vAlign w:val="top"/>
          </w:tcPr>
          <w:p w14:paraId="467F8EB4">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Koudsi et al., 2023</w:t>
            </w:r>
          </w:p>
        </w:tc>
        <w:tc>
          <w:tcPr>
            <w:tcW w:w="2088" w:type="dxa"/>
            <w:tcMar>
              <w:top w:w="70" w:type="dxa"/>
              <w:left w:w="70" w:type="dxa"/>
              <w:bottom w:w="70" w:type="dxa"/>
              <w:right w:w="70" w:type="dxa"/>
            </w:tcMar>
            <w:vAlign w:val="top"/>
          </w:tcPr>
          <w:p w14:paraId="0ECF19B3">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Mean follow-up 13 months; median 10.5 months. Assessments at induction, 3 months, and last follow-up.</w:t>
            </w:r>
          </w:p>
        </w:tc>
        <w:tc>
          <w:tcPr>
            <w:tcW w:w="2951" w:type="dxa"/>
            <w:tcMar>
              <w:top w:w="70" w:type="dxa"/>
              <w:left w:w="70" w:type="dxa"/>
              <w:bottom w:w="70" w:type="dxa"/>
              <w:right w:w="70" w:type="dxa"/>
            </w:tcMar>
            <w:vAlign w:val="top"/>
          </w:tcPr>
          <w:p w14:paraId="54249883">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UST was discontinued in 15/53 (28%) due to lack of efficacy, loss of response, or adverse events. Seven discontinued within the first 3 months and eight after 3 months.</w:t>
            </w:r>
          </w:p>
        </w:tc>
        <w:tc>
          <w:tcPr>
            <w:tcW w:w="2951" w:type="dxa"/>
            <w:tcMar>
              <w:top w:w="70" w:type="dxa"/>
              <w:left w:w="70" w:type="dxa"/>
              <w:bottom w:w="70" w:type="dxa"/>
              <w:right w:w="70" w:type="dxa"/>
            </w:tcMar>
            <w:vAlign w:val="top"/>
          </w:tcPr>
          <w:p w14:paraId="410B33D8">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Prior or baseline treatment burden was high: corticosteroids 42/53, azathioprine 50/53, methotrexate 21/53, and 5-ASA 22/52. Only nine patients were steroid-free at inclusion.</w:t>
            </w:r>
          </w:p>
        </w:tc>
        <w:tc>
          <w:tcPr>
            <w:tcW w:w="2951" w:type="dxa"/>
            <w:tcMar>
              <w:top w:w="70" w:type="dxa"/>
              <w:left w:w="70" w:type="dxa"/>
              <w:bottom w:w="70" w:type="dxa"/>
              <w:right w:w="70" w:type="dxa"/>
            </w:tcMar>
            <w:vAlign w:val="top"/>
          </w:tcPr>
          <w:p w14:paraId="742FF1AB">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In CD, mean PCDAI decreased from 28.7 at induction to 18.7 at 3 months and 10 at last follow-up. In UC, mean PUCAI decreased from 47 to 25 at 3 months and 18.3 at last follow-up.</w:t>
            </w:r>
          </w:p>
        </w:tc>
        <w:tc>
          <w:tcPr>
            <w:tcW w:w="3240" w:type="dxa"/>
            <w:tcMar>
              <w:top w:w="70" w:type="dxa"/>
              <w:left w:w="70" w:type="dxa"/>
              <w:bottom w:w="70" w:type="dxa"/>
              <w:right w:w="70" w:type="dxa"/>
            </w:tcMar>
            <w:vAlign w:val="top"/>
          </w:tcPr>
          <w:p w14:paraId="13FBB31E">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Twenty-four patients underwent optimized therapy with q4w injections at 3 months.</w:t>
            </w:r>
          </w:p>
        </w:tc>
      </w:tr>
      <w:tr w14:paraId="7F875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55" w:type="dxa"/>
            <w:shd w:val="clear" w:color="auto" w:fill="F7F7F7"/>
            <w:tcMar>
              <w:top w:w="70" w:type="dxa"/>
              <w:left w:w="70" w:type="dxa"/>
              <w:bottom w:w="70" w:type="dxa"/>
              <w:right w:w="70" w:type="dxa"/>
            </w:tcMar>
            <w:vAlign w:val="top"/>
          </w:tcPr>
          <w:p w14:paraId="3862EA28">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 xml:space="preserve">Cohen et al., 2024 </w:t>
            </w:r>
          </w:p>
        </w:tc>
        <w:tc>
          <w:tcPr>
            <w:tcW w:w="2088" w:type="dxa"/>
            <w:shd w:val="clear" w:color="auto" w:fill="F7F7F7"/>
            <w:tcMar>
              <w:top w:w="70" w:type="dxa"/>
              <w:left w:w="70" w:type="dxa"/>
              <w:bottom w:w="70" w:type="dxa"/>
              <w:right w:w="70" w:type="dxa"/>
            </w:tcMar>
            <w:vAlign w:val="top"/>
          </w:tcPr>
          <w:p w14:paraId="5BA952B4">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Median follow-up 12.8 months; outcomes at weeks 16, 26, and 52.</w:t>
            </w:r>
          </w:p>
        </w:tc>
        <w:tc>
          <w:tcPr>
            <w:tcW w:w="2951" w:type="dxa"/>
            <w:shd w:val="clear" w:color="auto" w:fill="F7F7F7"/>
            <w:tcMar>
              <w:top w:w="70" w:type="dxa"/>
              <w:left w:w="70" w:type="dxa"/>
              <w:bottom w:w="70" w:type="dxa"/>
              <w:right w:w="70" w:type="dxa"/>
            </w:tcMar>
            <w:vAlign w:val="top"/>
          </w:tcPr>
          <w:p w14:paraId="244FA3A7">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Twenty-four of 58 discontinued UST after a median of 5 months; reasons were non-response in 21 and adverse events in three. Ten patients underwent colectomy after discontinuation.</w:t>
            </w:r>
          </w:p>
        </w:tc>
        <w:tc>
          <w:tcPr>
            <w:tcW w:w="2951" w:type="dxa"/>
            <w:shd w:val="clear" w:color="auto" w:fill="F7F7F7"/>
            <w:tcMar>
              <w:top w:w="70" w:type="dxa"/>
              <w:left w:w="70" w:type="dxa"/>
              <w:bottom w:w="70" w:type="dxa"/>
              <w:right w:w="70" w:type="dxa"/>
            </w:tcMar>
            <w:vAlign w:val="top"/>
          </w:tcPr>
          <w:p w14:paraId="05C7331E">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Combination therapy was used in 47/58 (81%): corticosteroids in 31, 5-ASA in 26, thiopurines in 16, methotrexate in three, and other agents in selected cases.</w:t>
            </w:r>
          </w:p>
        </w:tc>
        <w:tc>
          <w:tcPr>
            <w:tcW w:w="2951" w:type="dxa"/>
            <w:shd w:val="clear" w:color="auto" w:fill="F7F7F7"/>
            <w:tcMar>
              <w:top w:w="70" w:type="dxa"/>
              <w:left w:w="70" w:type="dxa"/>
              <w:bottom w:w="70" w:type="dxa"/>
              <w:right w:w="70" w:type="dxa"/>
            </w:tcMar>
            <w:vAlign w:val="top"/>
          </w:tcPr>
          <w:p w14:paraId="6C370129">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Corticosteroid-free clinical remission was 46.6%, 56.9%, and 63.8% at weeks 16, 26, and 52. Among 31 children treated with corticosteroids at baseline, 26 weaned within a median of 3 months. Clinical response at week 16 was 67.2%.</w:t>
            </w:r>
          </w:p>
        </w:tc>
        <w:tc>
          <w:tcPr>
            <w:tcW w:w="3240" w:type="dxa"/>
            <w:shd w:val="clear" w:color="auto" w:fill="F7F7F7"/>
            <w:tcMar>
              <w:top w:w="70" w:type="dxa"/>
              <w:left w:w="70" w:type="dxa"/>
              <w:bottom w:w="70" w:type="dxa"/>
              <w:right w:w="70" w:type="dxa"/>
            </w:tcMar>
            <w:vAlign w:val="top"/>
          </w:tcPr>
          <w:p w14:paraId="76272B0D">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Dose escalation occurred in 23/58 (39.7%); 13 patients had clinical or biomarker response to escalation.</w:t>
            </w:r>
          </w:p>
        </w:tc>
      </w:tr>
      <w:tr w14:paraId="06C5F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55" w:type="dxa"/>
            <w:tcMar>
              <w:top w:w="70" w:type="dxa"/>
              <w:left w:w="70" w:type="dxa"/>
              <w:bottom w:w="70" w:type="dxa"/>
              <w:right w:w="70" w:type="dxa"/>
            </w:tcMar>
            <w:vAlign w:val="top"/>
          </w:tcPr>
          <w:p w14:paraId="35DFB5D5">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Do et al., 2021</w:t>
            </w:r>
          </w:p>
        </w:tc>
        <w:tc>
          <w:tcPr>
            <w:tcW w:w="2088" w:type="dxa"/>
            <w:tcMar>
              <w:top w:w="70" w:type="dxa"/>
              <w:left w:w="70" w:type="dxa"/>
              <w:bottom w:w="70" w:type="dxa"/>
              <w:right w:w="70" w:type="dxa"/>
            </w:tcMar>
            <w:vAlign w:val="top"/>
          </w:tcPr>
          <w:p w14:paraId="191AB59A">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Assessment at baseline, 2-3 months, and last assessment. Individual UST therapy duration ranged from approximately 16 to 143 weeks.</w:t>
            </w:r>
          </w:p>
        </w:tc>
        <w:tc>
          <w:tcPr>
            <w:tcW w:w="2951" w:type="dxa"/>
            <w:tcMar>
              <w:top w:w="70" w:type="dxa"/>
              <w:left w:w="70" w:type="dxa"/>
              <w:bottom w:w="70" w:type="dxa"/>
              <w:right w:w="70" w:type="dxa"/>
            </w:tcMar>
            <w:vAlign w:val="top"/>
          </w:tcPr>
          <w:p w14:paraId="6102351B">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No unified cohort-level continuation rate was reported. Seven of 10 patients received augmented maintenance dosing and all seven showed clinical response; all but one achieved sustained clinical remission.</w:t>
            </w:r>
          </w:p>
        </w:tc>
        <w:tc>
          <w:tcPr>
            <w:tcW w:w="2951" w:type="dxa"/>
            <w:tcMar>
              <w:top w:w="70" w:type="dxa"/>
              <w:left w:w="70" w:type="dxa"/>
              <w:bottom w:w="70" w:type="dxa"/>
              <w:right w:w="70" w:type="dxa"/>
            </w:tcMar>
            <w:vAlign w:val="top"/>
          </w:tcPr>
          <w:p w14:paraId="6A2A16EB">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Bridging therapy was not systematically reported. One patient received specific carbohydrate diet plus UST; in the standard-dose group, high-dose corticosteroid use confounded the assessment of response.</w:t>
            </w:r>
          </w:p>
        </w:tc>
        <w:tc>
          <w:tcPr>
            <w:tcW w:w="2951" w:type="dxa"/>
            <w:tcMar>
              <w:top w:w="70" w:type="dxa"/>
              <w:left w:w="70" w:type="dxa"/>
              <w:bottom w:w="70" w:type="dxa"/>
              <w:right w:w="70" w:type="dxa"/>
            </w:tcMar>
            <w:vAlign w:val="top"/>
          </w:tcPr>
          <w:p w14:paraId="68216B13">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Most responders showed improvement within the first 2-3 months of therapy. Formal median time to response or remission was not reported.</w:t>
            </w:r>
          </w:p>
        </w:tc>
        <w:tc>
          <w:tcPr>
            <w:tcW w:w="3240" w:type="dxa"/>
            <w:tcMar>
              <w:top w:w="70" w:type="dxa"/>
              <w:left w:w="70" w:type="dxa"/>
              <w:bottom w:w="70" w:type="dxa"/>
              <w:right w:w="70" w:type="dxa"/>
            </w:tcMar>
            <w:vAlign w:val="top"/>
          </w:tcPr>
          <w:p w14:paraId="3B2172AB">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Seven of 10 required q4-6w augmented maintenance dosing to achieve response/remission. Several patients had low trough levels on q8w/q6w dosing and achieved therapeutic concentrations after interval shortening.</w:t>
            </w:r>
          </w:p>
        </w:tc>
      </w:tr>
      <w:tr w14:paraId="1BC28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55" w:type="dxa"/>
            <w:shd w:val="clear" w:color="auto" w:fill="F7F7F7"/>
            <w:tcMar>
              <w:top w:w="70" w:type="dxa"/>
              <w:left w:w="70" w:type="dxa"/>
              <w:bottom w:w="70" w:type="dxa"/>
              <w:right w:w="70" w:type="dxa"/>
            </w:tcMar>
            <w:vAlign w:val="top"/>
          </w:tcPr>
          <w:p w14:paraId="2518A53E">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Rehman et al., 2024</w:t>
            </w:r>
          </w:p>
        </w:tc>
        <w:tc>
          <w:tcPr>
            <w:tcW w:w="2088" w:type="dxa"/>
            <w:shd w:val="clear" w:color="auto" w:fill="F7F7F7"/>
            <w:tcMar>
              <w:top w:w="70" w:type="dxa"/>
              <w:left w:w="70" w:type="dxa"/>
              <w:bottom w:w="70" w:type="dxa"/>
              <w:right w:w="70" w:type="dxa"/>
            </w:tcMar>
            <w:vAlign w:val="top"/>
          </w:tcPr>
          <w:p w14:paraId="00E182F3">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Median follow-up 56 weeks; longitudinal tracking at weeks 8, 16, 24, 32, 40, 48, and 56.</w:t>
            </w:r>
          </w:p>
        </w:tc>
        <w:tc>
          <w:tcPr>
            <w:tcW w:w="2951" w:type="dxa"/>
            <w:shd w:val="clear" w:color="auto" w:fill="F7F7F7"/>
            <w:tcMar>
              <w:top w:w="70" w:type="dxa"/>
              <w:left w:w="70" w:type="dxa"/>
              <w:bottom w:w="70" w:type="dxa"/>
              <w:right w:w="70" w:type="dxa"/>
            </w:tcMar>
            <w:vAlign w:val="top"/>
          </w:tcPr>
          <w:p w14:paraId="7060F7C3">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Nine of 10 achieved steroid-free clinical remission and biochemical remission. One patient did not achieve remission and underwent colectomy.</w:t>
            </w:r>
          </w:p>
        </w:tc>
        <w:tc>
          <w:tcPr>
            <w:tcW w:w="2951" w:type="dxa"/>
            <w:shd w:val="clear" w:color="auto" w:fill="F7F7F7"/>
            <w:tcMar>
              <w:top w:w="70" w:type="dxa"/>
              <w:left w:w="70" w:type="dxa"/>
              <w:bottom w:w="70" w:type="dxa"/>
              <w:right w:w="70" w:type="dxa"/>
            </w:tcMar>
            <w:vAlign w:val="top"/>
          </w:tcPr>
          <w:p w14:paraId="128F8724">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The study mainly reported prior therapies: systemic steroids 10/10, mesalamine 8/10, methotrexate 4/10, 6-MP 1/10, and IBD-specific diet therapy 4/10. It did not clearly define therapies used specifically as UST induction bridging therapy.</w:t>
            </w:r>
          </w:p>
        </w:tc>
        <w:tc>
          <w:tcPr>
            <w:tcW w:w="2951" w:type="dxa"/>
            <w:shd w:val="clear" w:color="auto" w:fill="F7F7F7"/>
            <w:tcMar>
              <w:top w:w="70" w:type="dxa"/>
              <w:left w:w="70" w:type="dxa"/>
              <w:bottom w:w="70" w:type="dxa"/>
              <w:right w:w="70" w:type="dxa"/>
            </w:tcMar>
            <w:vAlign w:val="top"/>
          </w:tcPr>
          <w:p w14:paraId="0D86CB0A">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No median time to response was reported. Week-based follow-up showed overall downtrends in PUCAI, CRP, and fecal calprotectin after UST initiation.</w:t>
            </w:r>
          </w:p>
        </w:tc>
        <w:tc>
          <w:tcPr>
            <w:tcW w:w="3240" w:type="dxa"/>
            <w:shd w:val="clear" w:color="auto" w:fill="F7F7F7"/>
            <w:tcMar>
              <w:top w:w="70" w:type="dxa"/>
              <w:left w:w="70" w:type="dxa"/>
              <w:bottom w:w="70" w:type="dxa"/>
              <w:right w:w="70" w:type="dxa"/>
            </w:tcMar>
            <w:vAlign w:val="top"/>
          </w:tcPr>
          <w:p w14:paraId="628F667B">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Seven of 10 patients required dose escalation by weeks 16-20 to achieve clinical remission.</w:t>
            </w:r>
          </w:p>
        </w:tc>
      </w:tr>
      <w:tr w14:paraId="66DAF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55" w:type="dxa"/>
            <w:tcMar>
              <w:top w:w="70" w:type="dxa"/>
              <w:left w:w="70" w:type="dxa"/>
              <w:bottom w:w="70" w:type="dxa"/>
              <w:right w:w="70" w:type="dxa"/>
            </w:tcMar>
            <w:vAlign w:val="top"/>
          </w:tcPr>
          <w:p w14:paraId="2E1ECE25">
            <w:pPr>
              <w:widowControl/>
              <w:spacing w:before="0" w:after="0" w:line="240" w:lineRule="auto"/>
              <w:jc w:val="left"/>
              <w:rPr>
                <w:rFonts w:hint="eastAsia" w:ascii="Times New Roman" w:hAnsi="Times New Roman" w:eastAsia="宋体" w:cs="Times New Roman"/>
                <w:kern w:val="0"/>
                <w:sz w:val="18"/>
                <w:szCs w:val="22"/>
                <w:lang w:val="en-US" w:eastAsia="zh-CN"/>
              </w:rPr>
            </w:pPr>
            <w:r>
              <w:rPr>
                <w:rFonts w:ascii="Times New Roman" w:hAnsi="Times New Roman" w:eastAsia="Times New Roman" w:cs="Times New Roman"/>
                <w:b w:val="0"/>
                <w:kern w:val="0"/>
                <w:sz w:val="14"/>
                <w:szCs w:val="22"/>
                <w:lang w:eastAsia="en-US"/>
              </w:rPr>
              <w:t>Chavannes et al., 201</w:t>
            </w:r>
            <w:r>
              <w:rPr>
                <w:rFonts w:hint="eastAsia" w:ascii="Times New Roman" w:hAnsi="Times New Roman" w:eastAsia="宋体" w:cs="Times New Roman"/>
                <w:b w:val="0"/>
                <w:kern w:val="0"/>
                <w:sz w:val="14"/>
                <w:szCs w:val="22"/>
                <w:lang w:val="en-US" w:eastAsia="zh-CN"/>
              </w:rPr>
              <w:t>8</w:t>
            </w:r>
          </w:p>
        </w:tc>
        <w:tc>
          <w:tcPr>
            <w:tcW w:w="2088" w:type="dxa"/>
            <w:tcMar>
              <w:top w:w="70" w:type="dxa"/>
              <w:left w:w="70" w:type="dxa"/>
              <w:bottom w:w="70" w:type="dxa"/>
              <w:right w:w="70" w:type="dxa"/>
            </w:tcMar>
            <w:vAlign w:val="top"/>
          </w:tcPr>
          <w:p w14:paraId="618B66CB">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Baseline, 3 months, and 12 months; median observed UST treatment duration 13 months.</w:t>
            </w:r>
          </w:p>
        </w:tc>
        <w:tc>
          <w:tcPr>
            <w:tcW w:w="2951" w:type="dxa"/>
            <w:tcMar>
              <w:top w:w="70" w:type="dxa"/>
              <w:left w:w="70" w:type="dxa"/>
              <w:bottom w:w="70" w:type="dxa"/>
              <w:right w:w="70" w:type="dxa"/>
            </w:tcMar>
            <w:vAlign w:val="top"/>
          </w:tcPr>
          <w:p w14:paraId="66F048D5">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The probability of remaining on UST at 12 months was 76.9%. Approximately 30% discontinued therapy, mainly due to poor clinical response.</w:t>
            </w:r>
          </w:p>
        </w:tc>
        <w:tc>
          <w:tcPr>
            <w:tcW w:w="2951" w:type="dxa"/>
            <w:tcMar>
              <w:top w:w="70" w:type="dxa"/>
              <w:left w:w="70" w:type="dxa"/>
              <w:bottom w:w="70" w:type="dxa"/>
              <w:right w:w="70" w:type="dxa"/>
            </w:tcMar>
            <w:vAlign w:val="top"/>
          </w:tcPr>
          <w:p w14:paraId="2F96793E">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Twenty-one of 44 patients were on corticosteroids at UST initiation. Concomitant immunomodulator use was evaluated as a potential predictor.</w:t>
            </w:r>
          </w:p>
        </w:tc>
        <w:tc>
          <w:tcPr>
            <w:tcW w:w="2951" w:type="dxa"/>
            <w:tcMar>
              <w:top w:w="70" w:type="dxa"/>
              <w:left w:w="70" w:type="dxa"/>
              <w:bottom w:w="70" w:type="dxa"/>
              <w:right w:w="70" w:type="dxa"/>
            </w:tcMar>
            <w:vAlign w:val="top"/>
          </w:tcPr>
          <w:p w14:paraId="7C57103D">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Clinical remission was achieved by 36.4% at 3 months and 38.6% at 12 months. Clinical response was 47.8% at both 3 and 12 months. Median time-to-response/remission was not reported.</w:t>
            </w:r>
          </w:p>
        </w:tc>
        <w:tc>
          <w:tcPr>
            <w:tcW w:w="3240" w:type="dxa"/>
            <w:tcMar>
              <w:top w:w="70" w:type="dxa"/>
              <w:left w:w="70" w:type="dxa"/>
              <w:bottom w:w="70" w:type="dxa"/>
              <w:right w:w="70" w:type="dxa"/>
            </w:tcMar>
            <w:vAlign w:val="top"/>
          </w:tcPr>
          <w:p w14:paraId="0F3A9A97">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Six different subcutaneous induction regimens were used. Thirteen of 44 (29.5%) were dose-escalated to q4w maintenance due to persistent symptoms.</w:t>
            </w:r>
          </w:p>
        </w:tc>
      </w:tr>
      <w:tr w14:paraId="35267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55" w:type="dxa"/>
            <w:shd w:val="clear" w:color="auto" w:fill="F7F7F7"/>
            <w:tcMar>
              <w:top w:w="70" w:type="dxa"/>
              <w:left w:w="70" w:type="dxa"/>
              <w:bottom w:w="70" w:type="dxa"/>
              <w:right w:w="70" w:type="dxa"/>
            </w:tcMar>
            <w:vAlign w:val="top"/>
          </w:tcPr>
          <w:p w14:paraId="702C160E">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 xml:space="preserve">Yerushalmy-Feler et al., 2022 </w:t>
            </w:r>
          </w:p>
        </w:tc>
        <w:tc>
          <w:tcPr>
            <w:tcW w:w="2088" w:type="dxa"/>
            <w:shd w:val="clear" w:color="auto" w:fill="F7F7F7"/>
            <w:tcMar>
              <w:top w:w="70" w:type="dxa"/>
              <w:left w:w="70" w:type="dxa"/>
              <w:bottom w:w="70" w:type="dxa"/>
              <w:right w:w="70" w:type="dxa"/>
            </w:tcMar>
            <w:vAlign w:val="top"/>
          </w:tcPr>
          <w:p w14:paraId="2BA8C25C">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Follow-up after UST dose escalation at 3, 6, and 12 months.</w:t>
            </w:r>
          </w:p>
        </w:tc>
        <w:tc>
          <w:tcPr>
            <w:tcW w:w="2951" w:type="dxa"/>
            <w:shd w:val="clear" w:color="auto" w:fill="F7F7F7"/>
            <w:tcMar>
              <w:top w:w="70" w:type="dxa"/>
              <w:left w:w="70" w:type="dxa"/>
              <w:bottom w:w="70" w:type="dxa"/>
              <w:right w:w="70" w:type="dxa"/>
            </w:tcMar>
            <w:vAlign w:val="top"/>
          </w:tcPr>
          <w:p w14:paraId="20D1DC71">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Thirteen of 69 (18.8%) discontinued UST after a median of 3 months; all discontinuations were due to active disease.</w:t>
            </w:r>
          </w:p>
        </w:tc>
        <w:tc>
          <w:tcPr>
            <w:tcW w:w="2951" w:type="dxa"/>
            <w:shd w:val="clear" w:color="auto" w:fill="F7F7F7"/>
            <w:tcMar>
              <w:top w:w="70" w:type="dxa"/>
              <w:left w:w="70" w:type="dxa"/>
              <w:bottom w:w="70" w:type="dxa"/>
              <w:right w:w="70" w:type="dxa"/>
            </w:tcMar>
            <w:vAlign w:val="top"/>
          </w:tcPr>
          <w:p w14:paraId="0A8F3180">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At dose escalation, 46/69 (66.7%) received combination therapy, mainly immunomodulators, partial enteral nutrition, and corticosteroids; selected children received concomitant biologic therapy.</w:t>
            </w:r>
          </w:p>
        </w:tc>
        <w:tc>
          <w:tcPr>
            <w:tcW w:w="2951" w:type="dxa"/>
            <w:shd w:val="clear" w:color="auto" w:fill="F7F7F7"/>
            <w:tcMar>
              <w:top w:w="70" w:type="dxa"/>
              <w:left w:w="70" w:type="dxa"/>
              <w:bottom w:w="70" w:type="dxa"/>
              <w:right w:w="70" w:type="dxa"/>
            </w:tcMar>
            <w:vAlign w:val="top"/>
          </w:tcPr>
          <w:p w14:paraId="22660925">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After escalation, clinical response/remission was 67%/42% at 3 months, 57%/38% at 6 months, and 42.4%/30.3% at 12 months by ITT analysis.</w:t>
            </w:r>
          </w:p>
        </w:tc>
        <w:tc>
          <w:tcPr>
            <w:tcW w:w="3240" w:type="dxa"/>
            <w:shd w:val="clear" w:color="auto" w:fill="F7F7F7"/>
            <w:tcMar>
              <w:top w:w="70" w:type="dxa"/>
              <w:left w:w="70" w:type="dxa"/>
              <w:bottom w:w="70" w:type="dxa"/>
              <w:right w:w="70" w:type="dxa"/>
            </w:tcMar>
            <w:vAlign w:val="top"/>
          </w:tcPr>
          <w:p w14:paraId="158BF1A4">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Escalation was mainly interval shortening (91.3%), usually to q4-6w; a minority underwent reinduction or combined reinduction plus interval shortening.</w:t>
            </w:r>
          </w:p>
        </w:tc>
      </w:tr>
      <w:tr w14:paraId="39AD9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55" w:type="dxa"/>
            <w:tcMar>
              <w:top w:w="70" w:type="dxa"/>
              <w:left w:w="70" w:type="dxa"/>
              <w:bottom w:w="70" w:type="dxa"/>
              <w:right w:w="70" w:type="dxa"/>
            </w:tcMar>
            <w:vAlign w:val="top"/>
          </w:tcPr>
          <w:p w14:paraId="02EE031F">
            <w:pPr>
              <w:widowControl/>
              <w:spacing w:before="0" w:after="0" w:line="240" w:lineRule="auto"/>
              <w:jc w:val="left"/>
              <w:rPr>
                <w:rFonts w:hint="eastAsia" w:ascii="Times New Roman" w:hAnsi="Times New Roman" w:eastAsia="宋体" w:cs="Times New Roman"/>
                <w:kern w:val="0"/>
                <w:sz w:val="18"/>
                <w:szCs w:val="22"/>
                <w:lang w:val="en-US" w:eastAsia="zh-CN"/>
              </w:rPr>
            </w:pPr>
            <w:r>
              <w:rPr>
                <w:rFonts w:ascii="Times New Roman" w:hAnsi="Times New Roman" w:eastAsia="Times New Roman" w:cs="Times New Roman"/>
                <w:b w:val="0"/>
                <w:kern w:val="0"/>
                <w:sz w:val="14"/>
                <w:szCs w:val="22"/>
                <w:lang w:eastAsia="en-US"/>
              </w:rPr>
              <w:t>Rebus et al., 202</w:t>
            </w:r>
            <w:r>
              <w:rPr>
                <w:rFonts w:hint="eastAsia" w:ascii="Times New Roman" w:hAnsi="Times New Roman" w:eastAsia="宋体" w:cs="Times New Roman"/>
                <w:b w:val="0"/>
                <w:kern w:val="0"/>
                <w:sz w:val="14"/>
                <w:szCs w:val="22"/>
                <w:lang w:val="en-US" w:eastAsia="zh-CN"/>
              </w:rPr>
              <w:t>4</w:t>
            </w:r>
          </w:p>
        </w:tc>
        <w:tc>
          <w:tcPr>
            <w:tcW w:w="2088" w:type="dxa"/>
            <w:tcMar>
              <w:top w:w="70" w:type="dxa"/>
              <w:left w:w="70" w:type="dxa"/>
              <w:bottom w:w="70" w:type="dxa"/>
              <w:right w:w="70" w:type="dxa"/>
            </w:tcMar>
            <w:vAlign w:val="top"/>
          </w:tcPr>
          <w:p w14:paraId="2B959C97">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W0, W14, and W52; UST group n=33.</w:t>
            </w:r>
          </w:p>
        </w:tc>
        <w:tc>
          <w:tcPr>
            <w:tcW w:w="2951" w:type="dxa"/>
            <w:tcMar>
              <w:top w:w="70" w:type="dxa"/>
              <w:left w:w="70" w:type="dxa"/>
              <w:bottom w:w="70" w:type="dxa"/>
              <w:right w:w="70" w:type="dxa"/>
            </w:tcMar>
            <w:vAlign w:val="top"/>
          </w:tcPr>
          <w:p w14:paraId="08D407A8">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At W52, 27/33 (82%) were still treated with UST. Six discontinued prematurely: two due to primary failure and four due to loss of response. Two were lost to follow-up.</w:t>
            </w:r>
          </w:p>
        </w:tc>
        <w:tc>
          <w:tcPr>
            <w:tcW w:w="2951" w:type="dxa"/>
            <w:tcMar>
              <w:top w:w="70" w:type="dxa"/>
              <w:left w:w="70" w:type="dxa"/>
              <w:bottom w:w="70" w:type="dxa"/>
              <w:right w:w="70" w:type="dxa"/>
            </w:tcMar>
            <w:vAlign w:val="top"/>
          </w:tcPr>
          <w:p w14:paraId="6E9DBBD7">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At W0, current treatments included corticosteroids 10/33, immunosuppressants 9/33, enteral nutrition 1/33, and parenteral nutrition 2/33. Some patients still used corticosteroids or immunosuppressants at W14/W52.</w:t>
            </w:r>
          </w:p>
        </w:tc>
        <w:tc>
          <w:tcPr>
            <w:tcW w:w="2951" w:type="dxa"/>
            <w:tcMar>
              <w:top w:w="70" w:type="dxa"/>
              <w:left w:w="70" w:type="dxa"/>
              <w:bottom w:w="70" w:type="dxa"/>
              <w:right w:w="70" w:type="dxa"/>
            </w:tcMar>
            <w:vAlign w:val="top"/>
          </w:tcPr>
          <w:p w14:paraId="09A1AC59">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Corticosteroid-free clinical remission was 49% at W14 and 55% at W52. Among patients in CFR at W14, some maintained remission at W52. Median time to remission was not reported.</w:t>
            </w:r>
          </w:p>
        </w:tc>
        <w:tc>
          <w:tcPr>
            <w:tcW w:w="3240" w:type="dxa"/>
            <w:tcMar>
              <w:top w:w="70" w:type="dxa"/>
              <w:left w:w="70" w:type="dxa"/>
              <w:bottom w:w="70" w:type="dxa"/>
              <w:right w:w="70" w:type="dxa"/>
            </w:tcMar>
            <w:vAlign w:val="top"/>
          </w:tcPr>
          <w:p w14:paraId="28192160">
            <w:pPr>
              <w:widowControl/>
              <w:spacing w:before="0" w:after="0" w:line="240" w:lineRule="auto"/>
              <w:jc w:val="left"/>
              <w:rPr>
                <w:rFonts w:ascii="Times New Roman" w:hAnsi="Times New Roman" w:eastAsia="Times New Roman" w:cs="Times New Roman"/>
                <w:kern w:val="0"/>
                <w:sz w:val="18"/>
                <w:szCs w:val="22"/>
                <w:lang w:eastAsia="en-US"/>
              </w:rPr>
            </w:pPr>
            <w:r>
              <w:rPr>
                <w:rFonts w:ascii="Times New Roman" w:hAnsi="Times New Roman" w:eastAsia="Times New Roman" w:cs="Times New Roman"/>
                <w:b w:val="0"/>
                <w:kern w:val="0"/>
                <w:sz w:val="14"/>
                <w:szCs w:val="22"/>
                <w:lang w:eastAsia="en-US"/>
              </w:rPr>
              <w:t>Treatment optimization was required in 21% at W14 and 61% at W52, mainly by increasing administration frequency.</w:t>
            </w:r>
          </w:p>
        </w:tc>
      </w:tr>
    </w:tbl>
    <w:p w14:paraId="2307C0D6">
      <w:pPr>
        <w:rPr>
          <w:rFonts w:ascii="Times New Roman" w:hAnsi="Times New Roman" w:eastAsia="Times New Roman"/>
          <w:sz w:val="16"/>
        </w:rPr>
      </w:pPr>
      <w:r>
        <w:rPr>
          <w:rFonts w:ascii="Times New Roman" w:hAnsi="Times New Roman" w:eastAsia="Times New Roman"/>
          <w:b/>
          <w:sz w:val="16"/>
        </w:rPr>
        <w:t xml:space="preserve">Abbreviations: </w:t>
      </w:r>
      <w:r>
        <w:rPr>
          <w:rFonts w:ascii="Times New Roman" w:hAnsi="Times New Roman" w:eastAsia="Times New Roman"/>
          <w:sz w:val="16"/>
        </w:rPr>
        <w:t>UST, ustekinumab; CD, Crohn disease; UC, ulcerative colitis; IBDU, inflammatory bowel disease unclassified; CFR, corticosteroid-free clinical remission; CS, corticosteroid; EEN, exclusive enteral nutrition; PEN, partial enteral nutrition; q4w/q6w/q8w, every 4/6/8 weeks; CRP, C-reactive protein; FC/FCP, fecal calprotectin; ITT, intention-to-treat; VEO-IBD, very early-onset inflammatory bowel disease; NR, not reported.</w:t>
      </w:r>
    </w:p>
    <w:p w14:paraId="64871D4C">
      <w:pPr>
        <w:rPr>
          <w:rFonts w:ascii="Times New Roman" w:hAnsi="Times New Roman" w:eastAsia="Times New Roman"/>
          <w:sz w:val="16"/>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14:paraId="4A495BCF">
      <w:pPr>
        <w:rPr>
          <w:rFonts w:hint="default" w:ascii="Times New Roman" w:hAnsi="Times New Roman" w:eastAsia="Times New Roman"/>
          <w:sz w:val="16"/>
          <w:lang w:val="en-US" w:eastAsia="zh-CN"/>
        </w:rPr>
      </w:pPr>
      <w:r>
        <w:rPr>
          <w:rFonts w:hint="default" w:ascii="Times New Roman" w:hAnsi="Times New Roman" w:eastAsia="Times New Roman"/>
          <w:sz w:val="16"/>
          <w:lang w:val="en-US" w:eastAsia="zh-CN"/>
        </w:rPr>
        <w:drawing>
          <wp:inline distT="0" distB="0" distL="114300" distR="114300">
            <wp:extent cx="4094480" cy="3477260"/>
            <wp:effectExtent l="0" t="0" r="1270" b="8890"/>
            <wp:docPr id="4" name="图片 4" descr="无固醇52 剂量亚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无固醇52 剂量亚组"/>
                    <pic:cNvPicPr>
                      <a:picLocks noChangeAspect="1"/>
                    </pic:cNvPicPr>
                  </pic:nvPicPr>
                  <pic:blipFill>
                    <a:blip r:embed="rId4"/>
                    <a:stretch>
                      <a:fillRect/>
                    </a:stretch>
                  </pic:blipFill>
                  <pic:spPr>
                    <a:xfrm>
                      <a:off x="0" y="0"/>
                      <a:ext cx="4094480" cy="3477260"/>
                    </a:xfrm>
                    <a:prstGeom prst="rect">
                      <a:avLst/>
                    </a:prstGeom>
                  </pic:spPr>
                </pic:pic>
              </a:graphicData>
            </a:graphic>
          </wp:inline>
        </w:drawing>
      </w:r>
    </w:p>
    <w:p w14:paraId="66945181">
      <w:pPr>
        <w:pStyle w:val="3"/>
        <w:rPr>
          <w:rFonts w:hint="default" w:ascii="Times New Roman" w:hAnsi="Times New Roman" w:cs="Times New Roman"/>
          <w:lang w:val="en-US" w:eastAsia="zh-CN"/>
        </w:rPr>
      </w:pPr>
      <w:r>
        <w:rPr>
          <w:rFonts w:hint="default" w:ascii="Times New Roman" w:hAnsi="Times New Roman" w:cs="Times New Roman"/>
          <w:lang w:val="en-US" w:eastAsia="zh-CN"/>
        </w:rPr>
        <w:t>Figure S1</w:t>
      </w:r>
      <w:r>
        <w:rPr>
          <w:rFonts w:hint="eastAsia"/>
          <w:lang w:val="en-US" w:eastAsia="zh-CN"/>
        </w:rPr>
        <w:t xml:space="preserve"> </w:t>
      </w:r>
      <w:r>
        <w:rPr>
          <w:rFonts w:hint="default" w:ascii="Times New Roman" w:hAnsi="Times New Roman" w:cs="Times New Roman"/>
          <w:lang w:val="en-US" w:eastAsia="zh-CN"/>
        </w:rPr>
        <w:t xml:space="preserve">Pooled steroid-free clinical remission rate at week 52 for </w:t>
      </w:r>
      <w:r>
        <w:rPr>
          <w:rFonts w:hint="eastAsia" w:ascii="Times New Roman" w:hAnsi="Times New Roman" w:cs="Times New Roman"/>
          <w:lang w:val="en-US" w:eastAsia="zh-CN"/>
        </w:rPr>
        <w:t>Standard</w:t>
      </w:r>
      <w:r>
        <w:rPr>
          <w:rFonts w:hint="default" w:ascii="Times New Roman" w:hAnsi="Times New Roman" w:cs="Times New Roman"/>
          <w:lang w:val="en-US" w:eastAsia="zh-CN"/>
        </w:rPr>
        <w:t xml:space="preserve"> and </w:t>
      </w:r>
      <w:r>
        <w:rPr>
          <w:rFonts w:hint="eastAsia" w:ascii="Times New Roman" w:hAnsi="Times New Roman" w:cs="Times New Roman"/>
          <w:lang w:val="en-US" w:eastAsia="zh-CN"/>
        </w:rPr>
        <w:t>Intensified</w:t>
      </w:r>
      <w:r>
        <w:rPr>
          <w:rFonts w:hint="default" w:ascii="Times New Roman" w:hAnsi="Times New Roman" w:cs="Times New Roman"/>
          <w:lang w:val="en-US" w:eastAsia="zh-CN"/>
        </w:rPr>
        <w:t xml:space="preserve"> subgroups</w:t>
      </w:r>
    </w:p>
    <w:p w14:paraId="5F371063">
      <w:pPr>
        <w:rPr>
          <w:rFonts w:hint="default" w:ascii="Times New Roman" w:hAnsi="Times New Roman" w:cs="Times New Roman"/>
          <w:lang w:val="en-US" w:eastAsia="zh-CN"/>
        </w:rPr>
      </w:pPr>
    </w:p>
    <w:p w14:paraId="1B1AEA8B">
      <w:pPr>
        <w:rPr>
          <w:rFonts w:hint="default" w:ascii="Times New Roman" w:hAnsi="Times New Roman" w:cs="Times New Roman"/>
          <w:lang w:val="en-US" w:eastAsia="zh-CN"/>
        </w:rPr>
      </w:pPr>
    </w:p>
    <w:p w14:paraId="716868AB">
      <w:pPr>
        <w:rPr>
          <w:rFonts w:hint="default" w:ascii="Times New Roman" w:hAnsi="Times New Roman" w:eastAsia="Times New Roman"/>
          <w:sz w:val="16"/>
          <w:lang w:val="en-US" w:eastAsia="zh-CN"/>
        </w:rPr>
      </w:pPr>
      <w:r>
        <w:rPr>
          <w:rFonts w:hint="default" w:ascii="Times New Roman" w:hAnsi="Times New Roman" w:eastAsia="Times New Roman"/>
          <w:sz w:val="16"/>
          <w:lang w:val="en-US" w:eastAsia="zh-CN"/>
        </w:rPr>
        <w:drawing>
          <wp:inline distT="0" distB="0" distL="114300" distR="114300">
            <wp:extent cx="4144010" cy="3861435"/>
            <wp:effectExtent l="0" t="0" r="8890" b="5715"/>
            <wp:docPr id="3" name="图片 3" descr="安全性 剂量亚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安全性 剂量亚组"/>
                    <pic:cNvPicPr>
                      <a:picLocks noChangeAspect="1"/>
                    </pic:cNvPicPr>
                  </pic:nvPicPr>
                  <pic:blipFill>
                    <a:blip r:embed="rId5"/>
                    <a:stretch>
                      <a:fillRect/>
                    </a:stretch>
                  </pic:blipFill>
                  <pic:spPr>
                    <a:xfrm>
                      <a:off x="0" y="0"/>
                      <a:ext cx="4144010" cy="3861435"/>
                    </a:xfrm>
                    <a:prstGeom prst="rect">
                      <a:avLst/>
                    </a:prstGeom>
                  </pic:spPr>
                </pic:pic>
              </a:graphicData>
            </a:graphic>
          </wp:inline>
        </w:drawing>
      </w:r>
    </w:p>
    <w:p w14:paraId="4D6C9033">
      <w:pPr>
        <w:pStyle w:val="3"/>
        <w:rPr>
          <w:rFonts w:hint="default" w:ascii="Times New Roman" w:hAnsi="Times New Roman" w:cs="Times New Roman"/>
          <w:lang w:val="en-US" w:eastAsia="zh-CN"/>
        </w:rPr>
      </w:pPr>
      <w:r>
        <w:rPr>
          <w:rFonts w:hint="default" w:ascii="Times New Roman" w:hAnsi="Times New Roman" w:cs="Times New Roman"/>
          <w:lang w:val="en-US" w:eastAsia="zh-CN"/>
        </w:rPr>
        <w:t>Figure S</w:t>
      </w:r>
      <w:r>
        <w:rPr>
          <w:rFonts w:hint="eastAsia" w:ascii="Times New Roman" w:hAnsi="Times New Roman" w:cs="Times New Roman"/>
          <w:lang w:val="en-US" w:eastAsia="zh-CN"/>
        </w:rPr>
        <w:t>2</w:t>
      </w:r>
      <w:r>
        <w:rPr>
          <w:rFonts w:hint="eastAsia"/>
          <w:lang w:val="en-US" w:eastAsia="zh-CN"/>
        </w:rPr>
        <w:t xml:space="preserve"> </w:t>
      </w:r>
      <w:r>
        <w:rPr>
          <w:rFonts w:hint="eastAsia" w:ascii="Times New Roman" w:hAnsi="Times New Roman" w:cs="Times New Roman"/>
          <w:lang w:val="en-US" w:eastAsia="zh-CN"/>
        </w:rPr>
        <w:t>Pooled incidence rate of adverse events</w:t>
      </w:r>
      <w:r>
        <w:rPr>
          <w:rFonts w:hint="default" w:ascii="Times New Roman" w:hAnsi="Times New Roman" w:cs="Times New Roman"/>
          <w:lang w:val="en-US" w:eastAsia="zh-CN"/>
        </w:rPr>
        <w:t xml:space="preserve"> for </w:t>
      </w:r>
      <w:r>
        <w:rPr>
          <w:rFonts w:hint="eastAsia" w:ascii="Times New Roman" w:hAnsi="Times New Roman" w:cs="Times New Roman"/>
          <w:lang w:val="en-US" w:eastAsia="zh-CN"/>
        </w:rPr>
        <w:t>Standard</w:t>
      </w:r>
      <w:r>
        <w:rPr>
          <w:rFonts w:hint="default" w:ascii="Times New Roman" w:hAnsi="Times New Roman" w:cs="Times New Roman"/>
          <w:lang w:val="en-US" w:eastAsia="zh-CN"/>
        </w:rPr>
        <w:t xml:space="preserve"> and </w:t>
      </w:r>
      <w:r>
        <w:rPr>
          <w:rFonts w:hint="eastAsia" w:ascii="Times New Roman" w:hAnsi="Times New Roman" w:cs="Times New Roman"/>
          <w:lang w:val="en-US" w:eastAsia="zh-CN"/>
        </w:rPr>
        <w:t>Intensified</w:t>
      </w:r>
      <w:r>
        <w:rPr>
          <w:rFonts w:hint="default" w:ascii="Times New Roman" w:hAnsi="Times New Roman" w:cs="Times New Roman"/>
          <w:lang w:val="en-US" w:eastAsia="zh-CN"/>
        </w:rPr>
        <w:t xml:space="preserve"> subgroups</w:t>
      </w:r>
    </w:p>
    <w:p w14:paraId="35009A38">
      <w:pPr>
        <w:rPr>
          <w:rFonts w:hint="default" w:ascii="Times New Roman" w:hAnsi="Times New Roman" w:cs="Times New Roman" w:eastAsiaTheme="minorEastAsia"/>
          <w:lang w:val="en-US" w:eastAsia="zh-CN"/>
        </w:rPr>
      </w:pPr>
      <w:r>
        <w:rPr>
          <w:rFonts w:hint="default" w:ascii="Times New Roman" w:hAnsi="Times New Roman" w:cs="Times New Roman" w:eastAsiaTheme="minorEastAsia"/>
          <w:lang w:val="en-US" w:eastAsia="zh-CN"/>
        </w:rPr>
        <w:drawing>
          <wp:inline distT="0" distB="0" distL="114300" distR="114300">
            <wp:extent cx="5270500" cy="2454910"/>
            <wp:effectExtent l="0" t="0" r="6350" b="2540"/>
            <wp:docPr id="1" name="图片 1" descr="森林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森林图"/>
                    <pic:cNvPicPr>
                      <a:picLocks noChangeAspect="1"/>
                    </pic:cNvPicPr>
                  </pic:nvPicPr>
                  <pic:blipFill>
                    <a:blip r:embed="rId6"/>
                    <a:stretch>
                      <a:fillRect/>
                    </a:stretch>
                  </pic:blipFill>
                  <pic:spPr>
                    <a:xfrm>
                      <a:off x="0" y="0"/>
                      <a:ext cx="5270500" cy="2454910"/>
                    </a:xfrm>
                    <a:prstGeom prst="rect">
                      <a:avLst/>
                    </a:prstGeom>
                  </pic:spPr>
                </pic:pic>
              </a:graphicData>
            </a:graphic>
          </wp:inline>
        </w:drawing>
      </w:r>
    </w:p>
    <w:p w14:paraId="40971153">
      <w:pPr>
        <w:pStyle w:val="3"/>
        <w:jc w:val="both"/>
        <w:rPr>
          <w:rFonts w:hint="default" w:ascii="Times New Roman" w:hAnsi="Times New Roman" w:cs="Times New Roman" w:eastAsiaTheme="minorEastAsia"/>
          <w:lang w:val="en-US" w:eastAsia="zh-CN"/>
        </w:rPr>
      </w:pPr>
      <w:r>
        <w:rPr>
          <w:rFonts w:hint="default" w:ascii="Times New Roman" w:hAnsi="Times New Roman" w:cs="Times New Roman" w:eastAsiaTheme="minorEastAsia"/>
          <w:lang w:val="en-US" w:eastAsia="zh-CN"/>
        </w:rPr>
        <w:t>Figure S3 Sensitivity analysis of the 52-week clinical response rate</w:t>
      </w:r>
    </w:p>
    <w:p w14:paraId="56EF238E">
      <w:pPr>
        <w:rPr>
          <w:rFonts w:hint="default"/>
          <w:lang w:val="en-US" w:eastAsia="zh-CN"/>
        </w:rPr>
      </w:pPr>
    </w:p>
    <w:p w14:paraId="2142B341">
      <w:pPr>
        <w:rPr>
          <w:rFonts w:hint="default"/>
          <w:lang w:val="en-US" w:eastAsia="zh-CN"/>
        </w:rPr>
      </w:pPr>
    </w:p>
    <w:p w14:paraId="193219D0">
      <w:pPr>
        <w:rPr>
          <w:rFonts w:hint="default"/>
          <w:lang w:val="en-US" w:eastAsia="zh-CN"/>
        </w:rPr>
      </w:pPr>
    </w:p>
    <w:p w14:paraId="5250E88C">
      <w:pPr>
        <w:rPr>
          <w:rFonts w:hint="default"/>
          <w:lang w:val="en-US" w:eastAsia="zh-CN"/>
        </w:rPr>
      </w:pPr>
    </w:p>
    <w:p w14:paraId="7CAF0E7A">
      <w:pPr>
        <w:rPr>
          <w:rFonts w:hint="default" w:ascii="Times New Roman" w:hAnsi="Times New Roman" w:cs="Times New Roman" w:eastAsiaTheme="minorEastAsia"/>
          <w:lang w:val="en-US" w:eastAsia="zh-CN"/>
        </w:rPr>
      </w:pPr>
      <w:r>
        <w:rPr>
          <w:rFonts w:hint="default" w:ascii="Times New Roman" w:hAnsi="Times New Roman" w:cs="Times New Roman" w:eastAsiaTheme="minorEastAsia"/>
          <w:lang w:val="en-US" w:eastAsia="zh-CN"/>
        </w:rPr>
        <w:drawing>
          <wp:inline distT="0" distB="0" distL="114300" distR="114300">
            <wp:extent cx="5270500" cy="2887980"/>
            <wp:effectExtent l="0" t="0" r="6350" b="7620"/>
            <wp:docPr id="2" name="图片 2" descr="森林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森林图 (1)"/>
                    <pic:cNvPicPr>
                      <a:picLocks noChangeAspect="1"/>
                    </pic:cNvPicPr>
                  </pic:nvPicPr>
                  <pic:blipFill>
                    <a:blip r:embed="rId7"/>
                    <a:stretch>
                      <a:fillRect/>
                    </a:stretch>
                  </pic:blipFill>
                  <pic:spPr>
                    <a:xfrm>
                      <a:off x="0" y="0"/>
                      <a:ext cx="5270500" cy="2887980"/>
                    </a:xfrm>
                    <a:prstGeom prst="rect">
                      <a:avLst/>
                    </a:prstGeom>
                  </pic:spPr>
                </pic:pic>
              </a:graphicData>
            </a:graphic>
          </wp:inline>
        </w:drawing>
      </w:r>
    </w:p>
    <w:p w14:paraId="1BB17599">
      <w:pPr>
        <w:pStyle w:val="3"/>
        <w:rPr>
          <w:rFonts w:hint="default" w:ascii="Times New Roman" w:hAnsi="Times New Roman" w:cs="Times New Roman" w:eastAsiaTheme="minorEastAsia"/>
          <w:lang w:val="en-US" w:eastAsia="zh-CN"/>
        </w:rPr>
      </w:pPr>
      <w:r>
        <w:rPr>
          <w:rFonts w:hint="default" w:ascii="Times New Roman" w:hAnsi="Times New Roman" w:cs="Times New Roman" w:eastAsiaTheme="minorEastAsia"/>
          <w:lang w:val="en-US" w:eastAsia="zh-CN"/>
        </w:rPr>
        <w:t>Figure S4 Sensitivity analysis of steroid-free clinical remission rate at week 52</w:t>
      </w:r>
    </w:p>
    <w:p w14:paraId="507D8D45">
      <w:pPr>
        <w:pStyle w:val="3"/>
        <w:rPr>
          <w:rFonts w:hint="default" w:ascii="Times New Roman" w:hAnsi="Times New Roman" w:cs="Times New Roman" w:eastAsiaTheme="minorEastAsia"/>
          <w:lang w:val="en-US" w:eastAsia="zh-CN"/>
        </w:rPr>
      </w:pPr>
      <w:r>
        <w:rPr>
          <w:rFonts w:hint="default" w:ascii="Times New Roman" w:hAnsi="Times New Roman" w:cs="Times New Roman" w:eastAsiaTheme="minorEastAsia"/>
          <w:lang w:val="en-US" w:eastAsia="zh-CN"/>
        </w:rPr>
        <w:drawing>
          <wp:inline distT="0" distB="0" distL="114300" distR="114300">
            <wp:extent cx="5270500" cy="3176905"/>
            <wp:effectExtent l="0" t="0" r="6350" b="4445"/>
            <wp:docPr id="5" name="图片 5" descr="森林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森林图 (2)"/>
                    <pic:cNvPicPr>
                      <a:picLocks noChangeAspect="1"/>
                    </pic:cNvPicPr>
                  </pic:nvPicPr>
                  <pic:blipFill>
                    <a:blip r:embed="rId8"/>
                    <a:stretch>
                      <a:fillRect/>
                    </a:stretch>
                  </pic:blipFill>
                  <pic:spPr>
                    <a:xfrm>
                      <a:off x="0" y="0"/>
                      <a:ext cx="5270500" cy="3176905"/>
                    </a:xfrm>
                    <a:prstGeom prst="rect">
                      <a:avLst/>
                    </a:prstGeom>
                  </pic:spPr>
                </pic:pic>
              </a:graphicData>
            </a:graphic>
          </wp:inline>
        </w:drawing>
      </w:r>
    </w:p>
    <w:p w14:paraId="57B445DC">
      <w:pPr>
        <w:pStyle w:val="3"/>
        <w:rPr>
          <w:rFonts w:hint="default" w:ascii="Times New Roman" w:hAnsi="Times New Roman" w:cs="Times New Roman" w:eastAsiaTheme="minorEastAsia"/>
          <w:b w:val="0"/>
          <w:bCs w:val="0"/>
          <w:lang w:val="en-US" w:eastAsia="zh-CN"/>
        </w:rPr>
      </w:pPr>
      <w:r>
        <w:rPr>
          <w:rFonts w:hint="default" w:ascii="Times New Roman" w:hAnsi="Times New Roman" w:cs="Times New Roman" w:eastAsiaTheme="minorEastAsia"/>
          <w:b w:val="0"/>
          <w:bCs w:val="0"/>
          <w:lang w:val="en-US" w:eastAsia="zh-CN"/>
        </w:rPr>
        <w:t>Figure S5 Sensitivity analysis of Pooled incidence rate of adverse events</w:t>
      </w:r>
    </w:p>
    <w:p w14:paraId="52CA35DF">
      <w:pPr>
        <w:rPr>
          <w:rFonts w:hint="default" w:ascii="Times New Roman" w:hAnsi="Times New Roman" w:cs="Times New Roman" w:eastAsiaTheme="minorEastAsia"/>
          <w:b w:val="0"/>
          <w:bCs w:val="0"/>
          <w:lang w:val="en-US" w:eastAsia="zh-CN"/>
        </w:rPr>
      </w:pPr>
    </w:p>
    <w:p w14:paraId="0051D812">
      <w:pPr>
        <w:rPr>
          <w:rFonts w:hint="default" w:ascii="Times New Roman" w:hAnsi="Times New Roman" w:cs="Times New Roman" w:eastAsiaTheme="minorEastAsia"/>
          <w:b w:val="0"/>
          <w:bCs w:val="0"/>
          <w:lang w:val="en-US" w:eastAsia="zh-CN"/>
        </w:rPr>
      </w:pPr>
    </w:p>
    <w:p w14:paraId="34455B3A">
      <w:pPr>
        <w:rPr>
          <w:rFonts w:hint="default" w:ascii="Times New Roman" w:hAnsi="Times New Roman" w:cs="Times New Roman" w:eastAsiaTheme="minorEastAsia"/>
          <w:b w:val="0"/>
          <w:bCs w:val="0"/>
          <w:lang w:val="en-US" w:eastAsia="zh-CN"/>
        </w:rPr>
      </w:pPr>
      <w:r>
        <w:rPr>
          <w:rFonts w:hint="default" w:ascii="Times New Roman" w:hAnsi="Times New Roman" w:cs="Times New Roman" w:eastAsiaTheme="minorEastAsia"/>
          <w:b w:val="0"/>
          <w:bCs w:val="0"/>
          <w:lang w:val="en-US" w:eastAsia="zh-CN"/>
        </w:rPr>
        <w:drawing>
          <wp:inline distT="0" distB="0" distL="114300" distR="114300">
            <wp:extent cx="5270500" cy="3176905"/>
            <wp:effectExtent l="0" t="0" r="6350" b="4445"/>
            <wp:docPr id="6" name="图片 6" descr="森林图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森林图 (3)"/>
                    <pic:cNvPicPr>
                      <a:picLocks noChangeAspect="1"/>
                    </pic:cNvPicPr>
                  </pic:nvPicPr>
                  <pic:blipFill>
                    <a:blip r:embed="rId9"/>
                    <a:stretch>
                      <a:fillRect/>
                    </a:stretch>
                  </pic:blipFill>
                  <pic:spPr>
                    <a:xfrm>
                      <a:off x="0" y="0"/>
                      <a:ext cx="5270500" cy="3176905"/>
                    </a:xfrm>
                    <a:prstGeom prst="rect">
                      <a:avLst/>
                    </a:prstGeom>
                  </pic:spPr>
                </pic:pic>
              </a:graphicData>
            </a:graphic>
          </wp:inline>
        </w:drawing>
      </w:r>
    </w:p>
    <w:p w14:paraId="3D8D8BAF">
      <w:pPr>
        <w:pStyle w:val="3"/>
        <w:rPr>
          <w:rFonts w:hint="default" w:ascii="Times New Roman" w:hAnsi="Times New Roman" w:cs="Times New Roman" w:eastAsiaTheme="minorEastAsia"/>
          <w:lang w:val="en-US" w:eastAsia="zh-CN"/>
        </w:rPr>
      </w:pPr>
      <w:r>
        <w:rPr>
          <w:rFonts w:hint="default" w:ascii="Times New Roman" w:hAnsi="Times New Roman" w:cs="Times New Roman" w:eastAsiaTheme="minorEastAsia"/>
          <w:lang w:val="en-US" w:eastAsia="zh-CN"/>
        </w:rPr>
        <w:t>Figure S6 Sensitivity analysis of Pooled serious incidence rate of adverse events</w:t>
      </w:r>
    </w:p>
    <w:p w14:paraId="76428160">
      <w:pPr>
        <w:pStyle w:val="3"/>
        <w:rPr>
          <w:rFonts w:hint="default" w:ascii="Times New Roman" w:hAnsi="Times New Roman" w:cs="Times New Roman" w:eastAsiaTheme="minorEastAsia"/>
          <w:lang w:val="en-US" w:eastAsia="zh-CN"/>
        </w:rPr>
      </w:pPr>
      <w:bookmarkStart w:id="0" w:name="_GoBack"/>
      <w:bookmarkEnd w:id="0"/>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Aptos">
    <w:altName w:val="宋体"/>
    <w:panose1 w:val="00000000000000000000"/>
    <w:charset w:val="86"/>
    <w:family w:val="swiss"/>
    <w:pitch w:val="default"/>
    <w:sig w:usb0="00000000" w:usb1="00000000"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3A0122"/>
    <w:multiLevelType w:val="singleLevel"/>
    <w:tmpl w:val="B43A0122"/>
    <w:lvl w:ilvl="0" w:tentative="0">
      <w:start w:val="1"/>
      <w:numFmt w:val="bullet"/>
      <w:pStyle w:val="4"/>
      <w:lvlText w:val=""/>
      <w:lvlJc w:val="left"/>
      <w:pPr>
        <w:tabs>
          <w:tab w:val="left" w:pos="360"/>
        </w:tabs>
        <w:ind w:left="36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403824"/>
    <w:rsid w:val="004B4463"/>
    <w:rsid w:val="02C31023"/>
    <w:rsid w:val="08F27B1A"/>
    <w:rsid w:val="09D4277D"/>
    <w:rsid w:val="0B096C03"/>
    <w:rsid w:val="0F8A0870"/>
    <w:rsid w:val="1B7430B2"/>
    <w:rsid w:val="1D1F141A"/>
    <w:rsid w:val="1E975BF6"/>
    <w:rsid w:val="201B1CDE"/>
    <w:rsid w:val="232E0CBD"/>
    <w:rsid w:val="23865EB5"/>
    <w:rsid w:val="24E340E0"/>
    <w:rsid w:val="277755E0"/>
    <w:rsid w:val="30B853DD"/>
    <w:rsid w:val="3186135C"/>
    <w:rsid w:val="3314205A"/>
    <w:rsid w:val="3A824DC7"/>
    <w:rsid w:val="3C7A10E8"/>
    <w:rsid w:val="3E2C6DB1"/>
    <w:rsid w:val="3FD61415"/>
    <w:rsid w:val="43E55ADA"/>
    <w:rsid w:val="4ED22016"/>
    <w:rsid w:val="51AE756C"/>
    <w:rsid w:val="537D4FE1"/>
    <w:rsid w:val="54E038DA"/>
    <w:rsid w:val="55946096"/>
    <w:rsid w:val="5714402A"/>
    <w:rsid w:val="57403824"/>
    <w:rsid w:val="5C306096"/>
    <w:rsid w:val="6603364C"/>
    <w:rsid w:val="693A1A66"/>
    <w:rsid w:val="74A21F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480" w:after="0"/>
      <w:outlineLvl w:val="0"/>
    </w:pPr>
    <w:rPr>
      <w:rFonts w:asciiTheme="majorHAnsi" w:hAnsiTheme="majorHAnsi" w:eastAsiaTheme="majorEastAsia" w:cstheme="majorBidi"/>
      <w:b/>
      <w:bCs/>
      <w:color w:val="2E54A1" w:themeColor="accent1" w:themeShade="BF"/>
      <w:sz w:val="28"/>
      <w:szCs w:val="28"/>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caption"/>
    <w:basedOn w:val="1"/>
    <w:next w:val="1"/>
    <w:semiHidden/>
    <w:unhideWhenUsed/>
    <w:qFormat/>
    <w:uiPriority w:val="0"/>
    <w:rPr>
      <w:rFonts w:ascii="Arial" w:hAnsi="Arial" w:eastAsia="黑体"/>
      <w:sz w:val="20"/>
    </w:rPr>
  </w:style>
  <w:style w:type="paragraph" w:styleId="4">
    <w:name w:val="List Bullet"/>
    <w:basedOn w:val="1"/>
    <w:qFormat/>
    <w:uiPriority w:val="0"/>
    <w:pPr>
      <w:numPr>
        <w:ilvl w:val="0"/>
        <w:numId w:val="1"/>
      </w:numPr>
    </w:pPr>
  </w:style>
  <w:style w:type="table" w:styleId="6">
    <w:name w:val="Table Grid"/>
    <w:qFormat/>
    <w:uiPriority w:val="39"/>
    <w:pPr>
      <w:spacing w:after="0" w:line="240" w:lineRule="auto"/>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qFormat/>
    <w:uiPriority w:val="0"/>
    <w:rPr>
      <w:color w:val="0563C1"/>
      <w:u w:val="single"/>
    </w:rPr>
  </w:style>
  <w:style w:type="paragraph" w:customStyle="1" w:styleId="9">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346</Words>
  <Characters>2490</Characters>
  <Lines>0</Lines>
  <Paragraphs>0</Paragraphs>
  <TotalTime>0</TotalTime>
  <ScaleCrop>false</ScaleCrop>
  <LinksUpToDate>false</LinksUpToDate>
  <CharactersWithSpaces>2812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2026-01-28T09:40:00Z</dcterms:created>
  <dc:creator>平凡之路</dc:creator>
  <cp:lastModifiedBy>平凡之路</cp:lastModifiedBy>
  <dcterms:modified xsi:type="dcterms:W3CDTF">2026-06-10T05:37:27Z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AC398F2AA6C24FAF81F786E5BF62DBEE_11</vt:lpwstr>
  </property>
  <property fmtid="{D5CDD505-2E9C-101B-9397-08002B2CF9AE}" pid="4" name="KSOTemplateDocerSaveRecord">
    <vt:lpwstr>eyJoZGlkIjoiZjc4YjkyNjRiNDFkNTZiZjUxNzM4ODE4YzBhNTU2ZGYiLCJ1c2VySWQiOiIxNDE1Mzg5MDU0In0=</vt:lpwstr>
  </property>
</Properties>
</file>