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8EE48">
      <w:pPr>
        <w:numPr>
          <w:ilvl w:val="0"/>
          <w:numId w:val="0"/>
        </w:numPr>
        <w:ind w:leftChars="0"/>
        <w:rPr>
          <w:rFonts w:hint="default"/>
          <w:lang w:val="en-US" w:eastAsia="zh-CN"/>
        </w:rPr>
      </w:pPr>
    </w:p>
    <w:p w14:paraId="09BA2FD5">
      <w:pPr>
        <w:numPr>
          <w:ilvl w:val="0"/>
          <w:numId w:val="0"/>
        </w:numPr>
        <w:ind w:leftChars="0"/>
        <w:rPr>
          <w:rFonts w:hint="default"/>
          <w:b/>
          <w:bCs/>
          <w:lang w:val="en-US" w:eastAsia="zh-CN"/>
        </w:rPr>
      </w:pPr>
      <w:r>
        <w:rPr>
          <w:rFonts w:hint="default"/>
          <w:b/>
          <w:bCs/>
          <w:lang w:val="en-US" w:eastAsia="zh-CN"/>
        </w:rPr>
        <w:t>Supplementary figures.</w:t>
      </w:r>
    </w:p>
    <w:p w14:paraId="69AD054B">
      <w:pPr>
        <w:numPr>
          <w:ilvl w:val="0"/>
          <w:numId w:val="0"/>
        </w:numPr>
        <w:ind w:leftChars="0"/>
        <w:rPr>
          <w:rFonts w:hint="default"/>
          <w:lang w:val="en-US" w:eastAsia="zh-CN"/>
        </w:rPr>
      </w:pPr>
      <w:r>
        <w:rPr>
          <w:rFonts w:hint="default"/>
          <w:lang w:val="en-US" w:eastAsia="zh-CN"/>
        </w:rPr>
        <w:drawing>
          <wp:inline distT="0" distB="0" distL="114300" distR="114300">
            <wp:extent cx="5266690" cy="4234815"/>
            <wp:effectExtent l="0" t="0" r="6350" b="1905"/>
            <wp:docPr id="3" name="图片 3" descr="FigS1 亚组KM曲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1 亚组KM曲线(1)_01"/>
                    <pic:cNvPicPr>
                      <a:picLocks noChangeAspect="1"/>
                    </pic:cNvPicPr>
                  </pic:nvPicPr>
                  <pic:blipFill>
                    <a:blip r:embed="rId4"/>
                    <a:stretch>
                      <a:fillRect/>
                    </a:stretch>
                  </pic:blipFill>
                  <pic:spPr>
                    <a:xfrm>
                      <a:off x="0" y="0"/>
                      <a:ext cx="5266690" cy="4234815"/>
                    </a:xfrm>
                    <a:prstGeom prst="rect">
                      <a:avLst/>
                    </a:prstGeom>
                  </pic:spPr>
                </pic:pic>
              </a:graphicData>
            </a:graphic>
          </wp:inline>
        </w:drawing>
      </w:r>
    </w:p>
    <w:p w14:paraId="6C5A253A">
      <w:pPr>
        <w:numPr>
          <w:ilvl w:val="0"/>
          <w:numId w:val="0"/>
        </w:numPr>
        <w:ind w:leftChars="0"/>
        <w:rPr>
          <w:rFonts w:hint="default"/>
          <w:lang w:val="en-US" w:eastAsia="zh-CN"/>
        </w:rPr>
      </w:pPr>
      <w:r>
        <w:rPr>
          <w:rFonts w:hint="eastAsia"/>
          <w:b/>
          <w:bCs/>
          <w:lang w:val="en-US" w:eastAsia="zh-CN"/>
        </w:rPr>
        <w:t>Figure S1.</w:t>
      </w:r>
      <w:r>
        <w:rPr>
          <w:rFonts w:hint="default"/>
          <w:lang w:val="en-US" w:eastAsia="zh-CN"/>
        </w:rPr>
        <w:t xml:space="preserve">High expression of FBXW8 was associated with poor prognosis. Kaplan–Meier survival curves of FBXW8 in (A) Age≤60, (B) Age&gt;60, (C) BMI&lt;=25,  (D) BMI&gt;25, (E) stage N0, (F) stage M0, (G) stage II and III (H) Asian, (I) Vascular invasion, (J) Weiht&lt;=70, (K) Tumor free. OS, Overall Survival. </w:t>
      </w:r>
    </w:p>
    <w:p w14:paraId="669A88E4">
      <w:pPr>
        <w:numPr>
          <w:ilvl w:val="0"/>
          <w:numId w:val="0"/>
        </w:numPr>
        <w:ind w:leftChars="0"/>
        <w:rPr>
          <w:rFonts w:hint="default"/>
          <w:lang w:val="en-US" w:eastAsia="zh-CN"/>
        </w:rPr>
      </w:pPr>
      <w:r>
        <w:drawing>
          <wp:inline distT="0" distB="0" distL="114300" distR="114300">
            <wp:extent cx="5266690" cy="1732280"/>
            <wp:effectExtent l="0" t="0" r="635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6690" cy="1732280"/>
                    </a:xfrm>
                    <a:prstGeom prst="rect">
                      <a:avLst/>
                    </a:prstGeom>
                    <a:noFill/>
                    <a:ln>
                      <a:noFill/>
                    </a:ln>
                  </pic:spPr>
                </pic:pic>
              </a:graphicData>
            </a:graphic>
          </wp:inline>
        </w:drawing>
      </w:r>
    </w:p>
    <w:p w14:paraId="709411A5">
      <w:pPr>
        <w:numPr>
          <w:ilvl w:val="0"/>
          <w:numId w:val="0"/>
        </w:numPr>
        <w:ind w:leftChars="0"/>
        <w:rPr>
          <w:rFonts w:hint="default"/>
          <w:lang w:val="en-US" w:eastAsia="zh-CN"/>
        </w:rPr>
      </w:pPr>
    </w:p>
    <w:p w14:paraId="23ABFE56">
      <w:pPr>
        <w:numPr>
          <w:ilvl w:val="0"/>
          <w:numId w:val="0"/>
        </w:numPr>
        <w:ind w:leftChars="0"/>
        <w:rPr>
          <w:rFonts w:hint="default"/>
          <w:lang w:val="en-US" w:eastAsia="zh-CN"/>
        </w:rPr>
      </w:pPr>
      <w:r>
        <w:rPr>
          <w:rFonts w:hint="default"/>
          <w:b/>
          <w:bCs/>
          <w:lang w:val="en-US" w:eastAsia="zh-CN"/>
        </w:rPr>
        <w:t>Figure S2.</w:t>
      </w:r>
      <w:r>
        <w:rPr>
          <w:rFonts w:hint="default"/>
          <w:lang w:val="en-US" w:eastAsia="zh-CN"/>
        </w:rPr>
        <w:t xml:space="preserve"> ROC validation of FBXW8 in clinicopathological features. Diagnostic ROC curves in (A) AFP, (B) Histologic grade, (C) Residual tumor.</w:t>
      </w:r>
    </w:p>
    <w:p w14:paraId="441C2AD0">
      <w:pPr>
        <w:numPr>
          <w:ilvl w:val="0"/>
          <w:numId w:val="0"/>
        </w:numPr>
        <w:ind w:leftChars="0"/>
        <w:rPr>
          <w:rFonts w:hint="default"/>
          <w:lang w:val="en-US" w:eastAsia="zh-CN"/>
        </w:rPr>
      </w:pPr>
    </w:p>
    <w:p w14:paraId="53ED81D3">
      <w:pPr>
        <w:numPr>
          <w:ilvl w:val="0"/>
          <w:numId w:val="0"/>
        </w:numPr>
        <w:ind w:leftChars="0"/>
        <w:rPr>
          <w:rFonts w:hint="default"/>
          <w:lang w:val="en-US" w:eastAsia="zh-CN"/>
        </w:rPr>
      </w:pPr>
      <w:r>
        <w:rPr>
          <w:rFonts w:hint="default"/>
          <w:lang w:val="en-US" w:eastAsia="zh-CN"/>
        </w:rPr>
        <w:drawing>
          <wp:inline distT="0" distB="0" distL="114300" distR="114300">
            <wp:extent cx="5266690" cy="5639435"/>
            <wp:effectExtent l="0" t="0" r="6350" b="14605"/>
            <wp:docPr id="2" name="图片 2" descr="FigS3 相关基因KM图(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3 相关基因KM图(1)_01"/>
                    <pic:cNvPicPr>
                      <a:picLocks noChangeAspect="1"/>
                    </pic:cNvPicPr>
                  </pic:nvPicPr>
                  <pic:blipFill>
                    <a:blip r:embed="rId6"/>
                    <a:stretch>
                      <a:fillRect/>
                    </a:stretch>
                  </pic:blipFill>
                  <pic:spPr>
                    <a:xfrm>
                      <a:off x="0" y="0"/>
                      <a:ext cx="5266690" cy="5639435"/>
                    </a:xfrm>
                    <a:prstGeom prst="rect">
                      <a:avLst/>
                    </a:prstGeom>
                  </pic:spPr>
                </pic:pic>
              </a:graphicData>
            </a:graphic>
          </wp:inline>
        </w:drawing>
      </w:r>
    </w:p>
    <w:p w14:paraId="13900AF8">
      <w:pPr>
        <w:numPr>
          <w:ilvl w:val="0"/>
          <w:numId w:val="0"/>
        </w:numPr>
        <w:ind w:leftChars="0"/>
        <w:rPr>
          <w:rFonts w:hint="default"/>
          <w:lang w:val="en-US" w:eastAsia="zh-CN"/>
        </w:rPr>
      </w:pPr>
      <w:r>
        <w:rPr>
          <w:rFonts w:hint="default"/>
          <w:b/>
          <w:bCs/>
          <w:lang w:val="en-US" w:eastAsia="zh-CN"/>
        </w:rPr>
        <w:t>Figure S3.</w:t>
      </w:r>
      <w:r>
        <w:rPr>
          <w:rFonts w:hint="default"/>
          <w:lang w:val="en-US" w:eastAsia="zh-CN"/>
        </w:rPr>
        <w:t xml:space="preserve"> Prognosis of FBXW8-related genes in hepatocellular carcinoma from the TCGA database. (A) CUL7, (B) RBX1, (C) SKP1, (D) CUL1,(E) GLMN, (F) OBSL1, (G) SKP2, (H) UBA3, (I) FBXO4, (J)IRS1, (K) DDB1, (L) BTRC, (M) TP53, (N) CCDC8, (O) CCND1. ns:p ≥ 0.05; *p &lt; 0.05; **p &lt; 0.01; ***p &lt; 0.001.</w:t>
      </w:r>
    </w:p>
    <w:p w14:paraId="4E9B77AB">
      <w:pPr>
        <w:numPr>
          <w:ilvl w:val="0"/>
          <w:numId w:val="0"/>
        </w:numPr>
        <w:ind w:leftChars="0"/>
        <w:rPr>
          <w:rFonts w:hint="default"/>
          <w:lang w:val="en-US" w:eastAsia="zh-CN"/>
        </w:rPr>
      </w:pPr>
    </w:p>
    <w:p w14:paraId="0939F25C">
      <w:pPr>
        <w:numPr>
          <w:ilvl w:val="0"/>
          <w:numId w:val="0"/>
        </w:numPr>
        <w:ind w:leftChars="0"/>
        <w:rPr>
          <w:rFonts w:hint="default"/>
          <w:lang w:val="en-US" w:eastAsia="zh-CN"/>
        </w:rPr>
      </w:pPr>
      <w:r>
        <w:rPr>
          <w:rFonts w:hint="default"/>
          <w:lang w:val="en-US" w:eastAsia="zh-CN"/>
        </w:rPr>
        <w:drawing>
          <wp:inline distT="0" distB="0" distL="114300" distR="114300">
            <wp:extent cx="4724400" cy="4046220"/>
            <wp:effectExtent l="0" t="0" r="0" b="7620"/>
            <wp:docPr id="4" name="图片 4" descr="Fig9 细胞实验验证 - 97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9 细胞实验验证 - 97H"/>
                    <pic:cNvPicPr>
                      <a:picLocks noChangeAspect="1"/>
                    </pic:cNvPicPr>
                  </pic:nvPicPr>
                  <pic:blipFill>
                    <a:blip r:embed="rId7"/>
                    <a:stretch>
                      <a:fillRect/>
                    </a:stretch>
                  </pic:blipFill>
                  <pic:spPr>
                    <a:xfrm>
                      <a:off x="0" y="0"/>
                      <a:ext cx="4724400" cy="4046220"/>
                    </a:xfrm>
                    <a:prstGeom prst="rect">
                      <a:avLst/>
                    </a:prstGeom>
                  </pic:spPr>
                </pic:pic>
              </a:graphicData>
            </a:graphic>
          </wp:inline>
        </w:drawing>
      </w:r>
    </w:p>
    <w:p w14:paraId="26E2012C">
      <w:pPr>
        <w:numPr>
          <w:ilvl w:val="0"/>
          <w:numId w:val="0"/>
        </w:numPr>
        <w:ind w:leftChars="0"/>
        <w:rPr>
          <w:rFonts w:hint="eastAsia"/>
          <w:lang w:val="en-US" w:eastAsia="zh-CN"/>
        </w:rPr>
      </w:pPr>
      <w:r>
        <w:rPr>
          <w:rFonts w:hint="eastAsia"/>
          <w:b/>
          <w:bCs/>
          <w:lang w:val="en-US" w:eastAsia="zh-CN"/>
        </w:rPr>
        <w:t>Figure S4</w:t>
      </w:r>
      <w:r>
        <w:rPr>
          <w:rFonts w:hint="eastAsia"/>
          <w:lang w:val="en-US" w:eastAsia="zh-CN"/>
        </w:rPr>
        <w:t>. FBXW8 promoted MHCC-97H cells proliferation, migration and invasion. (A). MHCC-97H cells were stably transfected with pBABE-3XFlag-FBXW8 or empty vector (pBABE-3XFlag) as control. The endogenous and exogenous expression levels of FBXW8 were detected by western blotting in MHCC-97H-FBXW8 by the indicated antibodies.. The Flag-tagged FBXW8 protein is indicated by an asterisk (*). (B). MHCC-97H-FBXW8 and control cells were seeded into 96-well plates. Cell proliferation was assessed using the CCK-8 assay at 24-hour intervals, starting from 24 hours after seeding. (C). MHCC-97H-FBXW8 and control cells were seeded into the upper chambers of 24-well Transwell plates. After 48 hours, cells that had migrated through the membrane were stained with crystal violet. Bar indicates 50μm.</w:t>
      </w:r>
      <w:bookmarkStart w:id="0" w:name="_GoBack"/>
      <w:bookmarkEnd w:id="0"/>
    </w:p>
    <w:p w14:paraId="448803E9">
      <w:pPr>
        <w:numPr>
          <w:ilvl w:val="0"/>
          <w:numId w:val="0"/>
        </w:numPr>
        <w:ind w:leftChars="0"/>
        <w:rPr>
          <w:rFonts w:hint="default"/>
          <w:lang w:val="en-US" w:eastAsia="zh-CN"/>
        </w:rPr>
      </w:pPr>
    </w:p>
    <w:p w14:paraId="330463A4">
      <w:pPr>
        <w:numPr>
          <w:ilvl w:val="0"/>
          <w:numId w:val="0"/>
        </w:numPr>
        <w:ind w:left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3YzU3Y2FlODIyMTVmYjY2NDlhYzIwMzkzNWRiYjgifQ=="/>
    <w:docVar w:name="EN.InstantFormat" w:val="&lt;ENInstantFormat&gt;&lt;Enabled&gt;1&lt;/Enabled&gt;&lt;ScanUnformatted&gt;1&lt;/ScanUnformatted&gt;&lt;ScanChanges&gt;1&lt;/ScanChanges&gt;&lt;Suspended&gt;0&lt;/Suspended&gt;&lt;/ENInstantFormat&gt;"/>
    <w:docVar w:name="EN.Layout" w:val="&lt;ENLayout&gt;&lt;Style&gt;Chinese Std GBT7714 (numeric)&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5pf5ta2c5rf28e5f0bxt5r505vtw0e0d5t0&quot;&gt;我的EndNote库ato&lt;record-ids&gt;&lt;item&gt;193&lt;/item&gt;&lt;item&gt;194&lt;/item&gt;&lt;item&gt;195&lt;/item&gt;&lt;item&gt;196&lt;/item&gt;&lt;item&gt;197&lt;/item&gt;&lt;item&gt;198&lt;/item&gt;&lt;item&gt;199&lt;/item&gt;&lt;item&gt;200&lt;/item&gt;&lt;item&gt;203&lt;/item&gt;&lt;item&gt;204&lt;/item&gt;&lt;item&gt;205&lt;/item&gt;&lt;item&gt;207&lt;/item&gt;&lt;item&gt;208&lt;/item&gt;&lt;item&gt;209&lt;/item&gt;&lt;item&gt;211&lt;/item&gt;&lt;item&gt;213&lt;/item&gt;&lt;item&gt;214&lt;/item&gt;&lt;item&gt;215&lt;/item&gt;&lt;item&gt;216&lt;/item&gt;&lt;item&gt;217&lt;/item&gt;&lt;item&gt;218&lt;/item&gt;&lt;item&gt;219&lt;/item&gt;&lt;item&gt;220&lt;/item&gt;&lt;item&gt;221&lt;/item&gt;&lt;item&gt;222&lt;/item&gt;&lt;item&gt;223&lt;/item&gt;&lt;item&gt;224&lt;/item&gt;&lt;/record-ids&gt;&lt;/item&gt;&lt;/Libraries&gt;"/>
  </w:docVars>
  <w:rsids>
    <w:rsidRoot w:val="00000000"/>
    <w:rsid w:val="01487061"/>
    <w:rsid w:val="062C726F"/>
    <w:rsid w:val="06B97F83"/>
    <w:rsid w:val="07494A2B"/>
    <w:rsid w:val="07DB25F2"/>
    <w:rsid w:val="0867694C"/>
    <w:rsid w:val="090D3584"/>
    <w:rsid w:val="095D771D"/>
    <w:rsid w:val="0A1B5A0C"/>
    <w:rsid w:val="0B1C79C9"/>
    <w:rsid w:val="0C590F97"/>
    <w:rsid w:val="0C9D27CD"/>
    <w:rsid w:val="0F831B56"/>
    <w:rsid w:val="0FA91447"/>
    <w:rsid w:val="12C9084D"/>
    <w:rsid w:val="150B6FD2"/>
    <w:rsid w:val="15D97925"/>
    <w:rsid w:val="18112A13"/>
    <w:rsid w:val="18185587"/>
    <w:rsid w:val="1B4C57EB"/>
    <w:rsid w:val="1C542906"/>
    <w:rsid w:val="1EC72D48"/>
    <w:rsid w:val="1F876A4C"/>
    <w:rsid w:val="22531F61"/>
    <w:rsid w:val="22F0225A"/>
    <w:rsid w:val="230C7349"/>
    <w:rsid w:val="23423100"/>
    <w:rsid w:val="245C4A4D"/>
    <w:rsid w:val="26733DA7"/>
    <w:rsid w:val="268C786C"/>
    <w:rsid w:val="29D169E9"/>
    <w:rsid w:val="2A1948C8"/>
    <w:rsid w:val="2B426CCC"/>
    <w:rsid w:val="2BA379C8"/>
    <w:rsid w:val="2BC25ADE"/>
    <w:rsid w:val="2C5C5B42"/>
    <w:rsid w:val="2D2A09B7"/>
    <w:rsid w:val="31793D30"/>
    <w:rsid w:val="31931AD6"/>
    <w:rsid w:val="326F7437"/>
    <w:rsid w:val="32A53834"/>
    <w:rsid w:val="35A750F1"/>
    <w:rsid w:val="369E1627"/>
    <w:rsid w:val="370D5632"/>
    <w:rsid w:val="38E52E0C"/>
    <w:rsid w:val="38EF77E6"/>
    <w:rsid w:val="396F26D5"/>
    <w:rsid w:val="39D746A9"/>
    <w:rsid w:val="39F552D0"/>
    <w:rsid w:val="3C674A91"/>
    <w:rsid w:val="3CBA162B"/>
    <w:rsid w:val="3D6E6B69"/>
    <w:rsid w:val="3F5C2152"/>
    <w:rsid w:val="3F9558FF"/>
    <w:rsid w:val="41AF045B"/>
    <w:rsid w:val="424557E2"/>
    <w:rsid w:val="425D7A6A"/>
    <w:rsid w:val="44D37FBC"/>
    <w:rsid w:val="44EC2EDA"/>
    <w:rsid w:val="45147C83"/>
    <w:rsid w:val="467D70F7"/>
    <w:rsid w:val="481421A9"/>
    <w:rsid w:val="4942653E"/>
    <w:rsid w:val="4A1A275C"/>
    <w:rsid w:val="4AE269D4"/>
    <w:rsid w:val="4B34520D"/>
    <w:rsid w:val="4B832517"/>
    <w:rsid w:val="4D39013F"/>
    <w:rsid w:val="4DA644C0"/>
    <w:rsid w:val="4EE31B62"/>
    <w:rsid w:val="513D15DF"/>
    <w:rsid w:val="52EA235F"/>
    <w:rsid w:val="55846F18"/>
    <w:rsid w:val="560B3A5A"/>
    <w:rsid w:val="56A54BB0"/>
    <w:rsid w:val="572A0F1D"/>
    <w:rsid w:val="58066608"/>
    <w:rsid w:val="584E0441"/>
    <w:rsid w:val="5898359F"/>
    <w:rsid w:val="595D5F90"/>
    <w:rsid w:val="59886587"/>
    <w:rsid w:val="5A5F1DD9"/>
    <w:rsid w:val="5AB86F0F"/>
    <w:rsid w:val="5D003D89"/>
    <w:rsid w:val="5E826883"/>
    <w:rsid w:val="5EA25271"/>
    <w:rsid w:val="5EAF1415"/>
    <w:rsid w:val="605D1356"/>
    <w:rsid w:val="61614795"/>
    <w:rsid w:val="64632A97"/>
    <w:rsid w:val="65A74E21"/>
    <w:rsid w:val="669B6734"/>
    <w:rsid w:val="66C146AF"/>
    <w:rsid w:val="6745464E"/>
    <w:rsid w:val="69652C93"/>
    <w:rsid w:val="69CA11D3"/>
    <w:rsid w:val="6A5C53D5"/>
    <w:rsid w:val="6A6E4160"/>
    <w:rsid w:val="6A99664B"/>
    <w:rsid w:val="6B3E6183"/>
    <w:rsid w:val="6B800105"/>
    <w:rsid w:val="6D1976AB"/>
    <w:rsid w:val="6D4B0788"/>
    <w:rsid w:val="6E2215A0"/>
    <w:rsid w:val="700D3C59"/>
    <w:rsid w:val="708E7BA7"/>
    <w:rsid w:val="72A17D07"/>
    <w:rsid w:val="73E04BA5"/>
    <w:rsid w:val="74222A56"/>
    <w:rsid w:val="74B520B8"/>
    <w:rsid w:val="75E836E4"/>
    <w:rsid w:val="780037E6"/>
    <w:rsid w:val="7BFD5204"/>
    <w:rsid w:val="7DDF5376"/>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customStyle="1" w:styleId="8">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9">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Words>
  <Characters>638</Characters>
  <Lines>0</Lines>
  <Paragraphs>0</Paragraphs>
  <TotalTime>2</TotalTime>
  <ScaleCrop>false</ScaleCrop>
  <LinksUpToDate>false</LinksUpToDate>
  <CharactersWithSpaces>760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2024-12-29T00:45:00Z</dcterms:created>
  <dc:creator>lidua</dc:creator>
  <cp:lastModifiedBy>Duanzhuo Li</cp:lastModifiedBy>
  <dcterms:modified xsi:type="dcterms:W3CDTF">2026-07-10T15:28:53Z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eyJoZGlkIjoiYzg3M2Q2NGI1YzJjMjZiNjJiMDgzNTRkYjg0MmVmMTEiLCJ1c2VySWQiOiIzNDUyNzUyNjYifQ==</vt:lpwstr>
  </property>
  <property fmtid="{D5CDD505-2E9C-101B-9397-08002B2CF9AE}" pid="4" name="ICV">
    <vt:lpwstr>DA77FEE42CC34168AA0C67BCFDC8741E_12</vt:lpwstr>
  </property>
</Properties>
</file>