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3A3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2"/>
          <w:szCs w:val="22"/>
        </w:rPr>
        <w:t xml:space="preserve">Supplementary Material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 xml:space="preserve">1 </w:t>
      </w:r>
    </w:p>
    <w:p w14:paraId="71CAF5D5">
      <w:pPr>
        <w:spacing w:line="240" w:lineRule="auto"/>
        <w:jc w:val="both"/>
        <w:rPr>
          <w:rFonts w:ascii="Times New Roman" w:hAnsi="Times New Roman" w:eastAsia="宋体"/>
          <w:b/>
          <w:bCs/>
          <w:sz w:val="24"/>
          <w:szCs w:val="32"/>
          <w:u w:val="single"/>
        </w:rPr>
      </w:pPr>
      <w:r>
        <w:rPr>
          <w:rFonts w:hint="eastAsia" w:ascii="Times New Roman" w:hAnsi="Times New Roman" w:eastAsia="宋体" w:cs="楷体"/>
          <w:sz w:val="21"/>
          <w:szCs w:val="24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 w:cs="楷体"/>
          <w:b/>
          <w:bCs/>
          <w:sz w:val="21"/>
          <w:szCs w:val="24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楷体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/>
          <w:bCs/>
          <w:sz w:val="24"/>
          <w:szCs w:val="32"/>
        </w:rPr>
        <w:t>问卷编号：</w:t>
      </w:r>
      <w:r>
        <w:rPr>
          <w:rFonts w:hint="eastAsia" w:ascii="Times New Roman" w:hAnsi="Times New Roman" w:eastAsia="宋体"/>
          <w:b/>
          <w:bCs/>
          <w:sz w:val="24"/>
          <w:szCs w:val="32"/>
          <w:u w:val="single"/>
        </w:rPr>
        <w:t xml:space="preserve"> </w:t>
      </w:r>
      <w:r>
        <w:rPr>
          <w:rFonts w:ascii="Times New Roman" w:hAnsi="Times New Roman" w:eastAsia="宋体"/>
          <w:b/>
          <w:bCs/>
          <w:sz w:val="24"/>
          <w:szCs w:val="32"/>
          <w:u w:val="single"/>
        </w:rPr>
        <w:t xml:space="preserve">      </w:t>
      </w:r>
    </w:p>
    <w:p w14:paraId="05705A2E">
      <w:pPr>
        <w:spacing w:line="240" w:lineRule="auto"/>
        <w:rPr>
          <w:rFonts w:hint="eastAsia" w:ascii="Times New Roman" w:hAnsi="Times New Roman" w:eastAsia="宋体"/>
          <w:b/>
          <w:bCs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6C8DAC">
      <w:pPr>
        <w:spacing w:line="240" w:lineRule="auto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A部分. 社会人口学特征</w:t>
      </w:r>
    </w:p>
    <w:p w14:paraId="0AF3C810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性别</w:t>
      </w:r>
      <w:r>
        <w:rPr>
          <w:rFonts w:hint="eastAsia"/>
          <w:b w:val="0"/>
          <w:bCs w:val="0"/>
          <w:lang w:eastAsia="zh-CN"/>
        </w:rPr>
        <w:t>：</w:t>
      </w:r>
    </w:p>
    <w:p w14:paraId="6719A1E9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年龄</w:t>
      </w:r>
      <w:r>
        <w:rPr>
          <w:rFonts w:hint="eastAsia"/>
          <w:b w:val="0"/>
          <w:bCs w:val="0"/>
          <w:lang w:eastAsia="zh-CN"/>
        </w:rPr>
        <w:t>：</w:t>
      </w:r>
    </w:p>
    <w:p w14:paraId="4AC1CE44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婚姻状况</w:t>
      </w:r>
      <w:r>
        <w:rPr>
          <w:rFonts w:hint="eastAsia"/>
          <w:b w:val="0"/>
          <w:bCs w:val="0"/>
          <w:lang w:eastAsia="zh-CN"/>
        </w:rPr>
        <w:t>：</w:t>
      </w:r>
    </w:p>
    <w:p w14:paraId="7ADC3CB7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受教育程度</w:t>
      </w:r>
      <w:r>
        <w:rPr>
          <w:rFonts w:hint="eastAsia"/>
          <w:b w:val="0"/>
          <w:bCs w:val="0"/>
          <w:lang w:eastAsia="zh-CN"/>
        </w:rPr>
        <w:t>：</w:t>
      </w:r>
    </w:p>
    <w:p w14:paraId="539F1491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宗教信仰</w:t>
      </w:r>
      <w:r>
        <w:rPr>
          <w:rFonts w:hint="eastAsia"/>
          <w:b w:val="0"/>
          <w:bCs w:val="0"/>
          <w:lang w:eastAsia="zh-CN"/>
        </w:rPr>
        <w:t>：</w:t>
      </w:r>
    </w:p>
    <w:p w14:paraId="79D2D31D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家庭收入</w:t>
      </w:r>
      <w:r>
        <w:rPr>
          <w:rFonts w:hint="eastAsia"/>
          <w:b w:val="0"/>
          <w:bCs w:val="0"/>
          <w:lang w:eastAsia="zh-CN"/>
        </w:rPr>
        <w:t>：</w:t>
      </w:r>
    </w:p>
    <w:p w14:paraId="3861F308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就业状况</w:t>
      </w:r>
      <w:r>
        <w:rPr>
          <w:rFonts w:hint="eastAsia"/>
          <w:b w:val="0"/>
          <w:bCs w:val="0"/>
          <w:lang w:eastAsia="zh-CN"/>
        </w:rPr>
        <w:t>：</w:t>
      </w:r>
    </w:p>
    <w:p w14:paraId="68FEABBD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居住地</w:t>
      </w:r>
      <w:r>
        <w:rPr>
          <w:rFonts w:hint="eastAsia"/>
          <w:b w:val="0"/>
          <w:bCs w:val="0"/>
          <w:lang w:eastAsia="zh-CN"/>
        </w:rPr>
        <w:t>：</w:t>
      </w:r>
    </w:p>
    <w:p w14:paraId="0E3A2941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子女数量</w:t>
      </w:r>
      <w:r>
        <w:rPr>
          <w:rFonts w:hint="eastAsia"/>
          <w:b w:val="0"/>
          <w:bCs w:val="0"/>
          <w:lang w:eastAsia="zh-CN"/>
        </w:rPr>
        <w:t>：</w:t>
      </w:r>
    </w:p>
    <w:p w14:paraId="40431A15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照护者</w:t>
      </w:r>
      <w:r>
        <w:rPr>
          <w:rFonts w:hint="eastAsia"/>
          <w:b w:val="0"/>
          <w:bCs w:val="0"/>
          <w:lang w:eastAsia="zh-CN"/>
        </w:rPr>
        <w:t>：</w:t>
      </w:r>
    </w:p>
    <w:p w14:paraId="06BFE3EF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医疗费用支付方式</w:t>
      </w:r>
      <w:r>
        <w:rPr>
          <w:rFonts w:hint="eastAsia"/>
          <w:b w:val="0"/>
          <w:bCs w:val="0"/>
          <w:lang w:eastAsia="zh-CN"/>
        </w:rPr>
        <w:t>：</w:t>
      </w:r>
    </w:p>
    <w:p w14:paraId="7B6E5F3D">
      <w:pPr>
        <w:spacing w:line="240" w:lineRule="auto"/>
        <w:rPr>
          <w:rFonts w:hint="eastAsia" w:ascii="Times New Roman" w:hAnsi="Times New Roman" w:eastAsia="宋体"/>
          <w:b/>
          <w:bCs/>
        </w:rPr>
      </w:pPr>
    </w:p>
    <w:p w14:paraId="751D0C7E">
      <w:pPr>
        <w:spacing w:line="240" w:lineRule="auto"/>
        <w:rPr>
          <w:rFonts w:hint="eastAsia" w:ascii="Times New Roman" w:hAnsi="Times New Roman" w:eastAsia="宋体"/>
          <w:b/>
          <w:bCs/>
        </w:rPr>
      </w:pPr>
    </w:p>
    <w:p w14:paraId="2FC1B215">
      <w:pPr>
        <w:spacing w:line="240" w:lineRule="auto"/>
        <w:rPr>
          <w:rFonts w:hint="eastAsia" w:ascii="Times New Roman" w:hAnsi="Times New Roman" w:eastAsia="宋体"/>
          <w:b/>
          <w:bCs/>
        </w:rPr>
      </w:pPr>
    </w:p>
    <w:p w14:paraId="6EA2E610">
      <w:pPr>
        <w:spacing w:line="240" w:lineRule="auto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B部分. 临床及治疗特征</w:t>
      </w:r>
    </w:p>
    <w:p w14:paraId="7B3363DB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诊断</w:t>
      </w:r>
      <w:r>
        <w:rPr>
          <w:rFonts w:hint="eastAsia"/>
          <w:b w:val="0"/>
          <w:bCs w:val="0"/>
          <w:lang w:eastAsia="zh-CN"/>
        </w:rPr>
        <w:t>：</w:t>
      </w:r>
    </w:p>
    <w:p w14:paraId="538F111A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癌症分期</w:t>
      </w:r>
      <w:r>
        <w:rPr>
          <w:rFonts w:hint="eastAsia"/>
          <w:b w:val="0"/>
          <w:bCs w:val="0"/>
          <w:lang w:eastAsia="zh-CN"/>
        </w:rPr>
        <w:t>：</w:t>
      </w:r>
    </w:p>
    <w:p w14:paraId="2217F97F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转移情况</w:t>
      </w:r>
      <w:r>
        <w:rPr>
          <w:rFonts w:hint="eastAsia"/>
          <w:b w:val="0"/>
          <w:bCs w:val="0"/>
          <w:lang w:eastAsia="zh-CN"/>
        </w:rPr>
        <w:t>：</w:t>
      </w:r>
    </w:p>
    <w:p w14:paraId="25CBA66E">
      <w:pPr>
        <w:spacing w:line="240" w:lineRule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合并症</w:t>
      </w:r>
      <w:r>
        <w:rPr>
          <w:rFonts w:hint="eastAsia"/>
          <w:b w:val="0"/>
          <w:bCs w:val="0"/>
          <w:lang w:val="en-US" w:eastAsia="zh-CN"/>
        </w:rPr>
        <w:t>:</w:t>
      </w:r>
    </w:p>
    <w:p w14:paraId="5AB64D1A">
      <w:pPr>
        <w:spacing w:line="240" w:lineRule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病程</w:t>
      </w:r>
      <w:r>
        <w:rPr>
          <w:rFonts w:hint="eastAsia"/>
          <w:b w:val="0"/>
          <w:bCs w:val="0"/>
          <w:lang w:val="en-US" w:eastAsia="zh-CN"/>
        </w:rPr>
        <w:t>;</w:t>
      </w:r>
    </w:p>
    <w:p w14:paraId="1659A975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化疗周期数</w:t>
      </w:r>
      <w:r>
        <w:rPr>
          <w:rFonts w:hint="eastAsia"/>
          <w:b w:val="0"/>
          <w:bCs w:val="0"/>
          <w:lang w:eastAsia="zh-CN"/>
        </w:rPr>
        <w:t>：</w:t>
      </w:r>
    </w:p>
    <w:p w14:paraId="4A6BF618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化疗方案</w:t>
      </w:r>
      <w:r>
        <w:rPr>
          <w:rFonts w:hint="eastAsia"/>
          <w:b w:val="0"/>
          <w:bCs w:val="0"/>
          <w:lang w:eastAsia="zh-CN"/>
        </w:rPr>
        <w:t>：</w:t>
      </w:r>
    </w:p>
    <w:p w14:paraId="0B21EE4F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手术史</w:t>
      </w:r>
      <w:r>
        <w:rPr>
          <w:rFonts w:hint="eastAsia"/>
          <w:b w:val="0"/>
          <w:bCs w:val="0"/>
          <w:lang w:eastAsia="zh-CN"/>
        </w:rPr>
        <w:t>：</w:t>
      </w:r>
    </w:p>
    <w:p w14:paraId="5FB26B8D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放疗史</w:t>
      </w:r>
      <w:r>
        <w:rPr>
          <w:rFonts w:hint="eastAsia"/>
          <w:b w:val="0"/>
          <w:bCs w:val="0"/>
          <w:lang w:eastAsia="zh-CN"/>
        </w:rPr>
        <w:t>：</w:t>
      </w:r>
    </w:p>
    <w:p w14:paraId="0A5982C8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是否造口</w:t>
      </w:r>
      <w:r>
        <w:rPr>
          <w:rFonts w:hint="eastAsia"/>
          <w:b w:val="0"/>
          <w:bCs w:val="0"/>
          <w:lang w:eastAsia="zh-CN"/>
        </w:rPr>
        <w:t>：</w:t>
      </w:r>
    </w:p>
    <w:p w14:paraId="13E27A3A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BMI</w:t>
      </w:r>
      <w:r>
        <w:rPr>
          <w:rFonts w:hint="eastAsia"/>
          <w:b w:val="0"/>
          <w:bCs w:val="0"/>
          <w:lang w:eastAsia="zh-CN"/>
        </w:rPr>
        <w:t>：</w:t>
      </w:r>
    </w:p>
    <w:p w14:paraId="36207E95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NRS 2002</w:t>
      </w:r>
      <w:r>
        <w:rPr>
          <w:rFonts w:hint="eastAsia"/>
          <w:b w:val="0"/>
          <w:bCs w:val="0"/>
          <w:lang w:eastAsia="zh-CN"/>
        </w:rPr>
        <w:t>：</w:t>
      </w:r>
    </w:p>
    <w:p w14:paraId="37B04B57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疼痛NRS</w:t>
      </w:r>
      <w:r>
        <w:rPr>
          <w:rFonts w:hint="eastAsia"/>
          <w:b w:val="0"/>
          <w:bCs w:val="0"/>
          <w:lang w:eastAsia="zh-CN"/>
        </w:rPr>
        <w:t>：</w:t>
      </w:r>
    </w:p>
    <w:p w14:paraId="037712CE">
      <w:pPr>
        <w:spacing w:line="240" w:lineRule="auto"/>
        <w:rPr>
          <w:rFonts w:hint="eastAsia" w:ascii="Times New Roman" w:hAnsi="Times New Roman" w:eastAsia="宋体"/>
          <w:b w:val="0"/>
          <w:bCs w:val="0"/>
          <w:lang w:eastAsia="zh-CN"/>
        </w:rPr>
      </w:pPr>
      <w:r>
        <w:rPr>
          <w:rFonts w:hint="eastAsia" w:ascii="Times New Roman" w:hAnsi="Times New Roman" w:eastAsia="宋体"/>
          <w:b w:val="0"/>
          <w:bCs w:val="0"/>
        </w:rPr>
        <w:t>ECOG</w:t>
      </w:r>
      <w:r>
        <w:rPr>
          <w:rFonts w:hint="eastAsia"/>
          <w:b w:val="0"/>
          <w:bCs w:val="0"/>
          <w:lang w:eastAsia="zh-CN"/>
        </w:rPr>
        <w:t>：</w:t>
      </w:r>
    </w:p>
    <w:p w14:paraId="455068B4">
      <w:pPr>
        <w:spacing w:line="240" w:lineRule="auto"/>
        <w:rPr>
          <w:rFonts w:hint="eastAsia" w:ascii="Times New Roman" w:hAnsi="Times New Roman" w:eastAsia="宋体"/>
          <w:b/>
          <w:bCs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6CAE66BC">
      <w:pPr>
        <w:spacing w:line="240" w:lineRule="auto"/>
        <w:rPr>
          <w:rFonts w:hint="eastAsia" w:ascii="Times New Roman" w:hAnsi="Times New Roman" w:eastAsia="宋体"/>
          <w:b/>
          <w:bCs/>
        </w:rPr>
      </w:pPr>
    </w:p>
    <w:p w14:paraId="22AFCDED">
      <w:pPr>
        <w:spacing w:line="240" w:lineRule="auto"/>
        <w:rPr>
          <w:rFonts w:ascii="Times New Roman" w:hAnsi="Times New Roman" w:eastAsia="宋体"/>
          <w:sz w:val="22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/>
          <w:bCs/>
        </w:rPr>
        <w:t xml:space="preserve">C部分. </w:t>
      </w:r>
      <w:bookmarkStart w:id="0" w:name="OLE_LINK3"/>
      <w:r>
        <w:rPr>
          <w:rFonts w:hint="eastAsia" w:ascii="Times New Roman" w:hAnsi="Times New Roman" w:eastAsia="宋体"/>
          <w:b/>
          <w:bCs/>
          <w:lang w:val="en-US" w:eastAsia="zh-CN"/>
        </w:rPr>
        <w:t>实验室指标：</w:t>
      </w:r>
    </w:p>
    <w:bookmarkEnd w:id="0"/>
    <w:p w14:paraId="588B07A9">
      <w:pPr>
        <w:spacing w:line="240" w:lineRule="auto"/>
        <w:rPr>
          <w:rFonts w:hint="default" w:ascii="Times New Roman" w:hAnsi="Times New Roman" w:eastAsia="宋体"/>
          <w:u w:val="single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氯离子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75462FD8">
      <w:pPr>
        <w:spacing w:line="240" w:lineRule="auto"/>
        <w:rPr>
          <w:rFonts w:hint="default" w:ascii="Times New Roman" w:hAnsi="Times New Roman" w:eastAsia="宋体"/>
          <w:u w:val="single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磷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6161CC9A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总蛋白 (g/L)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0CA3C7B0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白蛋白 (g/L)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7C4A67E7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钾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59B5FED3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钠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20505451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钙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3264735F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白细胞 (10¹²)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4F9E7A60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红细胞 (10¹²)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46EB9504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血红蛋白 (g/L)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6B9451BA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</w:p>
    <w:p w14:paraId="180760B0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血小板 (10⁹)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2A7E37B4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中性粒细胞 (10⁹)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0183F99F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淋巴细胞 (10⁹)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18E7B285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单核细胞 (10⁹)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7F56D6E6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肌酐 (µmol/L)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1B3E52C4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尿酸 (μmol/L)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0F7209FF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尿素 (mmol/L)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71BC4301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丙氨酸氨基转移酶 (U/L)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4D32CDC9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天冬氨酸氨基转移酶 (U/L)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124630B7">
      <w:pPr>
        <w:spacing w:line="240" w:lineRule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总胆红素 (µmol/L)</w:t>
      </w:r>
      <w:r>
        <w:rPr>
          <w:rFonts w:hint="eastAsia" w:ascii="Times New Roman" w:hAnsi="Times New Roman" w:eastAsia="宋体"/>
          <w:u w:val="single"/>
          <w:lang w:val="en-US" w:eastAsia="zh-CN"/>
        </w:rPr>
        <w:t xml:space="preserve">           </w:t>
      </w:r>
    </w:p>
    <w:p w14:paraId="592FDD13">
      <w:pPr>
        <w:widowControl/>
        <w:spacing w:line="240" w:lineRule="auto"/>
        <w:jc w:val="left"/>
        <w:rPr>
          <w:rFonts w:ascii="Times New Roman" w:hAnsi="Times New Roman" w:eastAsia="宋体"/>
          <w:b/>
          <w:bCs/>
          <w:sz w:val="22"/>
          <w:szCs w:val="28"/>
        </w:rPr>
      </w:pPr>
    </w:p>
    <w:p w14:paraId="0E836F4B">
      <w:pPr>
        <w:widowControl/>
        <w:spacing w:line="240" w:lineRule="auto"/>
        <w:jc w:val="left"/>
        <w:rPr>
          <w:rFonts w:ascii="Times New Roman" w:hAnsi="Times New Roman" w:eastAsia="宋体"/>
          <w:b/>
          <w:bCs/>
          <w:sz w:val="22"/>
          <w:szCs w:val="28"/>
        </w:rPr>
      </w:pPr>
    </w:p>
    <w:p w14:paraId="6A4CABEF">
      <w:pPr>
        <w:widowControl/>
        <w:spacing w:line="240" w:lineRule="auto"/>
        <w:jc w:val="left"/>
        <w:rPr>
          <w:rFonts w:ascii="Times New Roman" w:hAnsi="Times New Roman" w:eastAsia="宋体"/>
          <w:b/>
          <w:bCs/>
          <w:sz w:val="22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</w:p>
    <w:p w14:paraId="2CC9983E">
      <w:pPr>
        <w:spacing w:line="240" w:lineRule="auto"/>
        <w:jc w:val="center"/>
        <w:rPr>
          <w:rFonts w:ascii="Times New Roman" w:hAnsi="Times New Roman" w:eastAsia="宋体"/>
          <w:b/>
          <w:bCs/>
          <w:sz w:val="24"/>
          <w:szCs w:val="32"/>
        </w:rPr>
      </w:pPr>
      <w:r>
        <w:rPr>
          <w:rFonts w:hint="eastAsia" w:ascii="Times New Roman" w:hAnsi="Times New Roman" w:eastAsia="宋体"/>
          <w:b/>
          <w:bCs/>
          <w:sz w:val="24"/>
          <w:szCs w:val="32"/>
        </w:rPr>
        <w:t>匹兹堡睡眠质量指数量表</w:t>
      </w:r>
    </w:p>
    <w:p w14:paraId="22A7935A">
      <w:pPr>
        <w:spacing w:line="240" w:lineRule="auto"/>
        <w:rPr>
          <w:rFonts w:hint="eastAsia" w:ascii="Times New Roman" w:hAnsi="Times New Roman" w:eastAsia="宋体"/>
          <w:sz w:val="22"/>
          <w:szCs w:val="28"/>
        </w:rPr>
      </w:pPr>
      <w:r>
        <w:rPr>
          <w:rFonts w:hint="eastAsia" w:ascii="Times New Roman" w:hAnsi="Times New Roman" w:eastAsia="宋体"/>
          <w:sz w:val="22"/>
          <w:szCs w:val="28"/>
        </w:rPr>
        <w:t>PSQI是一种自评量表，用于评估过去一个月内的主观睡眠质量和睡眠障碍。该量表包含19个自评项目，这些项目被归纳为七个维度：主观睡眠质量、入睡潜伏期、睡眠时长、习惯性睡眠效率、睡眠障碍、安眠药使用情况以及日间功能障碍。每个分量表的评分范围为0至3分，将七个分量表的得分相加即可得出总分，总分范围为0至21分，分数越高表明睡眠质量越差。在本研究中，PSQI总分≥8分被用作识别当前睡眠障碍的标准。</w:t>
      </w:r>
    </w:p>
    <w:p w14:paraId="6FFFCCE9">
      <w:pPr>
        <w:spacing w:line="240" w:lineRule="auto"/>
        <w:rPr>
          <w:rFonts w:ascii="Times New Roman" w:hAnsi="Times New Roman" w:eastAsia="宋体"/>
          <w:b/>
          <w:bCs/>
          <w:sz w:val="22"/>
          <w:szCs w:val="28"/>
        </w:rPr>
      </w:pPr>
      <w:r>
        <w:rPr>
          <w:rFonts w:hint="eastAsia" w:ascii="Times New Roman" w:hAnsi="Times New Roman" w:eastAsia="宋体"/>
          <w:sz w:val="22"/>
          <w:szCs w:val="28"/>
        </w:rPr>
        <w:t>本研究采用的定义</w:t>
      </w:r>
      <w:r>
        <w:rPr>
          <w:rFonts w:hint="eastAsia"/>
          <w:sz w:val="22"/>
          <w:szCs w:val="28"/>
          <w:lang w:val="en-US" w:eastAsia="zh-CN"/>
        </w:rPr>
        <w:t xml:space="preserve">: </w:t>
      </w:r>
      <w:r>
        <w:rPr>
          <w:rFonts w:hint="eastAsia" w:ascii="Times New Roman" w:hAnsi="Times New Roman" w:eastAsia="宋体"/>
          <w:sz w:val="22"/>
          <w:szCs w:val="28"/>
        </w:rPr>
        <w:t>在本研究中，总PSQI得分≥8被用于识别当前的睡眠障碍。PSQI基于患者过去一个月内的睡眠体验，用于确定评估时点的睡眠障碍状况。</w:t>
      </w:r>
    </w:p>
    <w:p w14:paraId="1DE28B8B">
      <w:pPr>
        <w:widowControl/>
        <w:tabs>
          <w:tab w:val="left" w:pos="820"/>
        </w:tabs>
        <w:kinsoku w:val="0"/>
        <w:autoSpaceDE w:val="0"/>
        <w:autoSpaceDN w:val="0"/>
        <w:adjustRightInd w:val="0"/>
        <w:snapToGrid w:val="0"/>
        <w:spacing w:line="240" w:lineRule="auto"/>
        <w:ind w:firstLine="4436" w:firstLineChars="1700"/>
        <w:jc w:val="left"/>
        <w:textAlignment w:val="baseline"/>
        <w:rPr>
          <w:rFonts w:hint="eastAsia" w:ascii="Times New Roman" w:hAnsi="Times New Roman" w:eastAsia="宋体" w:cs="宋体"/>
          <w:b/>
          <w:bCs/>
          <w:snapToGrid w:val="0"/>
          <w:color w:val="000000"/>
          <w:spacing w:val="10"/>
          <w:kern w:val="0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A24DB0D">
      <w:pPr>
        <w:spacing w:line="240" w:lineRule="auto"/>
        <w:jc w:val="center"/>
        <w:rPr>
          <w:rFonts w:hint="eastAsia" w:ascii="Times New Roman" w:hAnsi="Times New Roman" w:eastAsia="宋体"/>
          <w:b/>
          <w:bCs/>
          <w:sz w:val="22"/>
          <w:szCs w:val="28"/>
        </w:rPr>
      </w:pPr>
      <w:r>
        <w:rPr>
          <w:rFonts w:hint="eastAsia" w:ascii="Times New Roman" w:hAnsi="Times New Roman" w:eastAsia="宋体"/>
          <w:b/>
          <w:bCs/>
          <w:sz w:val="22"/>
          <w:szCs w:val="28"/>
        </w:rPr>
        <w:t>2. 医院焦虑抑郁量表（HADS）</w:t>
      </w:r>
    </w:p>
    <w:p w14:paraId="3E9BBA94">
      <w:pPr>
        <w:spacing w:line="240" w:lineRule="auto"/>
        <w:rPr>
          <w:rFonts w:hint="eastAsia" w:ascii="Times New Roman" w:hAnsi="Times New Roman" w:eastAsia="宋体"/>
          <w:sz w:val="22"/>
          <w:szCs w:val="28"/>
        </w:rPr>
      </w:pPr>
      <w:r>
        <w:rPr>
          <w:rFonts w:hint="eastAsia" w:ascii="Times New Roman" w:hAnsi="Times New Roman" w:eastAsia="宋体"/>
          <w:sz w:val="22"/>
          <w:szCs w:val="28"/>
        </w:rPr>
        <w:t>HADS是一份包含14个条目的自评量表，旨在评估成人的焦虑和抑郁症状。它由两个各含7个条目的子量表组成：HADS-A用于评估焦虑，HADS-D用于评估抑郁。每个条目按0至3分的4分制进行评分，从而得出0至21分范围内的独立HADS-A和HADS-D得分。得分越高，分别表明焦虑和抑郁症状的程度越严重。在本研究中，HADS-A和HADS-D得分在统计分析中被视为连续变量。</w:t>
      </w:r>
    </w:p>
    <w:p w14:paraId="272501F4">
      <w:pPr>
        <w:spacing w:line="240" w:lineRule="auto"/>
        <w:jc w:val="center"/>
        <w:rPr>
          <w:rFonts w:hint="eastAsia" w:ascii="Times New Roman" w:hAnsi="Times New Roman" w:eastAsia="宋体"/>
          <w:b/>
          <w:bCs/>
          <w:sz w:val="28"/>
          <w:szCs w:val="36"/>
        </w:rPr>
      </w:pPr>
    </w:p>
    <w:p w14:paraId="48613A22">
      <w:pPr>
        <w:spacing w:line="240" w:lineRule="auto"/>
        <w:jc w:val="center"/>
        <w:rPr>
          <w:rFonts w:hint="eastAsia" w:ascii="Times New Roman" w:hAnsi="Times New Roman" w:eastAsia="宋体"/>
          <w:b/>
          <w:bCs/>
          <w:sz w:val="28"/>
          <w:szCs w:val="36"/>
        </w:rPr>
      </w:pPr>
      <w:r>
        <w:rPr>
          <w:rFonts w:hint="eastAsia" w:ascii="Times New Roman" w:hAnsi="Times New Roman" w:eastAsia="宋体"/>
          <w:b/>
          <w:bCs/>
          <w:sz w:val="28"/>
          <w:szCs w:val="36"/>
        </w:rPr>
        <w:t>Survey Number:</w:t>
      </w:r>
    </w:p>
    <w:p w14:paraId="6DDB5E96">
      <w:pPr>
        <w:spacing w:line="240" w:lineRule="auto"/>
        <w:rPr>
          <w:rFonts w:hint="eastAsia" w:ascii="Times New Roman" w:hAnsi="Times New Roman" w:eastAsia="宋体"/>
          <w:b/>
          <w:bCs/>
          <w:sz w:val="22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B6476DD">
      <w:pPr>
        <w:spacing w:line="240" w:lineRule="auto"/>
        <w:jc w:val="left"/>
        <w:rPr>
          <w:rFonts w:hint="eastAsia" w:ascii="Times New Roman" w:hAnsi="Times New Roman" w:eastAsia="宋体"/>
          <w:b/>
          <w:bCs/>
          <w:sz w:val="22"/>
          <w:szCs w:val="28"/>
        </w:rPr>
      </w:pPr>
      <w:r>
        <w:rPr>
          <w:rFonts w:hint="eastAsia" w:ascii="Times New Roman" w:hAnsi="Times New Roman" w:eastAsia="宋体"/>
          <w:b/>
          <w:bCs/>
          <w:sz w:val="22"/>
          <w:szCs w:val="28"/>
        </w:rPr>
        <w:t>Part A.</w:t>
      </w:r>
      <w:r>
        <w:rPr>
          <w:rFonts w:hint="eastAsia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/>
          <w:bCs/>
          <w:sz w:val="22"/>
          <w:szCs w:val="28"/>
        </w:rPr>
        <w:t>Sociodemographic Characteristics</w:t>
      </w:r>
    </w:p>
    <w:p w14:paraId="56E7FED9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Gender:</w:t>
      </w:r>
    </w:p>
    <w:p w14:paraId="76562F05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Age:</w:t>
      </w:r>
    </w:p>
    <w:p w14:paraId="63CC6337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Marital Status:</w:t>
      </w:r>
    </w:p>
    <w:p w14:paraId="2AFBEB1B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Educational Level:</w:t>
      </w:r>
    </w:p>
    <w:p w14:paraId="2EC96B83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Religious Affiliation:</w:t>
      </w:r>
    </w:p>
    <w:p w14:paraId="5154D45E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Household Income:</w:t>
      </w:r>
    </w:p>
    <w:p w14:paraId="3173A409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Employment Status:</w:t>
      </w:r>
    </w:p>
    <w:p w14:paraId="62FC59E5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Place of Residence:</w:t>
      </w:r>
    </w:p>
    <w:p w14:paraId="0EB9C6BD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Number of Children:</w:t>
      </w:r>
    </w:p>
    <w:p w14:paraId="2B941265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Caregiver:</w:t>
      </w:r>
    </w:p>
    <w:p w14:paraId="0E99D176">
      <w:pPr>
        <w:spacing w:line="240" w:lineRule="auto"/>
        <w:jc w:val="left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Method of Payment for Medical Expenses:</w:t>
      </w:r>
    </w:p>
    <w:p w14:paraId="7163DA26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</w:p>
    <w:p w14:paraId="09B68BC1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</w:p>
    <w:p w14:paraId="0366E03D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</w:p>
    <w:p w14:paraId="20709FC3">
      <w:pPr>
        <w:spacing w:line="240" w:lineRule="auto"/>
        <w:jc w:val="left"/>
        <w:rPr>
          <w:rFonts w:hint="eastAsia" w:ascii="Times New Roman" w:hAnsi="Times New Roman" w:eastAsia="宋体"/>
          <w:b/>
          <w:bCs/>
          <w:sz w:val="22"/>
          <w:szCs w:val="28"/>
        </w:rPr>
      </w:pPr>
      <w:r>
        <w:rPr>
          <w:rFonts w:hint="eastAsia" w:ascii="Times New Roman" w:hAnsi="Times New Roman" w:eastAsia="宋体"/>
          <w:b/>
          <w:bCs/>
          <w:sz w:val="22"/>
          <w:szCs w:val="28"/>
        </w:rPr>
        <w:t>Part B. Clinical and Treatment Characteristics</w:t>
      </w:r>
    </w:p>
    <w:p w14:paraId="11582EEC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Diagnosis:</w:t>
      </w:r>
    </w:p>
    <w:p w14:paraId="65BA2CA4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Cancer Stage:</w:t>
      </w:r>
    </w:p>
    <w:p w14:paraId="74780BDA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Metastasis:</w:t>
      </w:r>
    </w:p>
    <w:p w14:paraId="7F63FF7C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Comorbidities:</w:t>
      </w:r>
    </w:p>
    <w:p w14:paraId="1E3EF337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Duration of Illness:</w:t>
      </w:r>
    </w:p>
    <w:p w14:paraId="2F88DC77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Number of Chemotherapy Cycles:</w:t>
      </w:r>
    </w:p>
    <w:p w14:paraId="79F579AE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Chemotherapy Regimen:</w:t>
      </w:r>
    </w:p>
    <w:p w14:paraId="4CD228AF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Surgical History:</w:t>
      </w:r>
    </w:p>
    <w:p w14:paraId="734FD7D2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Radiation Therapy History:</w:t>
      </w:r>
    </w:p>
    <w:p w14:paraId="4B2592E4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Stoma:</w:t>
      </w:r>
    </w:p>
    <w:p w14:paraId="6F87C761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BMI:</w:t>
      </w:r>
    </w:p>
    <w:p w14:paraId="7183BC8A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NRS 2002:</w:t>
      </w:r>
    </w:p>
    <w:p w14:paraId="7D2CF8A2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Pain NRS:</w:t>
      </w:r>
    </w:p>
    <w:p w14:paraId="56A09ABF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ECOG:</w:t>
      </w:r>
    </w:p>
    <w:p w14:paraId="7D596089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17529ED3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2"/>
          <w:szCs w:val="28"/>
        </w:rPr>
        <w:t xml:space="preserve">Part </w:t>
      </w:r>
      <w:r>
        <w:rPr>
          <w:rFonts w:hint="eastAsia"/>
          <w:b/>
          <w:bCs/>
          <w:sz w:val="22"/>
          <w:szCs w:val="28"/>
          <w:lang w:val="en-US" w:eastAsia="zh-CN"/>
        </w:rPr>
        <w:t>C</w:t>
      </w:r>
      <w:r>
        <w:rPr>
          <w:rFonts w:hint="eastAsia" w:ascii="Times New Roman" w:hAnsi="Times New Roman" w:eastAsia="宋体"/>
          <w:b/>
          <w:bCs/>
          <w:sz w:val="22"/>
          <w:szCs w:val="28"/>
        </w:rPr>
        <w:t>.</w:t>
      </w:r>
      <w:r>
        <w:rPr>
          <w:rFonts w:hint="eastAsia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Laboratory Metrics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eastAsia="zh-CN"/>
        </w:rPr>
        <w:t>：</w:t>
      </w:r>
    </w:p>
    <w:p w14:paraId="7AB29983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Chloride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Platelets (10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8"/>
        </w:rPr>
        <w:t>⁹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</w:p>
    <w:p w14:paraId="2965A7AE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Phosphorus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Platelets (10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8"/>
        </w:rPr>
        <w:t>⁹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</w:t>
      </w:r>
    </w:p>
    <w:p w14:paraId="656C5F15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Total Protein (g/L)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Neutrophils (10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8"/>
        </w:rPr>
        <w:t>⁹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</w:p>
    <w:p w14:paraId="782B0077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Albumin (g/L)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Lymphocytes (10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8"/>
        </w:rPr>
        <w:t>⁹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</w:p>
    <w:p w14:paraId="63EC4634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Potassium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Monocytes (10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8"/>
        </w:rPr>
        <w:t>⁹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</w:t>
      </w:r>
    </w:p>
    <w:p w14:paraId="64D4140C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Sodium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Creatinine (µmol/L)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</w:t>
      </w:r>
    </w:p>
    <w:p w14:paraId="19436978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Calcium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Uric acid (µmol/L)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</w:t>
      </w:r>
    </w:p>
    <w:p w14:paraId="4A247179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White Blood Cells (10</w:t>
      </w:r>
      <w:r>
        <w:rPr>
          <w:rFonts w:hint="eastAsia" w:ascii="Times New Roman" w:hAnsi="Times New Roman"/>
          <w:b w:val="0"/>
          <w:bCs w:val="0"/>
          <w:sz w:val="22"/>
          <w:szCs w:val="28"/>
          <w:vertAlign w:val="superscript"/>
          <w:lang w:val="en-US" w:eastAsia="zh-CN"/>
        </w:rPr>
        <w:t>12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Urea (mmol/L)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 </w:t>
      </w:r>
    </w:p>
    <w:p w14:paraId="7385EF8F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Red Blood Cells (10</w:t>
      </w:r>
      <w:r>
        <w:rPr>
          <w:rFonts w:hint="eastAsia" w:ascii="Times New Roman" w:hAnsi="Times New Roman"/>
          <w:b w:val="0"/>
          <w:bCs w:val="0"/>
          <w:sz w:val="22"/>
          <w:szCs w:val="28"/>
          <w:vertAlign w:val="superscript"/>
          <w:lang w:val="en-US" w:eastAsia="zh-CN"/>
        </w:rPr>
        <w:t>12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Alanine aminotransferase (U/L)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  </w:t>
      </w:r>
    </w:p>
    <w:p w14:paraId="48B97D73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Hemoglobin (g/L)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 xml:space="preserve">   </w:t>
      </w:r>
      <w:r>
        <w:rPr>
          <w:rFonts w:hint="eastAsia" w:ascii="Times New Roman" w:hAnsi="Times New Roman"/>
          <w:b w:val="0"/>
          <w:bCs w:val="0"/>
          <w:sz w:val="22"/>
          <w:szCs w:val="28"/>
          <w:lang w:val="en-US" w:eastAsia="zh-CN"/>
        </w:rPr>
        <w:t xml:space="preserve">          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Aspartate aminotransferase (U/L)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</w:p>
    <w:p w14:paraId="0855A472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 w:val="22"/>
          <w:szCs w:val="28"/>
        </w:rPr>
        <w:t>Total bilirubin (µmol/L)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  <w:t xml:space="preserve">                 </w:t>
      </w:r>
    </w:p>
    <w:p w14:paraId="342B86F7">
      <w:pPr>
        <w:spacing w:line="240" w:lineRule="auto"/>
        <w:rPr>
          <w:rFonts w:hint="eastAsia" w:ascii="Times New Roman" w:hAnsi="Times New Roman" w:eastAsia="宋体"/>
          <w:b w:val="0"/>
          <w:bCs w:val="0"/>
          <w:sz w:val="22"/>
          <w:szCs w:val="28"/>
          <w:u w:val="single"/>
          <w:lang w:val="en-US" w:eastAsia="zh-CN"/>
        </w:rPr>
      </w:pPr>
    </w:p>
    <w:p w14:paraId="795956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left"/>
        <w:textAlignment w:val="auto"/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2"/>
        </w:rPr>
        <w:t>Pittsburgh Sleep Quality Index (PSQI)</w:t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br w:type="textWrapping"/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>The Pittsburgh Sleep Quality Index (PSQI) is a self-reported instrument used to assess subjective sleep quality and sleep disturbances over the preceding one-month period. It consists of 19 self-rated items that are combined into seven components: subjective sleep quality, sleep latency, sleep duration, habitual sleep efficiency, sleep disturbances, use of sleeping medication, and daytime dysfunction. Each component is scored from 0 to 3, and the seven component scores are summed to generate a global score ranging from 0 to 21, with higher scores indicating poorer sleep quality. In the present study, a global PSQI score of ≥8 was used to identify current sleep disturbance.</w:t>
      </w:r>
    </w:p>
    <w:p w14:paraId="5D393D6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left"/>
        <w:textAlignment w:val="auto"/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</w:pPr>
    </w:p>
    <w:p w14:paraId="1ED3044F">
      <w:pPr>
        <w:spacing w:line="240" w:lineRule="auto"/>
        <w:jc w:val="left"/>
        <w:rPr>
          <w:rFonts w:hint="eastAsia" w:ascii="Times New Roman" w:hAnsi="Times New Roman" w:eastAsia="宋体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eastAsia="宋体" w:cstheme="minorBidi"/>
          <w:b/>
          <w:bCs/>
          <w:kern w:val="0"/>
          <w:sz w:val="24"/>
          <w:szCs w:val="22"/>
          <w:lang w:val="en-US" w:eastAsia="zh-CN" w:bidi="ar"/>
        </w:rPr>
        <w:t>Hospital Anxiety and Depression Scale (HADS)</w:t>
      </w:r>
      <w:r>
        <w:rPr>
          <w:rFonts w:hint="eastAsia" w:ascii="Times New Roman" w:hAnsi="Times New Roman" w:eastAsia="宋体"/>
          <w:b/>
          <w:bCs/>
          <w:sz w:val="22"/>
          <w:szCs w:val="28"/>
          <w:lang w:val="en-US" w:eastAsia="zh-CN"/>
        </w:rPr>
        <w:br w:type="textWrapping"/>
      </w:r>
      <w:r>
        <w:rPr>
          <w:rFonts w:hint="eastAsia" w:ascii="Times New Roman" w:hAnsi="Times New Roman" w:eastAsia="宋体"/>
          <w:b w:val="0"/>
          <w:bCs w:val="0"/>
          <w:sz w:val="22"/>
          <w:szCs w:val="28"/>
          <w:lang w:val="en-US" w:eastAsia="zh-CN"/>
        </w:rPr>
        <w:t>The Hospital Anxiety and Depression Scale (HADS) is a 14-item self-reported instrument designed to assess symptoms of anxiety and depression in adults. It comprises two seven-item subscales: HADS-A for anxiety and HADS-D for depression. Each item is rated on a 4-point scale from 0 to 3, resulting in separate HADS-A and HADS-D scores ranging from 0 to 21. Higher scores indicate greater levels of anxiety and depressive symptoms, respectively. In the present study, HADS-A and HADS-D scores were treated as continuous variables in the statistical analyses.</w:t>
      </w:r>
    </w:p>
    <w:p w14:paraId="0B55F2F2">
      <w:pPr>
        <w:spacing w:line="240" w:lineRule="auto"/>
        <w:jc w:val="left"/>
        <w:rPr>
          <w:rFonts w:hint="eastAsia" w:ascii="Times New Roman" w:hAnsi="Times New Roman" w:eastAsia="宋体"/>
          <w:b/>
          <w:bCs/>
          <w:sz w:val="22"/>
          <w:szCs w:val="28"/>
          <w:lang w:val="en-US" w:eastAsia="zh-CN"/>
        </w:rPr>
      </w:pPr>
    </w:p>
    <w:p w14:paraId="7440F3F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2"/>
          <w:szCs w:val="22"/>
        </w:rPr>
        <w:t xml:space="preserve">Supplementary Material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General information on patients undergoing chemotherapy for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CRC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cancer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</w:rPr>
        <w:t>N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=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630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)</w:t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5"/>
        <w:gridCol w:w="3412"/>
        <w:gridCol w:w="1563"/>
      </w:tblGrid>
      <w:tr w14:paraId="2D7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911F56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Variables</w:t>
            </w:r>
          </w:p>
        </w:tc>
        <w:tc>
          <w:tcPr>
            <w:tcW w:w="34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DC501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BFA53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%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)</w:t>
            </w:r>
          </w:p>
        </w:tc>
      </w:tr>
      <w:tr w14:paraId="2E641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4821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Gender</w:t>
            </w:r>
          </w:p>
        </w:tc>
        <w:tc>
          <w:tcPr>
            <w:tcW w:w="34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DD02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Male</w:t>
            </w:r>
          </w:p>
        </w:tc>
        <w:tc>
          <w:tcPr>
            <w:tcW w:w="15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EDA1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409 (64.9)</w:t>
            </w:r>
          </w:p>
        </w:tc>
      </w:tr>
      <w:tr w14:paraId="4BF6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4097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B186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Female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A1C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221 (35.1)</w:t>
            </w:r>
          </w:p>
        </w:tc>
      </w:tr>
      <w:tr w14:paraId="5ADB0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EA27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Marital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tatus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6237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Married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E5FE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593 (93.8)</w:t>
            </w:r>
          </w:p>
        </w:tc>
      </w:tr>
      <w:tr w14:paraId="6494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5160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B6BF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Unmarried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Divorce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idowed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6196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37(5.7)</w:t>
            </w:r>
          </w:p>
        </w:tc>
      </w:tr>
      <w:tr w14:paraId="562DC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D123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Educational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evel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98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Primary school or below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4E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 (28.7)</w:t>
            </w:r>
          </w:p>
        </w:tc>
      </w:tr>
      <w:tr w14:paraId="6126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A5FD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4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Middle school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17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 (35.2)</w:t>
            </w:r>
          </w:p>
        </w:tc>
      </w:tr>
      <w:tr w14:paraId="4D16E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4A75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D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school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2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 (17.5)</w:t>
            </w:r>
          </w:p>
        </w:tc>
      </w:tr>
      <w:tr w14:paraId="1042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4FAD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D9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and above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C5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 (18.6)</w:t>
            </w:r>
          </w:p>
        </w:tc>
      </w:tr>
      <w:tr w14:paraId="46C5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F4C9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Religious belief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F0D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8415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34 (5.4)</w:t>
            </w:r>
          </w:p>
        </w:tc>
      </w:tr>
      <w:tr w14:paraId="23F2C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107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50F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D738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596 (94.6)</w:t>
            </w:r>
          </w:p>
        </w:tc>
      </w:tr>
      <w:tr w14:paraId="3D23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9CF7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Average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onthly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ousehold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ncome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er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apita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（CNY）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58CC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&lt; 1000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B546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46 (7.3)</w:t>
            </w:r>
          </w:p>
        </w:tc>
      </w:tr>
      <w:tr w14:paraId="2F827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C5C5F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DC6A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1001~3000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27A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187 (29.7)</w:t>
            </w:r>
          </w:p>
        </w:tc>
      </w:tr>
      <w:tr w14:paraId="0B3EB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6A14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A992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3001~5000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7A87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182 (28.9)</w:t>
            </w:r>
          </w:p>
        </w:tc>
      </w:tr>
      <w:tr w14:paraId="3DB7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8DE02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D8BE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&gt; 5000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DF12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215 (34.1)</w:t>
            </w:r>
          </w:p>
        </w:tc>
      </w:tr>
      <w:tr w14:paraId="61DC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1FA8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Employment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tatus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94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Employed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02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 (13.3)</w:t>
            </w:r>
          </w:p>
        </w:tc>
      </w:tr>
      <w:tr w14:paraId="2B16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C564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84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Unemployed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4C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 (37.8)</w:t>
            </w:r>
          </w:p>
        </w:tc>
      </w:tr>
      <w:tr w14:paraId="74B14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E4E1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4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Farmer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1E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39 (6.2)</w:t>
            </w:r>
          </w:p>
        </w:tc>
      </w:tr>
      <w:tr w14:paraId="3950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8F4C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62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Retired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A3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 (42.7)</w:t>
            </w:r>
          </w:p>
        </w:tc>
      </w:tr>
      <w:tr w14:paraId="5772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C099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Caregivers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2B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45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 (16.5)</w:t>
            </w:r>
          </w:p>
        </w:tc>
      </w:tr>
      <w:tr w14:paraId="4E73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326D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A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Spouse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2B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382 (60.6)</w:t>
            </w:r>
          </w:p>
        </w:tc>
      </w:tr>
      <w:tr w14:paraId="792C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4010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49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Children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Parents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Siblings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D1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 (22.9)</w:t>
            </w:r>
          </w:p>
        </w:tc>
      </w:tr>
      <w:tr w14:paraId="7F01C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8E84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Residence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B4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City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B2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 (64.3)</w:t>
            </w:r>
          </w:p>
        </w:tc>
      </w:tr>
      <w:tr w14:paraId="7272F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C271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E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Towns or rural areas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C2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 (35.7)</w:t>
            </w:r>
          </w:p>
        </w:tc>
      </w:tr>
      <w:tr w14:paraId="65F1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2A54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Number of children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8D6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None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BA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 (2.4)</w:t>
            </w:r>
          </w:p>
        </w:tc>
      </w:tr>
      <w:tr w14:paraId="66E0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70CA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54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6E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370 (58.7)</w:t>
            </w:r>
          </w:p>
        </w:tc>
      </w:tr>
      <w:tr w14:paraId="68EC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EE7D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F2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Two or more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1E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245 (38.9)</w:t>
            </w:r>
          </w:p>
        </w:tc>
      </w:tr>
      <w:tr w14:paraId="66345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DABD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Payment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ethod for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edical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xpenses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2E0C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Self-payment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93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 (1.8)</w:t>
            </w:r>
          </w:p>
        </w:tc>
      </w:tr>
      <w:tr w14:paraId="3E43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6D39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0449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NRCMS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D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203 (32.2)</w:t>
            </w:r>
          </w:p>
        </w:tc>
      </w:tr>
      <w:tr w14:paraId="0ADE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9B3C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F70D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URBMI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8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 (14.3)</w:t>
            </w:r>
          </w:p>
        </w:tc>
      </w:tr>
      <w:tr w14:paraId="1524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B0C2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7BAA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UEBMI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1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326 (51.7)</w:t>
            </w:r>
          </w:p>
        </w:tc>
      </w:tr>
      <w:tr w14:paraId="5EBD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26BB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Presence of stoma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23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89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 (12.2)</w:t>
            </w:r>
          </w:p>
        </w:tc>
      </w:tr>
      <w:tr w14:paraId="13C17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CBF1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93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9E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 (87.8)</w:t>
            </w:r>
          </w:p>
        </w:tc>
      </w:tr>
      <w:tr w14:paraId="66FC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F5C38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Diagnosis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41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Colon cancer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15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 (53.7)</w:t>
            </w:r>
          </w:p>
        </w:tc>
      </w:tr>
      <w:tr w14:paraId="1D74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881F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55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Rectal cancer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2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 (46.3)</w:t>
            </w:r>
          </w:p>
        </w:tc>
      </w:tr>
      <w:tr w14:paraId="0263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9130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umour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etastasis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BB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6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 (75.6)</w:t>
            </w:r>
          </w:p>
        </w:tc>
      </w:tr>
      <w:tr w14:paraId="6336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4352F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F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4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 (24.4)</w:t>
            </w:r>
          </w:p>
        </w:tc>
      </w:tr>
      <w:tr w14:paraId="2C8DF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28AA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History of radiotherapy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27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3F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 (14.9)</w:t>
            </w:r>
          </w:p>
        </w:tc>
      </w:tr>
      <w:tr w14:paraId="75D0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81BF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DA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92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536 (85.1)</w:t>
            </w:r>
          </w:p>
        </w:tc>
      </w:tr>
      <w:tr w14:paraId="3FFA1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CC35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2"/>
                <w:szCs w:val="22"/>
                <w:lang w:val="en-US" w:eastAsia="zh-CN"/>
              </w:rPr>
              <w:t>History of surgery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29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F8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 (68.7)</w:t>
            </w:r>
          </w:p>
        </w:tc>
      </w:tr>
      <w:tr w14:paraId="3FDD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C0A5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24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8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 (31.3)</w:t>
            </w:r>
          </w:p>
        </w:tc>
      </w:tr>
      <w:tr w14:paraId="2D5B7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CDDC6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Disease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uration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CD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0.5 year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FB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275 (43.7)</w:t>
            </w:r>
          </w:p>
        </w:tc>
      </w:tr>
      <w:tr w14:paraId="4317A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8D92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84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&gt;</w:t>
            </w:r>
            <w:r>
              <w:rPr>
                <w:rFonts w:hint="eastAsia" w:ascii="Times New Roman" w:hAnsi="Times New Roman" w:cs="Times New Roman"/>
                <w:b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0.5 to 1 year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1B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171 (27.1)</w:t>
            </w:r>
          </w:p>
        </w:tc>
      </w:tr>
      <w:tr w14:paraId="009D3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EA308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6A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&gt; 1 year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B0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184 (29.2)</w:t>
            </w:r>
          </w:p>
        </w:tc>
      </w:tr>
      <w:tr w14:paraId="1840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BA085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Chronic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omorbidities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46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39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222 (35.2)</w:t>
            </w:r>
          </w:p>
        </w:tc>
      </w:tr>
      <w:tr w14:paraId="5888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3F5F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86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D4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408 (64.8)</w:t>
            </w:r>
          </w:p>
        </w:tc>
      </w:tr>
      <w:tr w14:paraId="48F2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E42B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Cancer stage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03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Ⅰ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Ⅱ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0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 (14.4)</w:t>
            </w:r>
          </w:p>
        </w:tc>
      </w:tr>
      <w:tr w14:paraId="2DC9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3236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C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Ⅲ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7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173 (27.5)</w:t>
            </w:r>
          </w:p>
        </w:tc>
      </w:tr>
      <w:tr w14:paraId="21FE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CD6F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6E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Ⅳ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B0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366 (58.1)</w:t>
            </w:r>
          </w:p>
        </w:tc>
      </w:tr>
      <w:tr w14:paraId="0F5EF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2F99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Nutritional risk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E3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1A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198 (31.4)</w:t>
            </w:r>
          </w:p>
        </w:tc>
      </w:tr>
      <w:tr w14:paraId="0F0E9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3583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D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2F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432 (68.6)</w:t>
            </w:r>
          </w:p>
        </w:tc>
      </w:tr>
      <w:tr w14:paraId="2BD07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C74D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Round of chemotherapy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7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1~4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D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340 (54.0)</w:t>
            </w:r>
          </w:p>
        </w:tc>
      </w:tr>
      <w:tr w14:paraId="0E758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8E8E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4C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5~8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A7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190 (30.2)</w:t>
            </w:r>
          </w:p>
        </w:tc>
      </w:tr>
      <w:tr w14:paraId="1C05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F77A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FE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03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 (15.9)</w:t>
            </w:r>
          </w:p>
        </w:tc>
      </w:tr>
      <w:tr w14:paraId="003D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2C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54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宋体" w:cs="宋体"/>
                <w:bCs w:val="0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宋体" w:cs="宋体"/>
                <w:bCs w:val="0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75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）/ 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object>
                <v:shape id="_x0000_i1025" o:spt="75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5">
                  <o:LockedField>false</o:LockedField>
                </o:OLEObject>
              </w:object>
            </w:r>
          </w:p>
        </w:tc>
      </w:tr>
      <w:tr w14:paraId="0AFEF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02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82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59.00 (53.00,67.00)</w:t>
            </w:r>
          </w:p>
        </w:tc>
      </w:tr>
      <w:tr w14:paraId="082C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86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0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22.24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</w:tr>
      <w:tr w14:paraId="4576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D4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NRS 2002 score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49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 (1, 3)</w:t>
            </w:r>
          </w:p>
        </w:tc>
      </w:tr>
      <w:tr w14:paraId="1B5F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2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NRS score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65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 (0,1)</w:t>
            </w:r>
          </w:p>
        </w:tc>
      </w:tr>
      <w:tr w14:paraId="662D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96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ECOG score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30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 (1,2)</w:t>
            </w:r>
          </w:p>
        </w:tc>
      </w:tr>
      <w:tr w14:paraId="4E9D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C1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HADS-A score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3C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 (3,10)</w:t>
            </w:r>
          </w:p>
        </w:tc>
      </w:tr>
      <w:tr w14:paraId="2A2E3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28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HADS-D score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22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 (4,11)</w:t>
            </w:r>
          </w:p>
        </w:tc>
      </w:tr>
      <w:tr w14:paraId="199F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24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Chloride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 xml:space="preserve"> (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  <w:t>mmol/L</w:t>
            </w: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9F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105.20 (103.40,107.20)</w:t>
            </w:r>
          </w:p>
        </w:tc>
      </w:tr>
      <w:tr w14:paraId="50C2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3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Phosphorus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mmol/L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71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0.22</w:t>
            </w:r>
          </w:p>
        </w:tc>
      </w:tr>
      <w:tr w14:paraId="59FD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07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Total Protein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g/L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C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40.58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5.41</w:t>
            </w:r>
          </w:p>
        </w:tc>
      </w:tr>
      <w:tr w14:paraId="6491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73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Albumin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g/L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49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69.57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7.91</w:t>
            </w:r>
          </w:p>
        </w:tc>
      </w:tr>
      <w:tr w14:paraId="424F3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9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 xml:space="preserve">Potassium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mmol/L)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98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3.99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0.399</w:t>
            </w:r>
          </w:p>
        </w:tc>
      </w:tr>
      <w:tr w14:paraId="16DE7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C6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 xml:space="preserve">Sodium (mmol/L) 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26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139.40 (137.70, 141.00)</w:t>
            </w:r>
          </w:p>
        </w:tc>
      </w:tr>
      <w:tr w14:paraId="32BB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4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Calcium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mmol/L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F3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2.25 (2.14, 2.33)</w:t>
            </w:r>
          </w:p>
        </w:tc>
      </w:tr>
      <w:tr w14:paraId="3076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71582">
            <w:pPr>
              <w:spacing w:line="240" w:lineRule="auto"/>
              <w:jc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 xml:space="preserve">White blood cell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0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4.84 (3.73, 6.36)</w:t>
            </w:r>
          </w:p>
        </w:tc>
      </w:tr>
      <w:tr w14:paraId="17C6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6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>Red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 xml:space="preserve"> blood cell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10</w:t>
            </w:r>
            <w:r>
              <w:rPr>
                <w:rFonts w:hint="eastAsia" w:ascii="Times New Roman" w:hAnsi="Times New Roman" w:eastAsia="宋体" w:cs="Times New Roman PS MT"/>
                <w:b w:val="0"/>
                <w:bCs w:val="0"/>
                <w:color w:val="000000"/>
                <w:sz w:val="22"/>
                <w:szCs w:val="22"/>
                <w:highlight w:val="none"/>
                <w:vertAlign w:val="superscript"/>
                <w:lang w:val="en-US" w:eastAsia="zh-CN"/>
              </w:rPr>
              <w:t>12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A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3.91 (3.48, 4.30)</w:t>
            </w:r>
          </w:p>
        </w:tc>
      </w:tr>
      <w:tr w14:paraId="4636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ACFC3">
            <w:pPr>
              <w:spacing w:line="240" w:lineRule="auto"/>
              <w:jc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Hemoglobin (g/L)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2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119.00 (106.00, 132.00)</w:t>
            </w:r>
          </w:p>
        </w:tc>
      </w:tr>
      <w:tr w14:paraId="2CD8C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7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Platelet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10</w:t>
            </w:r>
            <w:r>
              <w:rPr>
                <w:rFonts w:hint="eastAsia" w:ascii="Times New Roman" w:hAnsi="Times New Roman" w:eastAsia="宋体" w:cs="Times New Roman PS MT"/>
                <w:b w:val="0"/>
                <w:bCs w:val="0"/>
                <w:color w:val="000000"/>
                <w:sz w:val="22"/>
                <w:szCs w:val="22"/>
                <w:highlight w:val="none"/>
                <w:vertAlign w:val="superscript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3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157.50 (119.00, 213.00)</w:t>
            </w:r>
          </w:p>
        </w:tc>
      </w:tr>
      <w:tr w14:paraId="353D7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AB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Neutrophil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10</w:t>
            </w:r>
            <w:r>
              <w:rPr>
                <w:rFonts w:hint="eastAsia" w:ascii="Times New Roman" w:hAnsi="Times New Roman" w:eastAsia="宋体" w:cs="Times New Roman PS MT"/>
                <w:b w:val="0"/>
                <w:bCs w:val="0"/>
                <w:color w:val="000000"/>
                <w:sz w:val="22"/>
                <w:szCs w:val="22"/>
                <w:highlight w:val="none"/>
                <w:vertAlign w:val="superscript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2C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3.10 (2.13, 4.52)</w:t>
            </w:r>
          </w:p>
        </w:tc>
      </w:tr>
      <w:tr w14:paraId="02498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EC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Lymphocyte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10</w:t>
            </w:r>
            <w:r>
              <w:rPr>
                <w:rFonts w:hint="eastAsia" w:ascii="Times New Roman" w:hAnsi="Times New Roman" w:eastAsia="宋体" w:cs="Times New Roman PS MT"/>
                <w:b w:val="0"/>
                <w:bCs w:val="0"/>
                <w:color w:val="000000"/>
                <w:sz w:val="22"/>
                <w:szCs w:val="22"/>
                <w:highlight w:val="none"/>
                <w:vertAlign w:val="superscript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37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 (0.82, 1.48)</w:t>
            </w:r>
          </w:p>
        </w:tc>
      </w:tr>
      <w:tr w14:paraId="76496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80E03">
            <w:pPr>
              <w:spacing w:line="240" w:lineRule="auto"/>
              <w:jc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Monocyte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10</w:t>
            </w:r>
            <w:r>
              <w:rPr>
                <w:rFonts w:hint="eastAsia" w:ascii="Times New Roman" w:hAnsi="Times New Roman" w:eastAsia="宋体" w:cs="Times New Roman PS MT"/>
                <w:b w:val="0"/>
                <w:bCs w:val="0"/>
                <w:color w:val="000000"/>
                <w:sz w:val="22"/>
                <w:szCs w:val="22"/>
                <w:highlight w:val="none"/>
                <w:vertAlign w:val="superscript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6E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0.42 (0.33, 0.58)</w:t>
            </w:r>
          </w:p>
        </w:tc>
      </w:tr>
      <w:tr w14:paraId="59A13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7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 xml:space="preserve">Creatinine 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>(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µmol/L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6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66.50 (56.00, 79.00)</w:t>
            </w:r>
          </w:p>
        </w:tc>
      </w:tr>
      <w:tr w14:paraId="636A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B2C0C">
            <w:pPr>
              <w:spacing w:line="240" w:lineRule="auto"/>
              <w:jc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Uric acid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μmol/L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82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310.00 (256.00, 368.25)</w:t>
            </w:r>
          </w:p>
        </w:tc>
      </w:tr>
      <w:tr w14:paraId="2A24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4F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Urea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ascii="Times New Roman" w:hAnsi="Times New Roman" w:eastAsia="Times New Roman PS MT" w:cs="Times New Roman PS MT"/>
                <w:b w:val="0"/>
                <w:bCs w:val="0"/>
                <w:color w:val="000000"/>
                <w:sz w:val="22"/>
                <w:szCs w:val="22"/>
                <w:highlight w:val="none"/>
              </w:rPr>
              <w:t>mmol/L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FC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5.30 (4.17, 6.55)</w:t>
            </w:r>
          </w:p>
        </w:tc>
      </w:tr>
      <w:tr w14:paraId="3AE5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A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Alanine aminotransferase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U/L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A6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22.70 (15.3, 36.05)</w:t>
            </w:r>
          </w:p>
        </w:tc>
      </w:tr>
      <w:tr w14:paraId="02CD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51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Aspartate aminotransferase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U/L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57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27.00 (20.00, 38.00)</w:t>
            </w:r>
          </w:p>
        </w:tc>
      </w:tr>
      <w:tr w14:paraId="0A892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922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val="en-US" w:eastAsia="zh-CN"/>
              </w:rPr>
              <w:t>Total bilirubin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 xml:space="preserve"> (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</w:rPr>
              <w:t>µmol/L</w:t>
            </w:r>
            <w:r>
              <w:rPr>
                <w:rFonts w:hint="eastAsia" w:ascii="Times New Roman" w:hAnsi="Times New Roman"/>
                <w:sz w:val="22"/>
                <w:szCs w:val="22"/>
                <w:highlight w:val="none"/>
                <w:lang w:eastAsia="zh-CN"/>
              </w:rPr>
              <w:t>)</w:t>
            </w:r>
          </w:p>
        </w:tc>
        <w:tc>
          <w:tcPr>
            <w:tcW w:w="497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03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11.85 (8.85, 15.80)</w:t>
            </w:r>
          </w:p>
        </w:tc>
      </w:tr>
    </w:tbl>
    <w:p w14:paraId="171C654E">
      <w:pPr>
        <w:spacing w:line="240" w:lineRule="auto"/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</w:pP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 xml:space="preserve">CNY, </w:t>
      </w:r>
      <w:r>
        <w:rPr>
          <w:rFonts w:hint="eastAsia" w:ascii="Times New Roman" w:hAnsi="Times New Roman"/>
          <w:b w:val="0"/>
          <w:bCs w:val="0"/>
          <w:i w:val="0"/>
          <w:iCs w:val="0"/>
          <w:sz w:val="22"/>
          <w:szCs w:val="22"/>
          <w:lang w:val="en-US" w:eastAsia="zh-CN"/>
        </w:rPr>
        <w:t>Chinese Yuan;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 xml:space="preserve"> </w:t>
      </w:r>
    </w:p>
    <w:p w14:paraId="62DECC5B">
      <w:pPr>
        <w:spacing w:line="240" w:lineRule="auto"/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</w:pPr>
      <w:r>
        <w:rPr>
          <w:rFonts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N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>R</w:t>
      </w:r>
      <w:r>
        <w:rPr>
          <w:rFonts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CMS, New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 xml:space="preserve"> </w:t>
      </w:r>
      <w:r>
        <w:rPr>
          <w:rFonts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Rural Cooperative Medical system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;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 xml:space="preserve"> </w:t>
      </w:r>
    </w:p>
    <w:p w14:paraId="35E9CF57">
      <w:pPr>
        <w:spacing w:line="240" w:lineRule="auto"/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</w:pPr>
      <w:r>
        <w:rPr>
          <w:rFonts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URBMI, Urban Residents’ Basic Medical Insurance;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 xml:space="preserve"> </w:t>
      </w:r>
    </w:p>
    <w:p w14:paraId="150B19A8">
      <w:pPr>
        <w:spacing w:line="240" w:lineRule="auto"/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</w:pPr>
      <w:r>
        <w:rPr>
          <w:rFonts w:ascii="Times New Roman" w:hAnsi="Times New Roman" w:eastAsia="等线" w:cs="Times New Roman"/>
          <w:color w:val="000000"/>
          <w:kern w:val="0"/>
          <w:sz w:val="22"/>
          <w:szCs w:val="22"/>
          <w14:ligatures w14:val="standardContextual"/>
        </w:rPr>
        <w:t>UEBMI, Urban Employee Basic Medical Insurance</w:t>
      </w:r>
      <w:r>
        <w:rPr>
          <w:rFonts w:hint="eastAsia" w:ascii="Times New Roman" w:hAnsi="Times New Roman" w:eastAsia="等线" w:cs="Times New Roman"/>
          <w:color w:val="000000"/>
          <w:kern w:val="0"/>
          <w:sz w:val="22"/>
          <w:szCs w:val="22"/>
          <w:lang w:val="en-US" w:eastAsia="zh-CN"/>
          <w14:ligatures w14:val="standardContextual"/>
        </w:rPr>
        <w:t>.</w:t>
      </w:r>
    </w:p>
    <w:p w14:paraId="1FE56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i w:val="0"/>
          <w:iCs w:val="0"/>
          <w:sz w:val="22"/>
          <w:szCs w:val="22"/>
        </w:rPr>
        <w:t xml:space="preserve">upplementary Material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  <w:t>Sensitivity analyses of the association between serum potassium and current SD</w:t>
      </w:r>
    </w:p>
    <w:tbl>
      <w:tblPr>
        <w:tblStyle w:val="6"/>
        <w:tblW w:w="84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9"/>
        <w:gridCol w:w="770"/>
        <w:gridCol w:w="1337"/>
        <w:gridCol w:w="995"/>
        <w:gridCol w:w="1493"/>
      </w:tblGrid>
      <w:tr w14:paraId="69520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84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tl2br w:val="nil"/>
            </w:tcBorders>
            <w:shd w:val="clear" w:color="auto" w:fill="FFFFFF"/>
            <w:vAlign w:val="center"/>
          </w:tcPr>
          <w:p w14:paraId="746C6F6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Analysis</w:t>
            </w:r>
          </w:p>
        </w:tc>
        <w:tc>
          <w:tcPr>
            <w:tcW w:w="77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30293C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N</w:t>
            </w:r>
          </w:p>
        </w:tc>
        <w:tc>
          <w:tcPr>
            <w:tcW w:w="133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8B172C3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  <w14:ligatures w14:val="standardContextual"/>
              </w:rPr>
              <w:t>OR</w:t>
            </w:r>
          </w:p>
        </w:tc>
        <w:tc>
          <w:tcPr>
            <w:tcW w:w="995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B84CF5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i/>
                <w:i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/>
                <w:iCs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P</w:t>
            </w:r>
          </w:p>
        </w:tc>
        <w:tc>
          <w:tcPr>
            <w:tcW w:w="149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05A7A52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95% CI</w:t>
            </w:r>
          </w:p>
        </w:tc>
      </w:tr>
      <w:tr w14:paraId="498B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7303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Primary model, potassium as a continuous variable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84138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438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755A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2.551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BE9D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0.005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9FD8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1.333 ~ 4.883</w:t>
            </w:r>
          </w:p>
        </w:tc>
      </w:tr>
      <w:tr w14:paraId="2ED9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3D43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Excluding values below P1 or above P99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30EF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432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DB77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2.293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882F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0.016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B78F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1.166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 xml:space="preserve"> ~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4.510</w:t>
            </w:r>
          </w:p>
        </w:tc>
      </w:tr>
      <w:tr w14:paraId="679D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3F1E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Excluding outliers using 1.5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×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IQR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D5A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421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ECEE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1.867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CCC0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0.092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0D8F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0.902 ~ 3.864</w:t>
            </w:r>
          </w:p>
        </w:tc>
      </w:tr>
      <w:tr w14:paraId="5FB5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CD71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 xml:space="preserve"> 3.83 mmol/L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92212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147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9D18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Reference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D37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—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F253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—</w:t>
            </w:r>
          </w:p>
        </w:tc>
      </w:tr>
      <w:tr w14:paraId="7315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235E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&gt; 3.83–4.13 mmol/L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A84D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150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CF9F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1.359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AAD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0.283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0B15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0.776 ~ 2.378</w:t>
            </w:r>
          </w:p>
        </w:tc>
      </w:tr>
      <w:tr w14:paraId="12C1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8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5EAF1FE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&gt; 4.13 mmol/L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B780F1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141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006DE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2.090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A7BB31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0.017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0B4B46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1.139 ~ 3.835</w:t>
            </w:r>
          </w:p>
        </w:tc>
      </w:tr>
    </w:tbl>
    <w:p w14:paraId="48693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  <w:t xml:space="preserve">The overall test for potassium tertiles was </w:t>
      </w:r>
      <w:r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i/>
          <w:i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  <w:t>=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2"/>
          <w:szCs w:val="22"/>
          <w:lang w:val="en-US" w:eastAsia="zh-CN"/>
        </w:rPr>
        <w:t>0.058. All sensitivity models used the same covariate adjustment as the primary multivariable logistic regression model.</w:t>
      </w:r>
    </w:p>
    <w:p w14:paraId="5564F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sz w:val="22"/>
          <w:szCs w:val="22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16D3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6A6D4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6A6D4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xNDJjOWQxYzE3OTdhM2I2NmE3ZWUxYzE5Y2MxZWYifQ=="/>
  </w:docVars>
  <w:rsids>
    <w:rsidRoot w:val="3D906389"/>
    <w:rsid w:val="003A4DB8"/>
    <w:rsid w:val="02F92D3C"/>
    <w:rsid w:val="03305FFE"/>
    <w:rsid w:val="042026CC"/>
    <w:rsid w:val="048B5043"/>
    <w:rsid w:val="04DD1C16"/>
    <w:rsid w:val="051554AC"/>
    <w:rsid w:val="082500FC"/>
    <w:rsid w:val="0ADF5F28"/>
    <w:rsid w:val="0BC36D79"/>
    <w:rsid w:val="0BF35AAF"/>
    <w:rsid w:val="0CE943E8"/>
    <w:rsid w:val="0DD37A75"/>
    <w:rsid w:val="1138564F"/>
    <w:rsid w:val="1173012A"/>
    <w:rsid w:val="118E6D12"/>
    <w:rsid w:val="17CE16AE"/>
    <w:rsid w:val="19F33BB6"/>
    <w:rsid w:val="1A0C2EC9"/>
    <w:rsid w:val="1A5C0CCB"/>
    <w:rsid w:val="1C9A3136"/>
    <w:rsid w:val="1F0224B9"/>
    <w:rsid w:val="213C3FA7"/>
    <w:rsid w:val="22B10AB2"/>
    <w:rsid w:val="22E9024C"/>
    <w:rsid w:val="23BA3996"/>
    <w:rsid w:val="23F804A3"/>
    <w:rsid w:val="24A501A2"/>
    <w:rsid w:val="261A226C"/>
    <w:rsid w:val="26306B40"/>
    <w:rsid w:val="26D11723"/>
    <w:rsid w:val="27522F63"/>
    <w:rsid w:val="2B2D7144"/>
    <w:rsid w:val="2E2959A0"/>
    <w:rsid w:val="33111817"/>
    <w:rsid w:val="36FB34B6"/>
    <w:rsid w:val="39E3559D"/>
    <w:rsid w:val="39F9459E"/>
    <w:rsid w:val="3A184DDB"/>
    <w:rsid w:val="3D812058"/>
    <w:rsid w:val="3D906389"/>
    <w:rsid w:val="3E7A40EC"/>
    <w:rsid w:val="405A7C3B"/>
    <w:rsid w:val="42B609B0"/>
    <w:rsid w:val="43D42726"/>
    <w:rsid w:val="45A70A22"/>
    <w:rsid w:val="466D13AD"/>
    <w:rsid w:val="466E61EE"/>
    <w:rsid w:val="46AF05B5"/>
    <w:rsid w:val="47A520E4"/>
    <w:rsid w:val="48A8525D"/>
    <w:rsid w:val="4B7A73E4"/>
    <w:rsid w:val="4F04633F"/>
    <w:rsid w:val="506B379F"/>
    <w:rsid w:val="50BE6E79"/>
    <w:rsid w:val="50C63CC7"/>
    <w:rsid w:val="52C9128F"/>
    <w:rsid w:val="53550B34"/>
    <w:rsid w:val="54352A41"/>
    <w:rsid w:val="556F085A"/>
    <w:rsid w:val="57236B81"/>
    <w:rsid w:val="59F111B9"/>
    <w:rsid w:val="5CEC052F"/>
    <w:rsid w:val="62367D31"/>
    <w:rsid w:val="62514EEA"/>
    <w:rsid w:val="63147CC6"/>
    <w:rsid w:val="68B148AA"/>
    <w:rsid w:val="69F06D97"/>
    <w:rsid w:val="6A1F767C"/>
    <w:rsid w:val="6E7862F5"/>
    <w:rsid w:val="717D3788"/>
    <w:rsid w:val="717E57CE"/>
    <w:rsid w:val="718769E5"/>
    <w:rsid w:val="71A60683"/>
    <w:rsid w:val="72AF55B7"/>
    <w:rsid w:val="734F0FD2"/>
    <w:rsid w:val="77F8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1519</Words>
  <Characters>5551</Characters>
  <Lines>0</Lines>
  <Paragraphs>0</Paragraphs>
  <TotalTime>1</TotalTime>
  <ScaleCrop>false</ScaleCrop>
  <LinksUpToDate>false</LinksUpToDate>
  <CharactersWithSpaces>6861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2024-11-21T08:02:00Z</dcterms:created>
  <dc:creator>毛@</dc:creator>
  <cp:lastModifiedBy>毛@</cp:lastModifiedBy>
  <dcterms:modified xsi:type="dcterms:W3CDTF">2026-08-17T17:22:26Z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C42AA2BF717144D3962365AE6A9007EB_13</vt:lpwstr>
  </property>
  <property fmtid="{D5CDD505-2E9C-101B-9397-08002B2CF9AE}" pid="4" name="KSOTemplateDocerSaveRecord">
    <vt:lpwstr>eyJoZGlkIjoiMzEwNTM5NzYwMDRjMzkwZTVkZjY2ODkwMGIxNGU0OTUiLCJ1c2VySWQiOiI3NzAxNTI0ODgifQ==</vt:lpwstr>
  </property>
</Properties>
</file>