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56CE7" w14:textId="77777777" w:rsidR="00485E80" w:rsidRDefault="00485E80" w:rsidP="00485E80">
      <w:pPr>
        <w:spacing w:line="480" w:lineRule="auto"/>
        <w:rPr>
          <w:rFonts w:ascii="Arial" w:hAnsi="Arial" w:cs="Arial"/>
        </w:rPr>
      </w:pPr>
      <w:r>
        <w:rPr>
          <w:rFonts w:ascii="Arial" w:hAnsi="Arial" w:cs="Arial"/>
          <w:b/>
          <w:bCs/>
        </w:rPr>
        <w:t>Figure S1. Restricted cubic spline curves for the association of SIRI with 28-day ICU mortality.</w:t>
      </w:r>
      <w:r>
        <w:rPr>
          <w:rFonts w:ascii="Arial" w:hAnsi="Arial" w:cs="Arial"/>
        </w:rPr>
        <w:t xml:space="preserve"> (A) Raw SIRI exhibited a saturating dose-response pattern. (B) log-SIRI showed an approximately linear relationship (likelihood-ratio test for nonlinearity P = 0.456; ΔAIC favored the linear specification), supporting its inclusion as a linear term in the nomogram. Shaded ribbons represent 95% confidence intervals; horizontal dashed line indicates the reference (OR = 1.0). </w:t>
      </w:r>
    </w:p>
    <w:p w14:paraId="2F2F9F74" w14:textId="77777777" w:rsidR="00485E80" w:rsidRDefault="00485E80" w:rsidP="00485E80">
      <w:pPr>
        <w:spacing w:line="480" w:lineRule="auto"/>
        <w:rPr>
          <w:rFonts w:ascii="Arial" w:hAnsi="Arial" w:cs="Arial"/>
        </w:rPr>
      </w:pPr>
      <w:r>
        <w:rPr>
          <w:rFonts w:ascii="Arial" w:hAnsi="Arial" w:cs="Arial"/>
          <w:b/>
          <w:bCs/>
        </w:rPr>
        <w:t>Figure S2.</w:t>
      </w:r>
      <w:r>
        <w:rPr>
          <w:rFonts w:ascii="Arial" w:hAnsi="Arial" w:cs="Arial"/>
        </w:rPr>
        <w:t xml:space="preserve"> </w:t>
      </w:r>
      <w:r>
        <w:rPr>
          <w:rFonts w:ascii="Arial" w:hAnsi="Arial" w:cs="Arial"/>
          <w:b/>
          <w:bCs/>
        </w:rPr>
        <w:t xml:space="preserve">Decision curve analysis comparing the base clinical model (age, sex, SOFA, MELD-Na) with the base model plus log-SIRI in the MIMIC-IV development cohort. </w:t>
      </w:r>
      <w:r>
        <w:rPr>
          <w:rFonts w:ascii="Arial" w:hAnsi="Arial" w:cs="Arial"/>
        </w:rPr>
        <w:t>The x-axis shows the threshold probability and the y-axis the net benefit. The model with log-SIRI (red) achieved higher net benefit than the base model (blue) across clinically relevant threshold probabilities. The "treat all" (gray dashed) and "treat none" (black dashed) reference strategies are shown for comparison.</w:t>
      </w:r>
    </w:p>
    <w:p w14:paraId="5104EE32" w14:textId="77777777" w:rsidR="00485E80" w:rsidRDefault="00485E80" w:rsidP="00485E80">
      <w:pPr>
        <w:spacing w:line="480" w:lineRule="auto"/>
        <w:rPr>
          <w:rFonts w:ascii="Arial" w:hAnsi="Arial" w:cs="Arial"/>
        </w:rPr>
      </w:pPr>
      <w:r>
        <w:rPr>
          <w:rFonts w:ascii="Arial" w:hAnsi="Arial" w:cs="Arial"/>
          <w:b/>
          <w:bCs/>
        </w:rPr>
        <w:t xml:space="preserve">Figure S3. External calibration plot in the </w:t>
      </w:r>
      <w:proofErr w:type="spellStart"/>
      <w:r>
        <w:rPr>
          <w:rFonts w:ascii="Arial" w:hAnsi="Arial" w:cs="Arial"/>
          <w:b/>
          <w:bCs/>
        </w:rPr>
        <w:t>eICU</w:t>
      </w:r>
      <w:proofErr w:type="spellEnd"/>
      <w:r>
        <w:rPr>
          <w:rFonts w:ascii="Arial" w:hAnsi="Arial" w:cs="Arial"/>
          <w:b/>
          <w:bCs/>
        </w:rPr>
        <w:t>-CRD cohort (n = 121).</w:t>
      </w:r>
      <w:r>
        <w:rPr>
          <w:rFonts w:ascii="Arial" w:hAnsi="Arial" w:cs="Arial"/>
        </w:rPr>
        <w:t xml:space="preserve"> Predicted probabilities from the locked MIMIC-IV nomogram are plotted against observed frequencies in four risk groups (red points, with 95% CIs). The dashed diagonal represents perfect calibration. Calibration-in-the-large was 0.001 and the mean predicted risk </w:t>
      </w:r>
      <w:proofErr w:type="spellStart"/>
      <w:r>
        <w:rPr>
          <w:rFonts w:ascii="Arial" w:hAnsi="Arial" w:cs="Arial"/>
        </w:rPr>
        <w:t>equalled</w:t>
      </w:r>
      <w:proofErr w:type="spellEnd"/>
      <w:r>
        <w:rPr>
          <w:rFonts w:ascii="Arial" w:hAnsi="Arial" w:cs="Arial"/>
        </w:rPr>
        <w:t xml:space="preserve"> the observed event rate (16.5%).</w:t>
      </w:r>
    </w:p>
    <w:p w14:paraId="752D4D35" w14:textId="77777777" w:rsidR="00135EC8" w:rsidRPr="00FE2467" w:rsidRDefault="00135EC8">
      <w:bookmarkStart w:id="0" w:name="_GoBack"/>
      <w:bookmarkEnd w:id="0"/>
    </w:p>
    <w:sectPr w:rsidR="00135EC8" w:rsidRPr="00FE2467" w:rsidSect="00FE24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094" w:bottom="720" w:left="109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2B094" w14:textId="77777777" w:rsidR="00FE2467" w:rsidRDefault="00FE2467" w:rsidP="00FE2467">
      <w:r>
        <w:separator/>
      </w:r>
    </w:p>
  </w:endnote>
  <w:endnote w:type="continuationSeparator" w:id="0">
    <w:p w14:paraId="763CDE17" w14:textId="77777777" w:rsidR="00FE2467" w:rsidRDefault="00FE2467" w:rsidP="00FE2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CBE67" w14:textId="77777777" w:rsidR="00FE2467" w:rsidRDefault="00FE24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E0B5D" w14:textId="77777777" w:rsidR="00FE2467" w:rsidRDefault="00FE24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F5039" w14:textId="77777777" w:rsidR="00FE2467" w:rsidRDefault="00FE2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59B55" w14:textId="77777777" w:rsidR="00FE2467" w:rsidRDefault="00FE2467" w:rsidP="00FE2467">
      <w:r>
        <w:separator/>
      </w:r>
    </w:p>
  </w:footnote>
  <w:footnote w:type="continuationSeparator" w:id="0">
    <w:p w14:paraId="05694D44" w14:textId="77777777" w:rsidR="00FE2467" w:rsidRDefault="00FE2467" w:rsidP="00FE2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46575" w14:textId="77777777" w:rsidR="00FE2467" w:rsidRDefault="00FE2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9E8B3" w14:textId="77777777" w:rsidR="00FE2467" w:rsidRDefault="00FE24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2C3A1" w14:textId="77777777" w:rsidR="00FE2467" w:rsidRDefault="00FE24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E96"/>
    <w:rsid w:val="00135EC8"/>
    <w:rsid w:val="00485E80"/>
    <w:rsid w:val="00F76E96"/>
    <w:rsid w:val="00FE24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9673C-AAE3-43C2-84D7-035BF040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5E80"/>
    <w:pPr>
      <w:widowControl w:val="0"/>
      <w:spacing w:after="0" w:line="240" w:lineRule="auto"/>
      <w:jc w:val="both"/>
    </w:pPr>
    <w:rPr>
      <w:rFonts w:eastAsiaTheme="minorEastAsia"/>
      <w:kern w:val="2"/>
      <w:sz w:val="21"/>
      <w:lang w:val="en-US"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467"/>
    <w:pPr>
      <w:widowControl/>
      <w:tabs>
        <w:tab w:val="center" w:pos="4513"/>
        <w:tab w:val="right" w:pos="9026"/>
      </w:tabs>
      <w:jc w:val="left"/>
    </w:pPr>
    <w:rPr>
      <w:rFonts w:eastAsiaTheme="minorHAnsi"/>
      <w:kern w:val="0"/>
      <w:sz w:val="22"/>
      <w:lang w:val="en-IN" w:eastAsia="en-US"/>
      <w14:ligatures w14:val="none"/>
    </w:rPr>
  </w:style>
  <w:style w:type="character" w:customStyle="1" w:styleId="HeaderChar">
    <w:name w:val="Header Char"/>
    <w:basedOn w:val="DefaultParagraphFont"/>
    <w:link w:val="Header"/>
    <w:uiPriority w:val="99"/>
    <w:rsid w:val="00FE2467"/>
  </w:style>
  <w:style w:type="paragraph" w:styleId="Footer">
    <w:name w:val="footer"/>
    <w:basedOn w:val="Normal"/>
    <w:link w:val="FooterChar"/>
    <w:uiPriority w:val="99"/>
    <w:unhideWhenUsed/>
    <w:rsid w:val="00FE2467"/>
    <w:pPr>
      <w:widowControl/>
      <w:tabs>
        <w:tab w:val="center" w:pos="4513"/>
        <w:tab w:val="right" w:pos="9026"/>
      </w:tabs>
      <w:jc w:val="left"/>
    </w:pPr>
    <w:rPr>
      <w:rFonts w:eastAsiaTheme="minorHAnsi"/>
      <w:kern w:val="0"/>
      <w:sz w:val="22"/>
      <w:lang w:val="en-IN" w:eastAsia="en-US"/>
      <w14:ligatures w14:val="none"/>
    </w:rPr>
  </w:style>
  <w:style w:type="character" w:customStyle="1" w:styleId="FooterChar">
    <w:name w:val="Footer Char"/>
    <w:basedOn w:val="DefaultParagraphFont"/>
    <w:link w:val="Footer"/>
    <w:uiPriority w:val="99"/>
    <w:rsid w:val="00FE2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39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Seema Chauhan</dc:creator>
  <cp:keywords/>
  <dc:description/>
  <cp:lastModifiedBy>Seema Chauhan</cp:lastModifiedBy>
  <cp:revision>3</cp:revision>
  <dcterms:created xsi:type="dcterms:W3CDTF">2026-09-07T02:40:00Z</dcterms:created>
  <dcterms:modified xsi:type="dcterms:W3CDTF">2026-09-07T02:40:00Z</dcterms:modified>
</cp:coreProperties>
</file>