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AFA9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color w:val="auto"/>
          <w:sz w:val="24"/>
          <w:szCs w:val="24"/>
        </w:rPr>
      </w:pPr>
      <w:bookmarkStart w:id="0" w:name="_Toc174531219"/>
      <w:r>
        <w:rPr>
          <w:rFonts w:hint="default" w:ascii="Times New Roman" w:hAnsi="Times New Roman" w:cs="Times New Roman"/>
          <w:b/>
          <w:bCs/>
          <w:color w:val="auto"/>
          <w:sz w:val="24"/>
          <w:szCs w:val="24"/>
        </w:rPr>
        <w:t>Effects of TIPS on Gut Microbiota and Hepatorenal Function in Patients</w:t>
      </w:r>
      <w:r>
        <w:rPr>
          <w:rFonts w:hint="default" w:ascii="Times New Roman" w:hAnsi="Times New Roman" w:cs="Times New Roman"/>
          <w:b/>
          <w:bCs/>
          <w:color w:val="auto"/>
          <w:sz w:val="24"/>
          <w:szCs w:val="24"/>
          <w:lang w:val="en-US" w:eastAsia="zh-CN"/>
        </w:rPr>
        <w:t xml:space="preserve"> with </w:t>
      </w:r>
      <w:r>
        <w:rPr>
          <w:rFonts w:hint="default" w:ascii="Times New Roman" w:hAnsi="Times New Roman" w:cs="Times New Roman"/>
          <w:b/>
          <w:bCs/>
          <w:color w:val="auto"/>
          <w:sz w:val="24"/>
          <w:szCs w:val="24"/>
        </w:rPr>
        <w:t>Cirrhotic Portal Hypertension: A Prospective Cohort Study</w:t>
      </w:r>
    </w:p>
    <w:p w14:paraId="679C7C3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color w:val="auto"/>
          <w:sz w:val="24"/>
          <w:szCs w:val="24"/>
          <w:lang w:val="en-US" w:eastAsia="zh-CN"/>
        </w:rPr>
      </w:pPr>
    </w:p>
    <w:p w14:paraId="348BCED8">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Supplementary information</w:t>
      </w:r>
    </w:p>
    <w:p w14:paraId="13FD096A">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Inclusion and exclusion criteria</w:t>
      </w:r>
      <w:bookmarkEnd w:id="0"/>
    </w:p>
    <w:p w14:paraId="0A5C9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2"/>
          <w:szCs w:val="22"/>
          <w:lang w:val="en-US" w:eastAsia="zh-CN"/>
        </w:rPr>
      </w:pPr>
      <w:r>
        <w:rPr>
          <w:rFonts w:hint="default" w:ascii="Times New Roman" w:hAnsi="Times New Roman" w:cs="Times New Roman"/>
          <w:b/>
          <w:bCs/>
          <w:color w:val="auto"/>
          <w:sz w:val="22"/>
          <w:szCs w:val="22"/>
          <w:lang w:val="en-US" w:eastAsia="zh-CN"/>
        </w:rPr>
        <w:t>Inclusion criteria for the TG</w:t>
      </w:r>
      <w:r>
        <w:rPr>
          <w:rFonts w:hint="eastAsia" w:ascii="Times New Roman" w:hAnsi="Times New Roman" w:cs="Times New Roman"/>
          <w:b/>
          <w:bCs/>
          <w:color w:val="auto"/>
          <w:sz w:val="22"/>
          <w:szCs w:val="22"/>
          <w:lang w:val="en-US" w:eastAsia="zh-CN"/>
        </w:rPr>
        <w:t>:</w:t>
      </w:r>
    </w:p>
    <w:p w14:paraId="778C463F">
      <w:pPr>
        <w:keepNext w:val="0"/>
        <w:keepLines w:val="0"/>
        <w:pageBreakBefore w:val="0"/>
        <w:widowControl/>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Age 18 </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 xml:space="preserve"> 70</w:t>
      </w:r>
      <w:r>
        <w:rPr>
          <w:rFonts w:hint="eastAsia" w:ascii="Times New Roman" w:hAnsi="Times New Roman" w:cs="Times New Roman"/>
          <w:color w:val="auto"/>
          <w:sz w:val="24"/>
          <w:szCs w:val="24"/>
          <w:lang w:val="en-US" w:eastAsia="zh-CN"/>
        </w:rPr>
        <w:t xml:space="preserve"> years</w:t>
      </w:r>
      <w:r>
        <w:rPr>
          <w:rFonts w:hint="default" w:ascii="Times New Roman" w:hAnsi="Times New Roman" w:cs="Times New Roman"/>
          <w:color w:val="auto"/>
          <w:sz w:val="24"/>
          <w:szCs w:val="24"/>
          <w:lang w:val="en-US" w:eastAsia="zh-CN"/>
        </w:rPr>
        <w:t xml:space="preserve">; </w:t>
      </w:r>
    </w:p>
    <w:p w14:paraId="340C9BEA">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Diagnosis of decompensated cirrhosis </w:t>
      </w:r>
      <w:r>
        <w:rPr>
          <w:rFonts w:hint="default" w:ascii="Times New Roman" w:hAnsi="Times New Roman" w:eastAsia="宋体" w:cs="Times New Roman"/>
          <w:color w:val="auto"/>
          <w:kern w:val="0"/>
          <w:sz w:val="24"/>
          <w:szCs w:val="24"/>
          <w:lang w:val="en-US" w:eastAsia="zh-CN" w:bidi="ar-SA"/>
        </w:rPr>
        <w:t>according to</w:t>
      </w:r>
      <w:r>
        <w:rPr>
          <w:rFonts w:hint="default" w:ascii="Times New Roman" w:hAnsi="Times New Roman" w:cs="Times New Roman"/>
          <w:color w:val="auto"/>
          <w:sz w:val="24"/>
          <w:szCs w:val="24"/>
          <w:lang w:val="en-US" w:eastAsia="zh-CN"/>
        </w:rPr>
        <w:t xml:space="preserve"> the 2020 Guidelines for the Clinical Practice of Evidence-Based Cirrhosis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lang w:eastAsia="zh-CN"/>
        </w:rPr>
        <w:instrText xml:space="preserve"> ADDIN EN.CITE </w:instrText>
      </w:r>
      <w:r>
        <w:rPr>
          <w:rFonts w:hint="default" w:ascii="Times New Roman" w:hAnsi="Times New Roman" w:cs="Times New Roman"/>
          <w:color w:val="auto"/>
          <w:sz w:val="24"/>
          <w:szCs w:val="24"/>
          <w:lang w:eastAsia="zh-CN"/>
        </w:rPr>
        <w:fldChar w:fldCharType="begin">
          <w:fldData xml:space="preserve">PEVuZE5vdGU+PENpdGU+PEF1dGhvcj5Zb3NoaWppPC9BdXRob3I+PFllYXI+MjAyMTwvWWVhcj48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</w:fldData>
        </w:fldChar>
      </w:r>
      <w:r>
        <w:rPr>
          <w:rFonts w:hint="default" w:ascii="Times New Roman" w:hAnsi="Times New Roman" w:cs="Times New Roman"/>
          <w:color w:val="auto"/>
          <w:sz w:val="24"/>
          <w:szCs w:val="24"/>
          <w:lang w:eastAsia="zh-CN"/>
        </w:rPr>
        <w:instrText xml:space="preserve"> ADDIN EN.CITE.DATA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kern w:val="0"/>
          <w:sz w:val="24"/>
          <w:szCs w:val="24"/>
          <w:lang w:val="en-US" w:eastAsia="zh-CN" w:bidi="ar-SA"/>
        </w:rPr>
        <w:t>[1]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lang w:val="en-US" w:eastAsia="zh-CN"/>
        </w:rPr>
        <w:t xml:space="preserve">; </w:t>
      </w:r>
    </w:p>
    <w:p w14:paraId="403AC1CE">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Met the diagnostic criteria for PH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lang w:eastAsia="zh-CN"/>
        </w:rPr>
        <w:instrText xml:space="preserve"> ADDIN EN.CITE </w:instrText>
      </w:r>
      <w:r>
        <w:rPr>
          <w:rFonts w:hint="default" w:ascii="Times New Roman" w:hAnsi="Times New Roman" w:cs="Times New Roman"/>
          <w:color w:val="auto"/>
          <w:sz w:val="24"/>
          <w:szCs w:val="24"/>
          <w:lang w:eastAsia="zh-CN"/>
        </w:rPr>
        <w:fldChar w:fldCharType="begin">
          <w:fldData xml:space="preserve">PEVuZE5vdGU+PENpdGU+PEF1dGhvcj5kZSBGcmFuY2hpczwvQXV0aG9yPjxZZWFyPjIwMjI8L1ll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</w:fldData>
        </w:fldChar>
      </w:r>
      <w:r>
        <w:rPr>
          <w:rFonts w:hint="default" w:ascii="Times New Roman" w:hAnsi="Times New Roman" w:cs="Times New Roman"/>
          <w:color w:val="auto"/>
          <w:sz w:val="24"/>
          <w:szCs w:val="24"/>
          <w:lang w:eastAsia="zh-CN"/>
        </w:rPr>
        <w:instrText xml:space="preserve"> ADDIN EN.CITE.DATA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kern w:val="0"/>
          <w:sz w:val="24"/>
          <w:szCs w:val="24"/>
          <w:lang w:val="en-US" w:eastAsia="zh-CN" w:bidi="ar-SA"/>
        </w:rPr>
        <w:t>[2]</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lang w:val="en-US" w:eastAsia="zh-CN"/>
        </w:rPr>
        <w:t xml:space="preserve">; </w:t>
      </w:r>
    </w:p>
    <w:p w14:paraId="37D14059">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Clear indications for TIPS treatment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lang w:eastAsia="zh-CN"/>
        </w:rPr>
        <w:instrText xml:space="preserve"> ADDIN EN.CITE </w:instrText>
      </w:r>
      <w:r>
        <w:rPr>
          <w:rFonts w:hint="default" w:ascii="Times New Roman" w:hAnsi="Times New Roman" w:cs="Times New Roman"/>
          <w:color w:val="auto"/>
          <w:sz w:val="24"/>
          <w:szCs w:val="24"/>
          <w:lang w:eastAsia="zh-CN"/>
        </w:rPr>
        <w:fldChar w:fldCharType="begin">
          <w:fldData xml:space="preserve">PEVuZE5vdGU+PENpdGU+PEF1dGhvcj5WaXp6dXR0aTwvQXV0aG9yPjxZZWFyPjIwMjA8L1llYXI+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</w:fldData>
        </w:fldChar>
      </w:r>
      <w:r>
        <w:rPr>
          <w:rFonts w:hint="default" w:ascii="Times New Roman" w:hAnsi="Times New Roman" w:cs="Times New Roman"/>
          <w:color w:val="auto"/>
          <w:sz w:val="24"/>
          <w:szCs w:val="24"/>
          <w:lang w:eastAsia="zh-CN"/>
        </w:rPr>
        <w:instrText xml:space="preserve"> ADDIN EN.CITE.DATA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kern w:val="0"/>
          <w:sz w:val="24"/>
          <w:szCs w:val="24"/>
          <w:lang w:val="en-US" w:eastAsia="zh-CN" w:bidi="ar-SA"/>
        </w:rPr>
        <w:t>[3, 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lang w:val="en-US" w:eastAsia="zh-CN"/>
        </w:rPr>
        <w:t xml:space="preserve">; </w:t>
      </w:r>
    </w:p>
    <w:p w14:paraId="5B336618">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Patients who fully understood the study's purpose and safety, with the assistance of a physician, and voluntarily provided informed consent. </w:t>
      </w:r>
    </w:p>
    <w:p w14:paraId="3AA7E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bidi="ar-SA"/>
        </w:rPr>
        <w:t>The CG consisted of patients with cirrhotic PH who required variceal bleeding-related management but were managed without TIPS during the same period according to individualized clinical assessment and physician–patient discussion. Non-TIPS management was selected because pharmacological therapy alone or endoscopic variceal ligation combined with pharmacological therapy was considered appropriate at that stage, or because patients preferred non-TIPS treatment after discussion.</w:t>
      </w:r>
      <w:r>
        <w:rPr>
          <w:rFonts w:hint="eastAsia" w:ascii="Times New Roman" w:hAnsi="Times New Roman" w:cs="Times New Roman"/>
          <w:color w:val="auto"/>
          <w:kern w:val="0"/>
          <w:sz w:val="24"/>
          <w:szCs w:val="24"/>
          <w:lang w:val="en-US" w:eastAsia="zh-CN" w:bidi="ar-SA"/>
        </w:rPr>
        <w:t xml:space="preserve"> </w:t>
      </w:r>
      <w:r>
        <w:rPr>
          <w:rFonts w:hint="default" w:ascii="Times New Roman" w:hAnsi="Times New Roman" w:eastAsia="宋体" w:cs="Times New Roman"/>
          <w:color w:val="auto"/>
          <w:kern w:val="0"/>
          <w:sz w:val="24"/>
          <w:szCs w:val="24"/>
          <w:lang w:val="en-US" w:eastAsia="zh-CN" w:bidi="ar-SA"/>
        </w:rPr>
        <w:t>These patients received pharmacological therapy or combined endoscopic and pharmacological therapy according to routine clinical practice.</w:t>
      </w:r>
      <w:r>
        <w:rPr>
          <w:rFonts w:hint="default" w:ascii="Times New Roman" w:hAnsi="Times New Roman" w:cs="Times New Roman"/>
          <w:color w:val="auto"/>
          <w:sz w:val="24"/>
          <w:szCs w:val="24"/>
          <w:lang w:val="en-US" w:eastAsia="zh-CN"/>
        </w:rPr>
        <w:t xml:space="preserve"> </w:t>
      </w:r>
    </w:p>
    <w:p w14:paraId="7BB84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Exclusion criteria for the TG</w:t>
      </w:r>
      <w:r>
        <w:rPr>
          <w:rFonts w:hint="eastAsia" w:ascii="Times New Roman" w:hAnsi="Times New Roman" w:cs="Times New Roman"/>
          <w:b/>
          <w:bCs/>
          <w:color w:val="auto"/>
          <w:sz w:val="24"/>
          <w:szCs w:val="24"/>
          <w:lang w:val="en-US" w:eastAsia="zh-CN"/>
        </w:rPr>
        <w:t>:</w:t>
      </w:r>
    </w:p>
    <w:p w14:paraId="7A99D7B0">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Non-cirrhotic PH causing EGVB, refractory ascites, pleural effusion, or other PH manifestations;</w:t>
      </w:r>
    </w:p>
    <w:p w14:paraId="1DB3D823">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Active gastrointestinal bleeding; </w:t>
      </w:r>
    </w:p>
    <w:p w14:paraId="2AEEF6F8">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Active systemic or intestinal infections, including </w:t>
      </w:r>
      <w:r>
        <w:rPr>
          <w:rFonts w:hint="default" w:ascii="Times New Roman" w:hAnsi="Times New Roman" w:eastAsia="宋体" w:cs="Times New Roman"/>
          <w:color w:val="auto"/>
          <w:kern w:val="0"/>
          <w:sz w:val="24"/>
          <w:szCs w:val="24"/>
          <w:lang w:val="en-US" w:eastAsia="zh-CN" w:bidi="ar-SA"/>
        </w:rPr>
        <w:t>peritonitis</w:t>
      </w:r>
      <w:r>
        <w:rPr>
          <w:rFonts w:hint="default" w:ascii="Times New Roman" w:hAnsi="Times New Roman" w:cs="Times New Roman"/>
          <w:color w:val="auto"/>
          <w:sz w:val="24"/>
          <w:szCs w:val="24"/>
          <w:lang w:val="en-US" w:eastAsia="zh-CN"/>
        </w:rPr>
        <w:t xml:space="preserve">; </w:t>
      </w:r>
    </w:p>
    <w:p w14:paraId="6BB78ADE">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Malignant tumors; </w:t>
      </w:r>
    </w:p>
    <w:p w14:paraId="7FEDAEEB">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Use of antibiotics, probiotics, prebiotics, or proton pump inhibitors within the past four weeks; </w:t>
      </w:r>
    </w:p>
    <w:p w14:paraId="75A6462A">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Ulcerative colitis, Crohn's disease, diarrhea, constipation, or other gastrointestinal conditions; </w:t>
      </w:r>
    </w:p>
    <w:p w14:paraId="0558DD3C">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Contraindications for TIPS </w:t>
      </w:r>
      <w:r>
        <w:rPr>
          <w:rFonts w:hint="default" w:ascii="Times New Roman" w:hAnsi="Times New Roman" w:cs="Times New Roman"/>
          <w:color w:val="auto"/>
          <w:sz w:val="24"/>
          <w:szCs w:val="24"/>
          <w:lang w:val="en-US" w:eastAsia="zh-CN"/>
        </w:rPr>
        <w:fldChar w:fldCharType="begin"/>
      </w:r>
      <w:r>
        <w:rPr>
          <w:rFonts w:hint="default" w:ascii="Times New Roman" w:hAnsi="Times New Roman" w:cs="Times New Roman"/>
          <w:color w:val="auto"/>
          <w:sz w:val="24"/>
          <w:szCs w:val="24"/>
          <w:lang w:val="en-US" w:eastAsia="zh-CN"/>
        </w:rPr>
        <w:instrText xml:space="preserve"> ADDIN EN.CITE &lt;EndNote&gt;&lt;Cite&gt;&lt;Year&gt;2022&lt;/Year&gt;&lt;RecNum&gt;73&lt;/RecNum&gt;&lt;DisplayText&gt;[5]&lt;/DisplayText&gt;&lt;record&gt;&lt;rec-number&gt;73&lt;/rec-number&gt;&lt;foreign-keys&gt;&lt;key app="EN" db-id="2pzerwzd6sppzgeaa0fv0zzgxp2dttda009w" timestamp="1718699631"&gt;73&lt;/key&gt;&lt;/foreign-keys&gt;&lt;ref-type name="Journal Article"&gt;17&lt;/ref-type&gt;&lt;contributors&gt;&lt;/contributors&gt;&lt;titles&gt;&lt;title&gt;[Expert consensus on transjugular intrahepatic portosystemic shunt for the treatment of portal hypertension]&lt;/title&gt;&lt;secondary-title&gt;Zhonghua Gan Zang Bing Za Zhi&lt;/secondary-title&gt;&lt;/titles&gt;&lt;periodical&gt;&lt;full-title&gt;Zhonghua Gan Zang Bing Za Zhi&lt;/full-title&gt;&lt;/periodical&gt;&lt;pages&gt;1349-1364&lt;/pages&gt;&lt;volume&gt;30&lt;/volume&gt;&lt;number&gt;12&lt;/number&gt;&lt;edition&gt;2023/03/10&lt;/edition&gt;&lt;keywords&gt;&lt;keyword&gt;Humans&lt;/keyword&gt;&lt;keyword&gt;*Portasystemic Shunt, Transjugular Intrahepatic&lt;/keyword&gt;&lt;keyword&gt;Consensus&lt;/keyword&gt;&lt;keyword&gt;*Hypertension, Portal/surgery&lt;/keyword&gt;&lt;keyword&gt;Portal Vein&lt;/keyword&gt;&lt;keyword&gt;Treatment Outcome&lt;/keyword&gt;&lt;/keywords&gt;&lt;dates&gt;&lt;year&gt;2022&lt;/year&gt;&lt;pub-dates&gt;&lt;date&gt;Dec 20&lt;/date&gt;&lt;/pub-dates&gt;&lt;/dates&gt;&lt;isbn&gt;1007-3418 (Print)&amp;#xD;1007-3418&lt;/isbn&gt;&lt;accession-num&gt;36891720&lt;/accession-num&gt;&lt;urls&gt;&lt;/urls&gt;&lt;electronic-resource-num&gt;10.3760/cma.j.cn501113-20221109-00553&lt;/electronic-resource-num&gt;&lt;remote-database-provider&gt;NLM&lt;/remote-database-provider&gt;&lt;language&gt;chi&lt;/language&gt;&lt;/record&gt;&lt;/Cite&gt;&lt;/EndNote&gt;</w:instrText>
      </w:r>
      <w:r>
        <w:rPr>
          <w:rFonts w:hint="default" w:ascii="Times New Roman" w:hAnsi="Times New Roman" w:cs="Times New Roman"/>
          <w:color w:val="auto"/>
          <w:sz w:val="24"/>
          <w:szCs w:val="24"/>
          <w:lang w:val="en-US" w:eastAsia="zh-CN"/>
        </w:rPr>
        <w:fldChar w:fldCharType="separate"/>
      </w:r>
      <w:r>
        <w:rPr>
          <w:rFonts w:hint="default" w:ascii="Times New Roman" w:hAnsi="Times New Roman" w:eastAsia="宋体" w:cs="Times New Roman"/>
          <w:color w:val="auto"/>
          <w:kern w:val="0"/>
          <w:sz w:val="24"/>
          <w:szCs w:val="24"/>
          <w:lang w:val="en-US" w:eastAsia="zh-CN" w:bidi="ar-SA"/>
        </w:rPr>
        <w:t>[5]</w:t>
      </w:r>
      <w:r>
        <w:rPr>
          <w:rFonts w:hint="default" w:ascii="Times New Roman" w:hAnsi="Times New Roman" w:cs="Times New Roman"/>
          <w:color w:val="auto"/>
          <w:sz w:val="24"/>
          <w:szCs w:val="24"/>
          <w:lang w:val="en-US" w:eastAsia="zh-CN"/>
        </w:rPr>
        <w:fldChar w:fldCharType="end"/>
      </w:r>
      <w:r>
        <w:rPr>
          <w:rFonts w:hint="eastAsia" w:ascii="Times New Roman" w:hAnsi="Times New Roman" w:cs="Times New Roman"/>
          <w:color w:val="auto"/>
          <w:sz w:val="24"/>
          <w:szCs w:val="24"/>
          <w:lang w:val="en-US" w:eastAsia="zh-CN"/>
        </w:rPr>
        <w:t>;</w:t>
      </w:r>
    </w:p>
    <w:p w14:paraId="13D38F0B">
      <w:pPr>
        <w:keepNext w:val="0"/>
        <w:keepLines w:val="0"/>
        <w:pageBreakBefore w:val="0"/>
        <w:widowControl/>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In addition to the previously listed criteria, the study also excluded control treatment group patients with absolute contraindications for endoscopic treatment and any patients across all groups who were unwilling to provide informed consent.</w:t>
      </w:r>
    </w:p>
    <w:p w14:paraId="4DC88163">
      <w:pPr>
        <w:rPr>
          <w:rFonts w:hint="default" w:ascii="Times New Roman" w:hAnsi="Times New Roman" w:cs="Times New Roman"/>
          <w:color w:val="auto"/>
          <w:sz w:val="24"/>
          <w:szCs w:val="24"/>
          <w:lang w:val="en-US" w:eastAsia="zh-CN"/>
        </w:rPr>
      </w:pPr>
    </w:p>
    <w:p w14:paraId="63BE3496">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drawing>
          <wp:inline distT="0" distB="0" distL="114300" distR="114300">
            <wp:extent cx="5271770" cy="3108325"/>
            <wp:effectExtent l="0" t="0" r="11430" b="3175"/>
            <wp:docPr id="1" name="图片 1"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2"/>
                    <pic:cNvPicPr>
                      <a:picLocks noChangeAspect="1"/>
                    </pic:cNvPicPr>
                  </pic:nvPicPr>
                  <pic:blipFill>
                    <a:blip r:embed="rId4"/>
                    <a:stretch>
                      <a:fillRect/>
                    </a:stretch>
                  </pic:blipFill>
                  <pic:spPr>
                    <a:xfrm>
                      <a:off x="0" y="0"/>
                      <a:ext cx="5271770" cy="3108325"/>
                    </a:xfrm>
                    <a:prstGeom prst="rect">
                      <a:avLst/>
                    </a:prstGeom>
                  </pic:spPr>
                </pic:pic>
              </a:graphicData>
            </a:graphic>
          </wp:inline>
        </w:drawing>
      </w:r>
    </w:p>
    <w:p w14:paraId="271E4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b/>
          <w:bCs/>
          <w:color w:val="auto"/>
          <w:kern w:val="0"/>
          <w:sz w:val="24"/>
          <w:szCs w:val="24"/>
          <w:lang w:val="en-US" w:eastAsia="zh-CN" w:bidi="ar-SA"/>
        </w:rPr>
        <w:t xml:space="preserve">Fig. S1 </w:t>
      </w:r>
      <w:r>
        <w:rPr>
          <w:rFonts w:hint="default" w:ascii="Times New Roman" w:hAnsi="Times New Roman" w:eastAsia="宋体" w:cs="Times New Roman"/>
          <w:color w:val="auto"/>
          <w:kern w:val="0"/>
          <w:sz w:val="24"/>
          <w:szCs w:val="24"/>
          <w:lang w:val="en-US" w:eastAsia="zh-CN" w:bidi="ar-SA"/>
        </w:rPr>
        <w:t>Petal diagram based on ASVs.</w:t>
      </w:r>
    </w:p>
    <w:p w14:paraId="284E045B">
      <w:pPr>
        <w:keepNext w:val="0"/>
        <w:keepLines w:val="0"/>
        <w:pageBreakBefore w:val="0"/>
        <w:widowControl/>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A1, pre-TIPS group; A2, pre-control treatment group; C1, 1-week post-TIPS group; C2, 1-week post-control treatment group; E1, 12-week post-TIPS group; E2, 12-week post-control treatment group; O, healthy control group. ASVs, amplicon sequence variants.</w:t>
      </w:r>
    </w:p>
    <w:p w14:paraId="5A63BA0E">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drawing>
          <wp:inline distT="0" distB="0" distL="114300" distR="114300">
            <wp:extent cx="4578350" cy="3694430"/>
            <wp:effectExtent l="0" t="0" r="6350" b="1270"/>
            <wp:docPr id="2" name="图片 2"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3"/>
                    <pic:cNvPicPr>
                      <a:picLocks noChangeAspect="1"/>
                    </pic:cNvPicPr>
                  </pic:nvPicPr>
                  <pic:blipFill>
                    <a:blip r:embed="rId5"/>
                    <a:stretch>
                      <a:fillRect/>
                    </a:stretch>
                  </pic:blipFill>
                  <pic:spPr>
                    <a:xfrm>
                      <a:off x="0" y="0"/>
                      <a:ext cx="4578350" cy="3694430"/>
                    </a:xfrm>
                    <a:prstGeom prst="rect">
                      <a:avLst/>
                    </a:prstGeom>
                  </pic:spPr>
                </pic:pic>
              </a:graphicData>
            </a:graphic>
          </wp:inline>
        </w:drawing>
      </w:r>
    </w:p>
    <w:p w14:paraId="638DF8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 xml:space="preserve">Fig. S2 </w:t>
      </w:r>
      <w:r>
        <w:rPr>
          <w:rFonts w:hint="default" w:ascii="Times New Roman" w:hAnsi="Times New Roman" w:eastAsia="宋体" w:cs="Times New Roman"/>
          <w:b w:val="0"/>
          <w:bCs w:val="0"/>
          <w:color w:val="auto"/>
          <w:kern w:val="0"/>
          <w:sz w:val="24"/>
          <w:szCs w:val="24"/>
          <w:lang w:val="en-US" w:eastAsia="zh-CN" w:bidi="ar-SA"/>
        </w:rPr>
        <w:t>Rarefaction curves.</w:t>
      </w:r>
    </w:p>
    <w:p w14:paraId="33937B58">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A1, pre-TIPS group; A2, pre-control treatment group; C1, 1-week post-TIPS group; C2, 1-week post-control treatment group; E1, 12-week post-TIPS group; E2, 12-week post-control treatment group; O, healthy control group.</w:t>
      </w:r>
    </w:p>
    <w:p w14:paraId="12C8947A">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0DCE035C">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388564D2">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6C8D6E2C">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229A2375">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604BF42E">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269079B3">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5634C01A">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19CF7876">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4780D6F1">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329B879A">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2A8F9494">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53CCA265">
      <w:pPr>
        <w:keepNext w:val="0"/>
        <w:keepLines w:val="0"/>
        <w:pageBreakBefore w:val="0"/>
        <w:widowControl/>
        <w:kinsoku/>
        <w:wordWrap/>
        <w:overflowPunct/>
        <w:topLinePunct w:val="0"/>
        <w:autoSpaceDE/>
        <w:autoSpaceDN/>
        <w:bidi w:val="0"/>
        <w:adjustRightInd/>
        <w:snapToGrid/>
        <w:spacing w:line="360" w:lineRule="auto"/>
        <w:ind w:left="0" w:leftChars="0"/>
        <w:textAlignment w:val="auto"/>
        <w:rPr>
          <w:rFonts w:hint="default" w:ascii="Times New Roman" w:hAnsi="Times New Roman" w:eastAsia="宋体" w:cs="Times New Roman"/>
          <w:color w:val="auto"/>
          <w:kern w:val="0"/>
          <w:sz w:val="24"/>
          <w:szCs w:val="24"/>
          <w:lang w:val="en-US" w:eastAsia="zh-CN" w:bidi="ar-SA"/>
        </w:rPr>
      </w:pPr>
    </w:p>
    <w:p w14:paraId="0BC11B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Times New Roman" w:hAnsi="Times New Roman" w:eastAsia="宋体" w:cs="Times New Roman"/>
          <w:b/>
          <w:bCs/>
          <w:color w:val="auto"/>
          <w:kern w:val="0"/>
          <w:sz w:val="24"/>
          <w:szCs w:val="24"/>
          <w:lang w:val="en-US" w:eastAsia="zh-CN" w:bidi="ar-SA"/>
        </w:rPr>
      </w:pPr>
      <w:r>
        <w:rPr>
          <w:rFonts w:hint="default" w:ascii="Times New Roman" w:hAnsi="Times New Roman" w:eastAsia="宋体" w:cs="Times New Roman"/>
          <w:b/>
          <w:bCs/>
          <w:color w:val="auto"/>
          <w:kern w:val="0"/>
          <w:sz w:val="24"/>
          <w:szCs w:val="24"/>
          <w:lang w:val="en-US" w:eastAsia="zh-CN" w:bidi="ar-SA"/>
        </w:rPr>
        <w:t>Supplementary Table S1. Baseline demographic and clinical characteristics of the study groups</w:t>
      </w:r>
    </w:p>
    <w:tbl>
      <w:tblPr>
        <w:tblStyle w:val="3"/>
        <w:tblW w:w="96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2081"/>
        <w:gridCol w:w="2128"/>
        <w:gridCol w:w="2045"/>
        <w:gridCol w:w="1109"/>
      </w:tblGrid>
      <w:tr w14:paraId="17D5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top w:val="single" w:color="auto" w:sz="12" w:space="0"/>
              <w:bottom w:val="single" w:color="auto" w:sz="6" w:space="0"/>
            </w:tcBorders>
            <w:noWrap w:val="0"/>
            <w:vAlign w:val="top"/>
          </w:tcPr>
          <w:p w14:paraId="41F8B19D">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Characteristics</w:t>
            </w:r>
          </w:p>
        </w:tc>
        <w:tc>
          <w:tcPr>
            <w:tcW w:w="2081" w:type="dxa"/>
            <w:tcBorders>
              <w:top w:val="single" w:color="auto" w:sz="12" w:space="0"/>
              <w:bottom w:val="single" w:color="auto" w:sz="6" w:space="0"/>
            </w:tcBorders>
            <w:noWrap w:val="0"/>
            <w:vAlign w:val="bottom"/>
          </w:tcPr>
          <w:p w14:paraId="5988D2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color w:val="auto"/>
                <w:sz w:val="21"/>
                <w:szCs w:val="21"/>
                <w:vertAlign w:val="baseline"/>
                <w:lang w:val="en-US" w:eastAsia="zh-CN"/>
              </w:rPr>
            </w:pPr>
            <w:r>
              <w:rPr>
                <w:rFonts w:hint="default" w:ascii="Times New Roman" w:hAnsi="Times New Roman" w:eastAsia="等线" w:cs="Times New Roman"/>
                <w:i w:val="0"/>
                <w:iCs w:val="0"/>
                <w:color w:val="auto"/>
                <w:kern w:val="0"/>
                <w:sz w:val="21"/>
                <w:szCs w:val="21"/>
                <w:u w:val="none"/>
                <w:lang w:val="en-US" w:eastAsia="zh-CN" w:bidi="ar"/>
              </w:rPr>
              <w:t>TG (n=20)</w:t>
            </w:r>
          </w:p>
        </w:tc>
        <w:tc>
          <w:tcPr>
            <w:tcW w:w="2128" w:type="dxa"/>
            <w:tcBorders>
              <w:top w:val="single" w:color="auto" w:sz="12" w:space="0"/>
              <w:bottom w:val="single" w:color="auto" w:sz="6" w:space="0"/>
            </w:tcBorders>
            <w:noWrap w:val="0"/>
            <w:vAlign w:val="bottom"/>
          </w:tcPr>
          <w:p w14:paraId="4DC15D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color w:val="auto"/>
                <w:sz w:val="21"/>
                <w:szCs w:val="21"/>
                <w:vertAlign w:val="baseline"/>
                <w:lang w:val="en-US" w:eastAsia="zh-CN"/>
              </w:rPr>
            </w:pPr>
            <w:r>
              <w:rPr>
                <w:rFonts w:hint="default" w:ascii="Times New Roman" w:hAnsi="Times New Roman" w:eastAsia="等线" w:cs="Times New Roman"/>
                <w:i w:val="0"/>
                <w:iCs w:val="0"/>
                <w:color w:val="auto"/>
                <w:kern w:val="0"/>
                <w:sz w:val="21"/>
                <w:szCs w:val="21"/>
                <w:u w:val="none"/>
                <w:lang w:val="en-US" w:eastAsia="zh-CN" w:bidi="ar"/>
              </w:rPr>
              <w:t>CG (n=20)</w:t>
            </w:r>
          </w:p>
        </w:tc>
        <w:tc>
          <w:tcPr>
            <w:tcW w:w="2045" w:type="dxa"/>
            <w:tcBorders>
              <w:top w:val="single" w:color="auto" w:sz="12" w:space="0"/>
              <w:bottom w:val="single" w:color="auto" w:sz="6" w:space="0"/>
            </w:tcBorders>
            <w:noWrap w:val="0"/>
            <w:vAlign w:val="bottom"/>
          </w:tcPr>
          <w:p w14:paraId="2903FE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color w:val="auto"/>
                <w:sz w:val="21"/>
                <w:szCs w:val="21"/>
                <w:vertAlign w:val="baseline"/>
                <w:lang w:val="en-US" w:eastAsia="zh-CN"/>
              </w:rPr>
            </w:pPr>
            <w:r>
              <w:rPr>
                <w:rFonts w:hint="default" w:ascii="Times New Roman" w:hAnsi="Times New Roman" w:eastAsia="等线" w:cs="Times New Roman"/>
                <w:i w:val="0"/>
                <w:iCs w:val="0"/>
                <w:color w:val="auto"/>
                <w:kern w:val="0"/>
                <w:sz w:val="21"/>
                <w:szCs w:val="21"/>
                <w:u w:val="none"/>
                <w:lang w:val="en-US" w:eastAsia="zh-CN" w:bidi="ar"/>
              </w:rPr>
              <w:t xml:space="preserve">HG </w:t>
            </w:r>
            <w:r>
              <w:rPr>
                <w:rFonts w:hint="eastAsia" w:ascii="Times New Roman" w:hAnsi="Times New Roman" w:eastAsia="等线" w:cs="Times New Roman"/>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n=10</w:t>
            </w:r>
            <w:r>
              <w:rPr>
                <w:rFonts w:hint="eastAsia" w:ascii="Times New Roman" w:hAnsi="Times New Roman" w:eastAsia="等线" w:cs="Times New Roman"/>
                <w:i w:val="0"/>
                <w:iCs w:val="0"/>
                <w:color w:val="auto"/>
                <w:kern w:val="0"/>
                <w:sz w:val="21"/>
                <w:szCs w:val="21"/>
                <w:u w:val="none"/>
                <w:lang w:val="en-US" w:eastAsia="zh-CN" w:bidi="ar"/>
              </w:rPr>
              <w:t>)</w:t>
            </w:r>
          </w:p>
        </w:tc>
        <w:tc>
          <w:tcPr>
            <w:tcW w:w="1109" w:type="dxa"/>
            <w:tcBorders>
              <w:top w:val="single" w:color="auto" w:sz="12" w:space="0"/>
              <w:bottom w:val="single" w:color="auto" w:sz="6" w:space="0"/>
            </w:tcBorders>
            <w:noWrap w:val="0"/>
            <w:vAlign w:val="bottom"/>
          </w:tcPr>
          <w:p w14:paraId="160D4A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color w:val="auto"/>
                <w:sz w:val="21"/>
                <w:szCs w:val="21"/>
                <w:vertAlign w:val="baseline"/>
                <w:lang w:val="en-US" w:eastAsia="zh-CN"/>
              </w:rPr>
            </w:pPr>
            <w:r>
              <w:rPr>
                <w:rFonts w:hint="default" w:ascii="Times New Roman" w:hAnsi="Times New Roman" w:eastAsia="等线" w:cs="Times New Roman"/>
                <w:i/>
                <w:iCs/>
                <w:color w:val="auto"/>
                <w:kern w:val="0"/>
                <w:sz w:val="21"/>
                <w:szCs w:val="21"/>
                <w:u w:val="none"/>
                <w:lang w:val="en-US" w:eastAsia="zh-CN" w:bidi="ar"/>
              </w:rPr>
              <w:t>P</w:t>
            </w:r>
          </w:p>
        </w:tc>
      </w:tr>
      <w:tr w14:paraId="232E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72144D12">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Age, years</w:t>
            </w:r>
          </w:p>
        </w:tc>
        <w:tc>
          <w:tcPr>
            <w:tcW w:w="2081" w:type="dxa"/>
            <w:noWrap w:val="0"/>
            <w:vAlign w:val="center"/>
          </w:tcPr>
          <w:p w14:paraId="7946ADD7">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53.60 ± 9.27</w:t>
            </w:r>
          </w:p>
        </w:tc>
        <w:tc>
          <w:tcPr>
            <w:tcW w:w="2128" w:type="dxa"/>
            <w:noWrap w:val="0"/>
            <w:vAlign w:val="center"/>
          </w:tcPr>
          <w:p w14:paraId="2DDA2B68">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56.30 ± 12.33</w:t>
            </w:r>
          </w:p>
        </w:tc>
        <w:tc>
          <w:tcPr>
            <w:tcW w:w="2045" w:type="dxa"/>
            <w:noWrap w:val="0"/>
            <w:vAlign w:val="center"/>
          </w:tcPr>
          <w:p w14:paraId="3A98A7C1">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55.40 ± 4.56</w:t>
            </w:r>
          </w:p>
        </w:tc>
        <w:tc>
          <w:tcPr>
            <w:tcW w:w="1109" w:type="dxa"/>
            <w:noWrap w:val="0"/>
            <w:vAlign w:val="center"/>
          </w:tcPr>
          <w:p w14:paraId="1AFE72FD">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0.716</w:t>
            </w:r>
          </w:p>
        </w:tc>
      </w:tr>
      <w:tr w14:paraId="2942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shd w:val="clear" w:color="auto" w:fill="auto"/>
            <w:noWrap w:val="0"/>
            <w:vAlign w:val="center"/>
          </w:tcPr>
          <w:p w14:paraId="4E88D109">
            <w:pPr>
              <w:keepNext w:val="0"/>
              <w:keepLines w:val="0"/>
              <w:widowControl/>
              <w:suppressLineNumbers w:val="0"/>
              <w:jc w:val="left"/>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
              </w:rPr>
              <w:t>Sex, n (%)</w:t>
            </w:r>
          </w:p>
        </w:tc>
        <w:tc>
          <w:tcPr>
            <w:tcW w:w="2081" w:type="dxa"/>
            <w:noWrap w:val="0"/>
            <w:vAlign w:val="center"/>
          </w:tcPr>
          <w:p w14:paraId="2E1EA4F0">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c>
          <w:tcPr>
            <w:tcW w:w="2128" w:type="dxa"/>
            <w:noWrap w:val="0"/>
            <w:vAlign w:val="center"/>
          </w:tcPr>
          <w:p w14:paraId="5B861E71">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c>
          <w:tcPr>
            <w:tcW w:w="2045" w:type="dxa"/>
            <w:noWrap w:val="0"/>
            <w:vAlign w:val="center"/>
          </w:tcPr>
          <w:p w14:paraId="6FD91654">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c>
          <w:tcPr>
            <w:tcW w:w="1109" w:type="dxa"/>
            <w:shd w:val="clear" w:color="auto" w:fill="auto"/>
            <w:noWrap w:val="0"/>
            <w:vAlign w:val="center"/>
          </w:tcPr>
          <w:p w14:paraId="5A341DD0">
            <w:pPr>
              <w:keepNext w:val="0"/>
              <w:keepLines w:val="0"/>
              <w:widowControl/>
              <w:suppressLineNumbers w:val="0"/>
              <w:jc w:val="left"/>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eastAsia="宋体" w:cs="Times New Roman"/>
                <w:color w:val="auto"/>
                <w:kern w:val="0"/>
                <w:sz w:val="21"/>
                <w:szCs w:val="21"/>
                <w:lang w:val="en-US" w:eastAsia="zh-CN" w:bidi="ar"/>
              </w:rPr>
              <w:t>0.700</w:t>
            </w:r>
          </w:p>
        </w:tc>
      </w:tr>
      <w:tr w14:paraId="07B7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shd w:val="clear" w:color="auto" w:fill="auto"/>
            <w:noWrap w:val="0"/>
            <w:vAlign w:val="center"/>
          </w:tcPr>
          <w:p w14:paraId="36EEB74F">
            <w:pPr>
              <w:keepNext w:val="0"/>
              <w:keepLines w:val="0"/>
              <w:widowControl/>
              <w:suppressLineNumbers w:val="0"/>
              <w:jc w:val="left"/>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
              </w:rPr>
              <w:t>Male</w:t>
            </w:r>
          </w:p>
        </w:tc>
        <w:tc>
          <w:tcPr>
            <w:tcW w:w="2081" w:type="dxa"/>
            <w:noWrap w:val="0"/>
            <w:vAlign w:val="center"/>
          </w:tcPr>
          <w:p w14:paraId="2369FA7D">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14 (70.0%)</w:t>
            </w:r>
          </w:p>
        </w:tc>
        <w:tc>
          <w:tcPr>
            <w:tcW w:w="2128" w:type="dxa"/>
            <w:noWrap w:val="0"/>
            <w:vAlign w:val="center"/>
          </w:tcPr>
          <w:p w14:paraId="0C375B73">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15 (75.0%)</w:t>
            </w:r>
          </w:p>
        </w:tc>
        <w:tc>
          <w:tcPr>
            <w:tcW w:w="2045" w:type="dxa"/>
            <w:noWrap w:val="0"/>
            <w:vAlign w:val="center"/>
          </w:tcPr>
          <w:p w14:paraId="3F80AAFD">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6 (60.0%)</w:t>
            </w:r>
          </w:p>
        </w:tc>
        <w:tc>
          <w:tcPr>
            <w:tcW w:w="1109" w:type="dxa"/>
            <w:noWrap w:val="0"/>
            <w:vAlign w:val="center"/>
          </w:tcPr>
          <w:p w14:paraId="3CE7B68A">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r>
      <w:tr w14:paraId="0E67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shd w:val="clear" w:color="auto" w:fill="auto"/>
            <w:noWrap w:val="0"/>
            <w:vAlign w:val="center"/>
          </w:tcPr>
          <w:p w14:paraId="5753392B">
            <w:pPr>
              <w:keepNext w:val="0"/>
              <w:keepLines w:val="0"/>
              <w:widowControl/>
              <w:suppressLineNumbers w:val="0"/>
              <w:jc w:val="left"/>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
              </w:rPr>
              <w:t>Female</w:t>
            </w:r>
          </w:p>
        </w:tc>
        <w:tc>
          <w:tcPr>
            <w:tcW w:w="2081" w:type="dxa"/>
            <w:noWrap w:val="0"/>
            <w:vAlign w:val="center"/>
          </w:tcPr>
          <w:p w14:paraId="07D7D462">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6 (30.0%)</w:t>
            </w:r>
          </w:p>
        </w:tc>
        <w:tc>
          <w:tcPr>
            <w:tcW w:w="2128" w:type="dxa"/>
            <w:noWrap w:val="0"/>
            <w:vAlign w:val="center"/>
          </w:tcPr>
          <w:p w14:paraId="112F5DBB">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5 (25.0%)</w:t>
            </w:r>
          </w:p>
        </w:tc>
        <w:tc>
          <w:tcPr>
            <w:tcW w:w="2045" w:type="dxa"/>
            <w:noWrap w:val="0"/>
            <w:vAlign w:val="center"/>
          </w:tcPr>
          <w:p w14:paraId="11A2829F">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4 (40.0%)</w:t>
            </w:r>
          </w:p>
        </w:tc>
        <w:tc>
          <w:tcPr>
            <w:tcW w:w="1109" w:type="dxa"/>
            <w:noWrap w:val="0"/>
            <w:vAlign w:val="center"/>
          </w:tcPr>
          <w:p w14:paraId="4FE47321">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r>
      <w:tr w14:paraId="5CE1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3885CB94">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Etiology, n (%)</w:t>
            </w:r>
          </w:p>
        </w:tc>
        <w:tc>
          <w:tcPr>
            <w:tcW w:w="2081" w:type="dxa"/>
            <w:noWrap w:val="0"/>
            <w:vAlign w:val="center"/>
          </w:tcPr>
          <w:p w14:paraId="3A31A005">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c>
          <w:tcPr>
            <w:tcW w:w="2128" w:type="dxa"/>
            <w:noWrap w:val="0"/>
            <w:vAlign w:val="center"/>
          </w:tcPr>
          <w:p w14:paraId="2FCE1622">
            <w:pPr>
              <w:widowControl w:val="0"/>
              <w:jc w:val="both"/>
              <w:rPr>
                <w:rFonts w:hint="default" w:ascii="Times New Roman" w:hAnsi="Times New Roman" w:eastAsia="等线" w:cs="Times New Roman"/>
                <w:i w:val="0"/>
                <w:iCs w:val="0"/>
                <w:color w:val="auto"/>
                <w:kern w:val="0"/>
                <w:sz w:val="21"/>
                <w:szCs w:val="21"/>
                <w:u w:val="none"/>
                <w:lang w:val="en-US" w:eastAsia="zh-CN" w:bidi="ar"/>
              </w:rPr>
            </w:pPr>
          </w:p>
        </w:tc>
        <w:tc>
          <w:tcPr>
            <w:tcW w:w="2045" w:type="dxa"/>
            <w:noWrap w:val="0"/>
            <w:vAlign w:val="center"/>
          </w:tcPr>
          <w:p w14:paraId="5F89BA70">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55137C83">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0.915</w:t>
            </w:r>
          </w:p>
        </w:tc>
      </w:tr>
      <w:tr w14:paraId="5FDF3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239AC6FC">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Hepatitis B</w:t>
            </w:r>
          </w:p>
        </w:tc>
        <w:tc>
          <w:tcPr>
            <w:tcW w:w="2081" w:type="dxa"/>
            <w:noWrap w:val="0"/>
            <w:vAlign w:val="center"/>
          </w:tcPr>
          <w:p w14:paraId="2B5C2699">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14 (70.0%)</w:t>
            </w:r>
          </w:p>
        </w:tc>
        <w:tc>
          <w:tcPr>
            <w:tcW w:w="2128" w:type="dxa"/>
            <w:noWrap w:val="0"/>
            <w:vAlign w:val="center"/>
          </w:tcPr>
          <w:p w14:paraId="069D4A51">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15 (75.0%)</w:t>
            </w:r>
          </w:p>
        </w:tc>
        <w:tc>
          <w:tcPr>
            <w:tcW w:w="2045" w:type="dxa"/>
            <w:noWrap w:val="0"/>
            <w:vAlign w:val="center"/>
          </w:tcPr>
          <w:p w14:paraId="45ED75EF">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1D092498">
            <w:pPr>
              <w:widowControl w:val="0"/>
              <w:jc w:val="both"/>
              <w:rPr>
                <w:rFonts w:hint="default" w:ascii="Times New Roman" w:hAnsi="Times New Roman" w:cs="Times New Roman"/>
                <w:color w:val="auto"/>
                <w:sz w:val="21"/>
                <w:szCs w:val="21"/>
                <w:vertAlign w:val="baseline"/>
                <w:lang w:val="en-US" w:eastAsia="zh-CN"/>
              </w:rPr>
            </w:pPr>
          </w:p>
        </w:tc>
      </w:tr>
      <w:tr w14:paraId="2BF6B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4738AECD">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Alcoholic hepatitis</w:t>
            </w:r>
          </w:p>
        </w:tc>
        <w:tc>
          <w:tcPr>
            <w:tcW w:w="2081" w:type="dxa"/>
            <w:noWrap w:val="0"/>
            <w:vAlign w:val="center"/>
          </w:tcPr>
          <w:p w14:paraId="5911986B">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4 (20.0%)</w:t>
            </w:r>
          </w:p>
        </w:tc>
        <w:tc>
          <w:tcPr>
            <w:tcW w:w="2128" w:type="dxa"/>
            <w:noWrap w:val="0"/>
            <w:vAlign w:val="center"/>
          </w:tcPr>
          <w:p w14:paraId="3B481079">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3 (15.0%)</w:t>
            </w:r>
          </w:p>
        </w:tc>
        <w:tc>
          <w:tcPr>
            <w:tcW w:w="2045" w:type="dxa"/>
            <w:noWrap w:val="0"/>
            <w:vAlign w:val="center"/>
          </w:tcPr>
          <w:p w14:paraId="776B7BF6">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587624D3">
            <w:pPr>
              <w:widowControl w:val="0"/>
              <w:jc w:val="both"/>
              <w:rPr>
                <w:rFonts w:hint="default" w:ascii="Times New Roman" w:hAnsi="Times New Roman" w:cs="Times New Roman"/>
                <w:color w:val="auto"/>
                <w:sz w:val="21"/>
                <w:szCs w:val="21"/>
                <w:vertAlign w:val="baseline"/>
                <w:lang w:val="en-US" w:eastAsia="zh-CN"/>
              </w:rPr>
            </w:pPr>
          </w:p>
        </w:tc>
      </w:tr>
      <w:tr w14:paraId="61021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116C315F">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Autoimmune liver disease</w:t>
            </w:r>
          </w:p>
        </w:tc>
        <w:tc>
          <w:tcPr>
            <w:tcW w:w="2081" w:type="dxa"/>
            <w:noWrap w:val="0"/>
            <w:vAlign w:val="center"/>
          </w:tcPr>
          <w:p w14:paraId="6ADB9F1D">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 (10.0%)</w:t>
            </w:r>
          </w:p>
        </w:tc>
        <w:tc>
          <w:tcPr>
            <w:tcW w:w="2128" w:type="dxa"/>
            <w:noWrap w:val="0"/>
            <w:vAlign w:val="center"/>
          </w:tcPr>
          <w:p w14:paraId="44AC88DC">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 (10.0%)</w:t>
            </w:r>
          </w:p>
        </w:tc>
        <w:tc>
          <w:tcPr>
            <w:tcW w:w="2045" w:type="dxa"/>
            <w:noWrap w:val="0"/>
            <w:vAlign w:val="center"/>
          </w:tcPr>
          <w:p w14:paraId="3463C95B">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7577BD52">
            <w:pPr>
              <w:widowControl w:val="0"/>
              <w:jc w:val="both"/>
              <w:rPr>
                <w:rFonts w:hint="default" w:ascii="Times New Roman" w:hAnsi="Times New Roman" w:cs="Times New Roman"/>
                <w:color w:val="auto"/>
                <w:sz w:val="21"/>
                <w:szCs w:val="21"/>
                <w:vertAlign w:val="baseline"/>
                <w:lang w:val="en-US" w:eastAsia="zh-CN"/>
              </w:rPr>
            </w:pPr>
          </w:p>
        </w:tc>
      </w:tr>
      <w:tr w14:paraId="68F2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11A026DD">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History of HE, n (%)</w:t>
            </w:r>
          </w:p>
        </w:tc>
        <w:tc>
          <w:tcPr>
            <w:tcW w:w="2081" w:type="dxa"/>
            <w:noWrap w:val="0"/>
            <w:vAlign w:val="center"/>
          </w:tcPr>
          <w:p w14:paraId="614AC30E">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4 (20.0%)</w:t>
            </w:r>
          </w:p>
        </w:tc>
        <w:tc>
          <w:tcPr>
            <w:tcW w:w="2128" w:type="dxa"/>
            <w:noWrap w:val="0"/>
            <w:vAlign w:val="center"/>
          </w:tcPr>
          <w:p w14:paraId="1E30DF2D">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2 (10.0%)</w:t>
            </w:r>
          </w:p>
        </w:tc>
        <w:tc>
          <w:tcPr>
            <w:tcW w:w="2045" w:type="dxa"/>
            <w:noWrap w:val="0"/>
            <w:vAlign w:val="center"/>
          </w:tcPr>
          <w:p w14:paraId="4CA6FE2E">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599EA1B5">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0.661</w:t>
            </w:r>
          </w:p>
        </w:tc>
      </w:tr>
      <w:tr w14:paraId="1380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3A8EA628">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Previous EGVB, n (%)</w:t>
            </w:r>
          </w:p>
        </w:tc>
        <w:tc>
          <w:tcPr>
            <w:tcW w:w="2081" w:type="dxa"/>
            <w:noWrap w:val="0"/>
            <w:vAlign w:val="center"/>
          </w:tcPr>
          <w:p w14:paraId="114F4CF8">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5 (25.0%)</w:t>
            </w:r>
          </w:p>
        </w:tc>
        <w:tc>
          <w:tcPr>
            <w:tcW w:w="2128" w:type="dxa"/>
            <w:noWrap w:val="0"/>
            <w:vAlign w:val="center"/>
          </w:tcPr>
          <w:p w14:paraId="3761BB00">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1 (5.0%)</w:t>
            </w:r>
          </w:p>
        </w:tc>
        <w:tc>
          <w:tcPr>
            <w:tcW w:w="2045" w:type="dxa"/>
            <w:noWrap w:val="0"/>
            <w:vAlign w:val="center"/>
          </w:tcPr>
          <w:p w14:paraId="6AA74F4E">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23EBAC34">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0.182</w:t>
            </w:r>
          </w:p>
        </w:tc>
      </w:tr>
      <w:tr w14:paraId="76F4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04CC16B6">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Refractory ascites, n (%)</w:t>
            </w:r>
          </w:p>
        </w:tc>
        <w:tc>
          <w:tcPr>
            <w:tcW w:w="2081" w:type="dxa"/>
            <w:noWrap w:val="0"/>
            <w:vAlign w:val="center"/>
          </w:tcPr>
          <w:p w14:paraId="7615FC34">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8 (40.0%)</w:t>
            </w:r>
          </w:p>
        </w:tc>
        <w:tc>
          <w:tcPr>
            <w:tcW w:w="2128" w:type="dxa"/>
            <w:noWrap w:val="0"/>
            <w:vAlign w:val="center"/>
          </w:tcPr>
          <w:p w14:paraId="45FD20E3">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0 (0.0%)</w:t>
            </w:r>
          </w:p>
        </w:tc>
        <w:tc>
          <w:tcPr>
            <w:tcW w:w="2045" w:type="dxa"/>
            <w:noWrap w:val="0"/>
            <w:vAlign w:val="center"/>
          </w:tcPr>
          <w:p w14:paraId="6BAA3321">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6640B16A">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0.003</w:t>
            </w:r>
          </w:p>
        </w:tc>
      </w:tr>
      <w:tr w14:paraId="71B3C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020B6C43">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HRS-AKI at enrollment, n (%)</w:t>
            </w:r>
          </w:p>
        </w:tc>
        <w:tc>
          <w:tcPr>
            <w:tcW w:w="2081" w:type="dxa"/>
            <w:noWrap w:val="0"/>
            <w:vAlign w:val="center"/>
          </w:tcPr>
          <w:p w14:paraId="63A17A53">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3 (15.0%)</w:t>
            </w:r>
          </w:p>
        </w:tc>
        <w:tc>
          <w:tcPr>
            <w:tcW w:w="2128" w:type="dxa"/>
            <w:noWrap w:val="0"/>
            <w:vAlign w:val="center"/>
          </w:tcPr>
          <w:p w14:paraId="332699E1">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0 (0.0%)</w:t>
            </w:r>
          </w:p>
        </w:tc>
        <w:tc>
          <w:tcPr>
            <w:tcW w:w="2045" w:type="dxa"/>
            <w:noWrap w:val="0"/>
            <w:vAlign w:val="center"/>
          </w:tcPr>
          <w:p w14:paraId="5E05915B">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1302FD7C">
            <w:pPr>
              <w:keepNext w:val="0"/>
              <w:keepLines w:val="0"/>
              <w:widowControl/>
              <w:suppressLineNumbers w:val="0"/>
              <w:jc w:val="left"/>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lang w:val="en-US" w:eastAsia="zh-CN" w:bidi="ar"/>
              </w:rPr>
              <w:t>0.231</w:t>
            </w:r>
          </w:p>
        </w:tc>
      </w:tr>
      <w:tr w14:paraId="1970C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3FBE996E">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Lactulose use, n (%)</w:t>
            </w:r>
          </w:p>
        </w:tc>
        <w:tc>
          <w:tcPr>
            <w:tcW w:w="2081" w:type="dxa"/>
            <w:noWrap w:val="0"/>
            <w:vAlign w:val="center"/>
          </w:tcPr>
          <w:p w14:paraId="23CFB80B">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9 (45.0%)</w:t>
            </w:r>
          </w:p>
        </w:tc>
        <w:tc>
          <w:tcPr>
            <w:tcW w:w="2128" w:type="dxa"/>
            <w:noWrap w:val="0"/>
            <w:vAlign w:val="center"/>
          </w:tcPr>
          <w:p w14:paraId="2F0EE778">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6 (30.0%)</w:t>
            </w:r>
          </w:p>
        </w:tc>
        <w:tc>
          <w:tcPr>
            <w:tcW w:w="2045" w:type="dxa"/>
            <w:noWrap w:val="0"/>
            <w:vAlign w:val="center"/>
          </w:tcPr>
          <w:p w14:paraId="71361FFC">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6F2DF335">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0.514</w:t>
            </w:r>
          </w:p>
        </w:tc>
      </w:tr>
      <w:tr w14:paraId="0F86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37013562">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Diuretic use, n (%)</w:t>
            </w:r>
          </w:p>
        </w:tc>
        <w:tc>
          <w:tcPr>
            <w:tcW w:w="2081" w:type="dxa"/>
            <w:noWrap w:val="0"/>
            <w:vAlign w:val="center"/>
          </w:tcPr>
          <w:p w14:paraId="3EC609B7">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8 (40.0%)</w:t>
            </w:r>
          </w:p>
        </w:tc>
        <w:tc>
          <w:tcPr>
            <w:tcW w:w="2128" w:type="dxa"/>
            <w:noWrap w:val="0"/>
            <w:vAlign w:val="center"/>
          </w:tcPr>
          <w:p w14:paraId="7C9DDF7C">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4 (20.0%)</w:t>
            </w:r>
          </w:p>
        </w:tc>
        <w:tc>
          <w:tcPr>
            <w:tcW w:w="2045" w:type="dxa"/>
            <w:noWrap w:val="0"/>
            <w:vAlign w:val="center"/>
          </w:tcPr>
          <w:p w14:paraId="3DD227E2">
            <w:pPr>
              <w:keepNext w:val="0"/>
              <w:keepLines w:val="0"/>
              <w:widowControl/>
              <w:suppressLineNumbers w:val="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16ED2418">
            <w:pPr>
              <w:keepNext w:val="0"/>
              <w:keepLines w:val="0"/>
              <w:widowControl/>
              <w:suppressLineNumbers w:val="0"/>
              <w:jc w:val="left"/>
              <w:rPr>
                <w:rFonts w:hint="eastAsia"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0.301</w:t>
            </w:r>
          </w:p>
        </w:tc>
      </w:tr>
      <w:tr w14:paraId="11EF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noWrap w:val="0"/>
            <w:vAlign w:val="center"/>
          </w:tcPr>
          <w:p w14:paraId="60D2C1FE">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Child-Pugh score</w:t>
            </w:r>
          </w:p>
        </w:tc>
        <w:tc>
          <w:tcPr>
            <w:tcW w:w="2081" w:type="dxa"/>
            <w:noWrap w:val="0"/>
            <w:vAlign w:val="center"/>
          </w:tcPr>
          <w:p w14:paraId="155FFF2F">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7.40 ± 0.94</w:t>
            </w:r>
          </w:p>
        </w:tc>
        <w:tc>
          <w:tcPr>
            <w:tcW w:w="2128" w:type="dxa"/>
            <w:noWrap w:val="0"/>
            <w:vAlign w:val="center"/>
          </w:tcPr>
          <w:p w14:paraId="4D5069C8">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7.45 ± 1.40</w:t>
            </w:r>
          </w:p>
        </w:tc>
        <w:tc>
          <w:tcPr>
            <w:tcW w:w="2045" w:type="dxa"/>
            <w:noWrap w:val="0"/>
            <w:vAlign w:val="center"/>
          </w:tcPr>
          <w:p w14:paraId="636724A2">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noWrap w:val="0"/>
            <w:vAlign w:val="center"/>
          </w:tcPr>
          <w:p w14:paraId="4D1F7293">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0.620</w:t>
            </w:r>
          </w:p>
        </w:tc>
      </w:tr>
      <w:tr w14:paraId="6082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8" w:type="dxa"/>
            <w:tcBorders>
              <w:bottom w:val="single" w:color="auto" w:sz="12" w:space="0"/>
            </w:tcBorders>
            <w:noWrap w:val="0"/>
            <w:vAlign w:val="center"/>
          </w:tcPr>
          <w:p w14:paraId="7C2E0232">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MELD score</w:t>
            </w:r>
          </w:p>
        </w:tc>
        <w:tc>
          <w:tcPr>
            <w:tcW w:w="2081" w:type="dxa"/>
            <w:tcBorders>
              <w:bottom w:val="single" w:color="auto" w:sz="12" w:space="0"/>
            </w:tcBorders>
            <w:noWrap w:val="0"/>
            <w:vAlign w:val="center"/>
          </w:tcPr>
          <w:p w14:paraId="08EE0454">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9.65 ± 3.05</w:t>
            </w:r>
          </w:p>
        </w:tc>
        <w:tc>
          <w:tcPr>
            <w:tcW w:w="2128" w:type="dxa"/>
            <w:tcBorders>
              <w:bottom w:val="single" w:color="auto" w:sz="12" w:space="0"/>
            </w:tcBorders>
            <w:noWrap w:val="0"/>
            <w:vAlign w:val="center"/>
          </w:tcPr>
          <w:p w14:paraId="4A7E2B75">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9.75 ± 5.03</w:t>
            </w:r>
          </w:p>
        </w:tc>
        <w:tc>
          <w:tcPr>
            <w:tcW w:w="2045" w:type="dxa"/>
            <w:tcBorders>
              <w:bottom w:val="single" w:color="auto" w:sz="12" w:space="0"/>
            </w:tcBorders>
            <w:noWrap w:val="0"/>
            <w:vAlign w:val="center"/>
          </w:tcPr>
          <w:p w14:paraId="7FCB6018">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NA</w:t>
            </w:r>
          </w:p>
        </w:tc>
        <w:tc>
          <w:tcPr>
            <w:tcW w:w="1109" w:type="dxa"/>
            <w:tcBorders>
              <w:bottom w:val="single" w:color="auto" w:sz="12" w:space="0"/>
            </w:tcBorders>
            <w:noWrap w:val="0"/>
            <w:vAlign w:val="center"/>
          </w:tcPr>
          <w:p w14:paraId="26464D2B">
            <w:pPr>
              <w:keepNext w:val="0"/>
              <w:keepLines w:val="0"/>
              <w:widowControl/>
              <w:suppressLineNumbers w:val="0"/>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0.745</w:t>
            </w:r>
          </w:p>
        </w:tc>
      </w:tr>
    </w:tbl>
    <w:p w14:paraId="28659188">
      <w:pPr>
        <w:rPr>
          <w:rFonts w:hint="default" w:ascii="Times New Roman" w:hAnsi="Times New Roman" w:cs="Times New Roman"/>
          <w:b/>
          <w:bCs/>
          <w:color w:val="auto"/>
          <w:sz w:val="24"/>
          <w:szCs w:val="24"/>
          <w:lang w:val="en-US" w:eastAsia="zh-CN"/>
        </w:rPr>
      </w:pPr>
    </w:p>
    <w:p w14:paraId="1AC9064C">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40" w:firstLineChars="200"/>
        <w:jc w:val="both"/>
        <w:textAlignment w:val="auto"/>
        <w:rPr>
          <w:rFonts w:hint="default" w:ascii="Times New Roman" w:hAnsi="Times New Roman" w:eastAsia="宋体" w:cs="Times New Roman"/>
          <w:b w:val="0"/>
          <w:i w:val="0"/>
          <w:strike w:val="0"/>
          <w:color w:val="auto"/>
          <w:kern w:val="0"/>
          <w:sz w:val="22"/>
          <w:szCs w:val="22"/>
          <w:u w:val="none"/>
          <w:lang w:val="en-US" w:eastAsia="zh-CN" w:bidi="ar-SA"/>
        </w:rPr>
      </w:pPr>
      <w:r>
        <w:rPr>
          <w:rFonts w:hint="default" w:ascii="Times New Roman" w:hAnsi="Times New Roman" w:eastAsia="宋体" w:cs="Times New Roman"/>
          <w:b w:val="0"/>
          <w:i w:val="0"/>
          <w:strike w:val="0"/>
          <w:color w:val="auto"/>
          <w:sz w:val="22"/>
          <w:szCs w:val="22"/>
          <w:u w:val="none"/>
        </w:rPr>
        <w:t xml:space="preserve">Data are presented as mean ± SD or n (%). Age and sex were compared among the three groups. Disease-specific variables, including etiology, history of HE, previous EGVB, refractory ascites, HRS-AKI, </w:t>
      </w:r>
      <w:r>
        <w:rPr>
          <w:rFonts w:hint="eastAsia" w:ascii="Times New Roman" w:hAnsi="Times New Roman" w:cs="Times New Roman"/>
          <w:b w:val="0"/>
          <w:i w:val="0"/>
          <w:strike w:val="0"/>
          <w:color w:val="auto"/>
          <w:kern w:val="0"/>
          <w:sz w:val="22"/>
          <w:szCs w:val="22"/>
          <w:u w:val="none"/>
          <w:lang w:val="en-US" w:eastAsia="zh-CN" w:bidi="ar-SA"/>
        </w:rPr>
        <w:t>l</w:t>
      </w:r>
      <w:r>
        <w:rPr>
          <w:rFonts w:hint="default" w:ascii="Times New Roman" w:hAnsi="Times New Roman" w:eastAsia="宋体" w:cs="Times New Roman"/>
          <w:b w:val="0"/>
          <w:i w:val="0"/>
          <w:strike w:val="0"/>
          <w:color w:val="auto"/>
          <w:kern w:val="0"/>
          <w:sz w:val="22"/>
          <w:szCs w:val="22"/>
          <w:u w:val="none"/>
          <w:lang w:val="en-US" w:eastAsia="zh-CN" w:bidi="ar-SA"/>
        </w:rPr>
        <w:t>actulose use</w:t>
      </w:r>
      <w:r>
        <w:rPr>
          <w:rFonts w:hint="eastAsia" w:ascii="Times New Roman" w:hAnsi="Times New Roman" w:cs="Times New Roman"/>
          <w:b w:val="0"/>
          <w:i w:val="0"/>
          <w:strike w:val="0"/>
          <w:color w:val="auto"/>
          <w:kern w:val="0"/>
          <w:sz w:val="22"/>
          <w:szCs w:val="22"/>
          <w:u w:val="none"/>
          <w:lang w:val="en-US" w:eastAsia="zh-CN" w:bidi="ar-SA"/>
        </w:rPr>
        <w:t>, d</w:t>
      </w:r>
      <w:r>
        <w:rPr>
          <w:rFonts w:hint="default" w:ascii="Times New Roman" w:hAnsi="Times New Roman" w:eastAsia="宋体" w:cs="Times New Roman"/>
          <w:b w:val="0"/>
          <w:i w:val="0"/>
          <w:strike w:val="0"/>
          <w:color w:val="auto"/>
          <w:kern w:val="0"/>
          <w:sz w:val="22"/>
          <w:szCs w:val="22"/>
          <w:u w:val="none"/>
          <w:lang w:val="en-US" w:eastAsia="zh-CN" w:bidi="ar-SA"/>
        </w:rPr>
        <w:t>iuretic use</w:t>
      </w:r>
      <w:r>
        <w:rPr>
          <w:rFonts w:hint="eastAsia" w:ascii="Times New Roman" w:hAnsi="Times New Roman" w:cs="Times New Roman"/>
          <w:b w:val="0"/>
          <w:i w:val="0"/>
          <w:strike w:val="0"/>
          <w:color w:val="auto"/>
          <w:kern w:val="0"/>
          <w:sz w:val="22"/>
          <w:szCs w:val="22"/>
          <w:u w:val="none"/>
          <w:lang w:val="en-US" w:eastAsia="zh-CN" w:bidi="ar-SA"/>
        </w:rPr>
        <w:t xml:space="preserve">, </w:t>
      </w:r>
      <w:r>
        <w:rPr>
          <w:rFonts w:hint="default" w:ascii="Times New Roman" w:hAnsi="Times New Roman" w:eastAsia="宋体" w:cs="Times New Roman"/>
          <w:b w:val="0"/>
          <w:i w:val="0"/>
          <w:strike w:val="0"/>
          <w:color w:val="auto"/>
          <w:sz w:val="22"/>
          <w:szCs w:val="22"/>
          <w:u w:val="none"/>
        </w:rPr>
        <w:t>Child-Pugh score, and MELD score, were compared only between the TG and CG because they were not applicable to healthy controls</w:t>
      </w:r>
      <w:r>
        <w:rPr>
          <w:rFonts w:hint="eastAsia" w:ascii="Times New Roman" w:hAnsi="Times New Roman" w:cs="Times New Roman"/>
          <w:b w:val="0"/>
          <w:i w:val="0"/>
          <w:strike w:val="0"/>
          <w:color w:val="auto"/>
          <w:sz w:val="22"/>
          <w:szCs w:val="22"/>
          <w:u w:val="none"/>
          <w:lang w:val="en-US" w:eastAsia="zh-CN"/>
        </w:rPr>
        <w:t>.</w:t>
      </w:r>
      <w:r>
        <w:rPr>
          <w:rFonts w:hint="default" w:ascii="Times New Roman" w:hAnsi="Times New Roman" w:eastAsia="宋体" w:cs="Times New Roman"/>
          <w:b w:val="0"/>
          <w:i w:val="0"/>
          <w:strike w:val="0"/>
          <w:color w:val="auto"/>
          <w:sz w:val="22"/>
          <w:szCs w:val="22"/>
          <w:u w:val="none"/>
        </w:rPr>
        <w:t xml:space="preserve"> </w:t>
      </w:r>
      <w:r>
        <w:rPr>
          <w:rFonts w:hint="default" w:ascii="Times New Roman" w:hAnsi="Times New Roman" w:eastAsia="宋体" w:cs="Times New Roman"/>
          <w:b w:val="0"/>
          <w:i w:val="0"/>
          <w:strike w:val="0"/>
          <w:color w:val="auto"/>
          <w:kern w:val="0"/>
          <w:sz w:val="22"/>
          <w:szCs w:val="22"/>
          <w:u w:val="none"/>
          <w:lang w:val="en-US" w:eastAsia="zh-CN" w:bidi="ar-SA"/>
        </w:rPr>
        <w:t>TG, TIPS treatment group; CG, control treatment group; HG, healthy control group; HE, hepatic encephalopathy; EGVB, esophagogastric variceal bleeding; HRS-AKI, hepatorenal syndrome–acute kidney injury; NA, not applicable.</w:t>
      </w:r>
    </w:p>
    <w:p w14:paraId="7F010C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b/>
          <w:bCs/>
          <w:color w:val="auto"/>
          <w:sz w:val="24"/>
          <w:szCs w:val="24"/>
          <w:lang w:val="en-US" w:eastAsia="zh-CN"/>
        </w:rPr>
      </w:pPr>
    </w:p>
    <w:p w14:paraId="7583E6F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宋体" w:cs="Times New Roman"/>
          <w:b/>
          <w:bCs/>
          <w:i w:val="0"/>
          <w:strike w:val="0"/>
          <w:color w:val="auto"/>
          <w:kern w:val="0"/>
          <w:sz w:val="24"/>
          <w:szCs w:val="24"/>
          <w:u w:val="none"/>
          <w:lang w:val="en-US" w:eastAsia="zh-CN" w:bidi="ar-SA"/>
        </w:rPr>
      </w:pPr>
      <w:r>
        <w:rPr>
          <w:rFonts w:hint="default" w:ascii="Times New Roman" w:hAnsi="Times New Roman" w:eastAsia="宋体" w:cs="Times New Roman"/>
          <w:b/>
          <w:bCs/>
          <w:i w:val="0"/>
          <w:strike w:val="0"/>
          <w:color w:val="auto"/>
          <w:kern w:val="0"/>
          <w:sz w:val="24"/>
          <w:szCs w:val="24"/>
          <w:u w:val="none"/>
          <w:lang w:val="en-US" w:eastAsia="zh-CN" w:bidi="ar-SA"/>
        </w:rPr>
        <w:t xml:space="preserve">Supplementary Table S2. Clinical outcomes during the 12-week follow-up </w:t>
      </w:r>
      <w:r>
        <w:rPr>
          <w:rFonts w:hint="eastAsia" w:ascii="Times New Roman" w:hAnsi="Times New Roman" w:eastAsia="宋体" w:cs="Times New Roman"/>
          <w:b/>
          <w:bCs/>
          <w:i w:val="0"/>
          <w:strike w:val="0"/>
          <w:color w:val="auto"/>
          <w:kern w:val="0"/>
          <w:sz w:val="24"/>
          <w:szCs w:val="24"/>
          <w:u w:val="none"/>
          <w:lang w:val="en-US" w:eastAsia="zh-CN" w:bidi="ar-SA"/>
        </w:rPr>
        <w:t xml:space="preserve">period </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5"/>
        <w:gridCol w:w="1685"/>
        <w:gridCol w:w="1686"/>
        <w:gridCol w:w="1681"/>
      </w:tblGrid>
      <w:tr w14:paraId="1176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15" w:type="dxa"/>
            <w:tcBorders>
              <w:top w:val="single" w:color="auto" w:sz="4" w:space="0"/>
              <w:bottom w:val="single" w:color="auto" w:sz="4" w:space="0"/>
            </w:tcBorders>
            <w:vAlign w:val="center"/>
          </w:tcPr>
          <w:p w14:paraId="5C9D4A11">
            <w:pPr>
              <w:keepNext w:val="0"/>
              <w:keepLines w:val="0"/>
              <w:widowControl/>
              <w:suppressLineNumbers w:val="0"/>
              <w:jc w:val="center"/>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Clinical outcome</w:t>
            </w:r>
          </w:p>
        </w:tc>
        <w:tc>
          <w:tcPr>
            <w:tcW w:w="1685" w:type="dxa"/>
            <w:tcBorders>
              <w:top w:val="single" w:color="auto" w:sz="4" w:space="0"/>
              <w:bottom w:val="single" w:color="auto" w:sz="4" w:space="0"/>
            </w:tcBorders>
            <w:vAlign w:val="center"/>
          </w:tcPr>
          <w:p w14:paraId="4EB7E6CC">
            <w:pPr>
              <w:keepNext w:val="0"/>
              <w:keepLines w:val="0"/>
              <w:widowControl/>
              <w:suppressLineNumbers w:val="0"/>
              <w:jc w:val="center"/>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TG (n=20)</w:t>
            </w:r>
          </w:p>
        </w:tc>
        <w:tc>
          <w:tcPr>
            <w:tcW w:w="1686" w:type="dxa"/>
            <w:tcBorders>
              <w:top w:val="single" w:color="auto" w:sz="4" w:space="0"/>
              <w:bottom w:val="single" w:color="auto" w:sz="4" w:space="0"/>
            </w:tcBorders>
            <w:vAlign w:val="center"/>
          </w:tcPr>
          <w:p w14:paraId="0FEC9F5F">
            <w:pPr>
              <w:keepNext w:val="0"/>
              <w:keepLines w:val="0"/>
              <w:widowControl/>
              <w:suppressLineNumbers w:val="0"/>
              <w:jc w:val="center"/>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CG (n=20)</w:t>
            </w:r>
          </w:p>
        </w:tc>
        <w:tc>
          <w:tcPr>
            <w:tcW w:w="1681" w:type="dxa"/>
            <w:tcBorders>
              <w:top w:val="single" w:color="auto" w:sz="4" w:space="0"/>
              <w:bottom w:val="single" w:color="auto" w:sz="4" w:space="0"/>
            </w:tcBorders>
            <w:vAlign w:val="center"/>
          </w:tcPr>
          <w:p w14:paraId="5336FBA6">
            <w:pPr>
              <w:keepNext w:val="0"/>
              <w:keepLines w:val="0"/>
              <w:widowControl/>
              <w:suppressLineNumbers w:val="0"/>
              <w:jc w:val="center"/>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b/>
                <w:bCs/>
                <w:i/>
                <w:iCs/>
                <w:color w:val="auto"/>
                <w:kern w:val="0"/>
                <w:sz w:val="21"/>
                <w:szCs w:val="21"/>
                <w:lang w:val="en-US" w:eastAsia="zh-CN" w:bidi="ar"/>
              </w:rPr>
              <w:t>P</w:t>
            </w:r>
          </w:p>
        </w:tc>
      </w:tr>
      <w:tr w14:paraId="2A33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15" w:type="dxa"/>
            <w:tcBorders>
              <w:top w:val="single" w:color="auto" w:sz="4" w:space="0"/>
            </w:tcBorders>
            <w:vAlign w:val="center"/>
          </w:tcPr>
          <w:p w14:paraId="0D0D5F22">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Rebleeding, n (%)</w:t>
            </w:r>
          </w:p>
        </w:tc>
        <w:tc>
          <w:tcPr>
            <w:tcW w:w="1685" w:type="dxa"/>
            <w:tcBorders>
              <w:top w:val="single" w:color="auto" w:sz="4" w:space="0"/>
            </w:tcBorders>
            <w:vAlign w:val="center"/>
          </w:tcPr>
          <w:p w14:paraId="24E0BE81">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 (0.0%)</w:t>
            </w:r>
          </w:p>
        </w:tc>
        <w:tc>
          <w:tcPr>
            <w:tcW w:w="1686" w:type="dxa"/>
            <w:tcBorders>
              <w:top w:val="single" w:color="auto" w:sz="4" w:space="0"/>
            </w:tcBorders>
            <w:vAlign w:val="center"/>
          </w:tcPr>
          <w:p w14:paraId="0EE4FDD4">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6 (30.0%)</w:t>
            </w:r>
          </w:p>
        </w:tc>
        <w:tc>
          <w:tcPr>
            <w:tcW w:w="1681" w:type="dxa"/>
            <w:tcBorders>
              <w:top w:val="single" w:color="auto" w:sz="4" w:space="0"/>
            </w:tcBorders>
            <w:vAlign w:val="center"/>
          </w:tcPr>
          <w:p w14:paraId="0650E42C">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0.020</w:t>
            </w:r>
          </w:p>
        </w:tc>
      </w:tr>
      <w:tr w14:paraId="57837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15" w:type="dxa"/>
            <w:vAlign w:val="center"/>
          </w:tcPr>
          <w:p w14:paraId="280BCE94">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eastAsia" w:ascii="Times New Roman" w:hAnsi="Times New Roman" w:cs="Times New Roman"/>
                <w:color w:val="auto"/>
                <w:kern w:val="0"/>
                <w:sz w:val="21"/>
                <w:szCs w:val="21"/>
                <w:lang w:val="en-US" w:eastAsia="zh-CN" w:bidi="ar"/>
              </w:rPr>
              <w:t>HE</w:t>
            </w:r>
            <w:r>
              <w:rPr>
                <w:rFonts w:hint="default" w:ascii="Times New Roman" w:hAnsi="Times New Roman" w:eastAsia="宋体" w:cs="Times New Roman"/>
                <w:color w:val="auto"/>
                <w:kern w:val="0"/>
                <w:sz w:val="21"/>
                <w:szCs w:val="21"/>
                <w:lang w:val="en-US" w:eastAsia="zh-CN" w:bidi="ar"/>
              </w:rPr>
              <w:t>, n (%)</w:t>
            </w:r>
          </w:p>
        </w:tc>
        <w:tc>
          <w:tcPr>
            <w:tcW w:w="1685" w:type="dxa"/>
            <w:vAlign w:val="center"/>
          </w:tcPr>
          <w:p w14:paraId="706424D8">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7 (35.0%)</w:t>
            </w:r>
          </w:p>
        </w:tc>
        <w:tc>
          <w:tcPr>
            <w:tcW w:w="1686" w:type="dxa"/>
            <w:vAlign w:val="center"/>
          </w:tcPr>
          <w:p w14:paraId="30D03091">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2 (10.0%)</w:t>
            </w:r>
          </w:p>
        </w:tc>
        <w:tc>
          <w:tcPr>
            <w:tcW w:w="1681" w:type="dxa"/>
            <w:vAlign w:val="center"/>
          </w:tcPr>
          <w:p w14:paraId="3455869D">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0.127</w:t>
            </w:r>
          </w:p>
        </w:tc>
      </w:tr>
      <w:tr w14:paraId="4C32B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15" w:type="dxa"/>
            <w:vAlign w:val="center"/>
          </w:tcPr>
          <w:p w14:paraId="07479992">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Readmission, n (%)</w:t>
            </w:r>
          </w:p>
        </w:tc>
        <w:tc>
          <w:tcPr>
            <w:tcW w:w="1685" w:type="dxa"/>
            <w:vAlign w:val="center"/>
          </w:tcPr>
          <w:p w14:paraId="1D2856ED">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4 (20.0%)</w:t>
            </w:r>
          </w:p>
        </w:tc>
        <w:tc>
          <w:tcPr>
            <w:tcW w:w="1686" w:type="dxa"/>
            <w:vAlign w:val="center"/>
          </w:tcPr>
          <w:p w14:paraId="1F3C470D">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6 (30.0%)</w:t>
            </w:r>
          </w:p>
        </w:tc>
        <w:tc>
          <w:tcPr>
            <w:tcW w:w="1681" w:type="dxa"/>
            <w:vAlign w:val="center"/>
          </w:tcPr>
          <w:p w14:paraId="02C1FCD4">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0.716</w:t>
            </w:r>
          </w:p>
        </w:tc>
      </w:tr>
      <w:tr w14:paraId="5554C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15" w:type="dxa"/>
            <w:tcBorders>
              <w:bottom w:val="single" w:color="auto" w:sz="4" w:space="0"/>
            </w:tcBorders>
            <w:vAlign w:val="center"/>
          </w:tcPr>
          <w:p w14:paraId="5ED45DBA">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Death, n (%)</w:t>
            </w:r>
          </w:p>
        </w:tc>
        <w:tc>
          <w:tcPr>
            <w:tcW w:w="1685" w:type="dxa"/>
            <w:tcBorders>
              <w:bottom w:val="single" w:color="auto" w:sz="4" w:space="0"/>
            </w:tcBorders>
            <w:vAlign w:val="center"/>
          </w:tcPr>
          <w:p w14:paraId="432F2C8F">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 (0.0%)</w:t>
            </w:r>
          </w:p>
        </w:tc>
        <w:tc>
          <w:tcPr>
            <w:tcW w:w="1686" w:type="dxa"/>
            <w:tcBorders>
              <w:bottom w:val="single" w:color="auto" w:sz="4" w:space="0"/>
            </w:tcBorders>
            <w:vAlign w:val="center"/>
          </w:tcPr>
          <w:p w14:paraId="11BC106E">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0 (0.0%)</w:t>
            </w:r>
          </w:p>
        </w:tc>
        <w:tc>
          <w:tcPr>
            <w:tcW w:w="1681" w:type="dxa"/>
            <w:tcBorders>
              <w:bottom w:val="single" w:color="auto" w:sz="4" w:space="0"/>
            </w:tcBorders>
            <w:vAlign w:val="center"/>
          </w:tcPr>
          <w:p w14:paraId="67EC0BFE">
            <w:pPr>
              <w:keepNext w:val="0"/>
              <w:keepLines w:val="0"/>
              <w:widowControl/>
              <w:suppressLineNumbers w:val="0"/>
              <w:jc w:val="left"/>
              <w:rPr>
                <w:rFonts w:hint="default" w:ascii="Times New Roman" w:hAnsi="Times New Roman" w:eastAsia="宋体" w:cs="Times New Roman"/>
                <w:b w:val="0"/>
                <w:i w:val="0"/>
                <w:strike w:val="0"/>
                <w:color w:val="auto"/>
                <w:kern w:val="0"/>
                <w:sz w:val="21"/>
                <w:szCs w:val="21"/>
                <w:u w:val="none"/>
                <w:vertAlign w:val="baseline"/>
                <w:lang w:val="en-US" w:eastAsia="zh-CN" w:bidi="ar-SA"/>
              </w:rPr>
            </w:pPr>
            <w:r>
              <w:rPr>
                <w:rFonts w:hint="default" w:ascii="Times New Roman" w:hAnsi="Times New Roman" w:eastAsia="宋体" w:cs="Times New Roman"/>
                <w:color w:val="auto"/>
                <w:kern w:val="0"/>
                <w:sz w:val="21"/>
                <w:szCs w:val="21"/>
                <w:lang w:val="en-US" w:eastAsia="zh-CN" w:bidi="ar"/>
              </w:rPr>
              <w:t>—</w:t>
            </w:r>
          </w:p>
        </w:tc>
      </w:tr>
    </w:tbl>
    <w:p w14:paraId="2A0EE383">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0" w:firstLineChars="0"/>
        <w:jc w:val="both"/>
        <w:textAlignment w:val="auto"/>
        <w:rPr>
          <w:rFonts w:hint="eastAsia" w:ascii="Times New Roman" w:hAnsi="Times New Roman" w:eastAsia="宋体" w:cs="Times New Roman"/>
          <w:b w:val="0"/>
          <w:i w:val="0"/>
          <w:strike w:val="0"/>
          <w:color w:val="auto"/>
          <w:kern w:val="0"/>
          <w:sz w:val="21"/>
          <w:szCs w:val="21"/>
          <w:u w:val="none"/>
          <w:lang w:val="en-US" w:eastAsia="zh-CN" w:bidi="ar-SA"/>
        </w:rPr>
      </w:pPr>
      <w:r>
        <w:rPr>
          <w:rFonts w:hint="default" w:ascii="Times New Roman" w:hAnsi="Times New Roman" w:eastAsia="宋体" w:cs="Times New Roman"/>
          <w:color w:val="auto"/>
          <w:sz w:val="21"/>
          <w:szCs w:val="21"/>
        </w:rPr>
        <w:t>Data are presented as n (%). TG, TIPS treatment group; CG, control treatment group</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b w:val="0"/>
          <w:i w:val="0"/>
          <w:strike w:val="0"/>
          <w:color w:val="auto"/>
          <w:sz w:val="21"/>
          <w:szCs w:val="21"/>
          <w:u w:val="none"/>
        </w:rPr>
        <w:t>HE, hepatic encephalopathy</w:t>
      </w:r>
      <w:r>
        <w:rPr>
          <w:rFonts w:hint="eastAsia" w:ascii="Times New Roman" w:hAnsi="Times New Roman" w:cs="Times New Roman"/>
          <w:b w:val="0"/>
          <w:i w:val="0"/>
          <w:strike w:val="0"/>
          <w:color w:val="auto"/>
          <w:sz w:val="21"/>
          <w:szCs w:val="21"/>
          <w:u w:val="none"/>
          <w:lang w:val="en-US" w:eastAsia="zh-CN"/>
        </w:rPr>
        <w:t>.</w:t>
      </w:r>
    </w:p>
    <w:p w14:paraId="45992D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color w:val="auto"/>
          <w:sz w:val="24"/>
          <w:szCs w:val="24"/>
          <w:lang w:val="en-US" w:eastAsia="zh-CN"/>
        </w:rPr>
      </w:pPr>
    </w:p>
    <w:p w14:paraId="0950A5FE">
      <w:pPr>
        <w:jc w:val="center"/>
        <w:rPr>
          <w:rFonts w:hint="default" w:ascii="Times New Roman" w:hAnsi="Times New Roman" w:cs="Times New Roman"/>
          <w:color w:val="auto"/>
          <w:sz w:val="24"/>
          <w:szCs w:val="24"/>
          <w:lang w:val="en-US" w:eastAsia="zh-CN"/>
        </w:rPr>
      </w:pPr>
      <w:r>
        <w:rPr>
          <w:rFonts w:hint="default" w:ascii="Times New Roman" w:hAnsi="Times New Roman" w:eastAsia="宋体" w:cs="Times New Roman"/>
          <w:b/>
          <w:bCs/>
          <w:i w:val="0"/>
          <w:strike w:val="0"/>
          <w:color w:val="auto"/>
          <w:kern w:val="0"/>
          <w:sz w:val="24"/>
          <w:szCs w:val="24"/>
          <w:u w:val="none"/>
          <w:lang w:val="en-US" w:eastAsia="zh-CN" w:bidi="ar-SA"/>
        </w:rPr>
        <w:t>Supplementary</w:t>
      </w:r>
      <w:r>
        <w:rPr>
          <w:rFonts w:hint="eastAsia" w:ascii="Times New Roman" w:hAnsi="Times New Roman" w:cs="Times New Roman"/>
          <w:b w:val="0"/>
          <w:i w:val="0"/>
          <w:strike w:val="0"/>
          <w:color w:val="auto"/>
          <w:kern w:val="0"/>
          <w:sz w:val="24"/>
          <w:szCs w:val="24"/>
          <w:u w:val="none"/>
          <w:lang w:val="en-US" w:eastAsia="zh-CN" w:bidi="ar-SA"/>
        </w:rPr>
        <w:t xml:space="preserve"> </w:t>
      </w:r>
      <w:r>
        <w:rPr>
          <w:rFonts w:hint="default" w:ascii="Times New Roman" w:hAnsi="Times New Roman" w:cs="Times New Roman"/>
          <w:b/>
          <w:bCs/>
          <w:color w:val="auto"/>
          <w:sz w:val="24"/>
          <w:szCs w:val="24"/>
          <w:lang w:val="en-US" w:eastAsia="zh-CN"/>
        </w:rPr>
        <w:t>Table</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S</w:t>
      </w:r>
      <w:r>
        <w:rPr>
          <w:rFonts w:hint="eastAsia" w:ascii="Times New Roman" w:hAnsi="Times New Roman" w:cs="Times New Roman"/>
          <w:b/>
          <w:bCs/>
          <w:color w:val="auto"/>
          <w:sz w:val="24"/>
          <w:szCs w:val="24"/>
          <w:lang w:val="en-US" w:eastAsia="zh-CN"/>
        </w:rPr>
        <w:t>3.</w:t>
      </w:r>
      <w:r>
        <w:rPr>
          <w:rFonts w:hint="default" w:ascii="Times New Roman" w:hAnsi="Times New Roman" w:cs="Times New Roman"/>
          <w:b/>
          <w:bCs/>
          <w:color w:val="auto"/>
          <w:sz w:val="24"/>
          <w:szCs w:val="24"/>
          <w:lang w:val="en-US" w:eastAsia="zh-CN"/>
        </w:rPr>
        <w:t xml:space="preserve"> Comparisons of LPS, DAO, and DLAC Levels Between Groups</w:t>
      </w:r>
    </w:p>
    <w:tbl>
      <w:tblPr>
        <w:tblStyle w:val="3"/>
        <w:tblW w:w="11014" w:type="dxa"/>
        <w:tblInd w:w="-1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60"/>
        <w:gridCol w:w="2754"/>
        <w:gridCol w:w="2800"/>
        <w:gridCol w:w="2900"/>
      </w:tblGrid>
      <w:tr w14:paraId="2CB09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Borders>
              <w:top w:val="single" w:color="auto" w:sz="12" w:space="0"/>
              <w:bottom w:val="single" w:color="auto" w:sz="6" w:space="0"/>
            </w:tcBorders>
          </w:tcPr>
          <w:p w14:paraId="5B027D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color w:val="auto"/>
                <w:sz w:val="21"/>
                <w:szCs w:val="21"/>
                <w:vertAlign w:val="baseline"/>
                <w:lang w:val="en-US" w:eastAsia="zh-CN"/>
              </w:rPr>
            </w:pPr>
          </w:p>
        </w:tc>
        <w:tc>
          <w:tcPr>
            <w:tcW w:w="2754" w:type="dxa"/>
            <w:tcBorders>
              <w:top w:val="single" w:color="auto" w:sz="12" w:space="0"/>
              <w:bottom w:val="single" w:color="auto" w:sz="6" w:space="0"/>
            </w:tcBorders>
            <w:shd w:val="clear" w:color="auto" w:fill="auto"/>
            <w:vAlign w:val="top"/>
          </w:tcPr>
          <w:p w14:paraId="01C6D2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cs="Times New Roman"/>
                <w:b w:val="0"/>
                <w:bCs w:val="0"/>
                <w:color w:val="auto"/>
                <w:sz w:val="21"/>
                <w:szCs w:val="21"/>
                <w:vertAlign w:val="baseline"/>
                <w:lang w:val="en-US" w:eastAsia="zh-CN"/>
              </w:rPr>
              <w:t xml:space="preserve">LPS (Z, </w:t>
            </w:r>
            <w:r>
              <w:rPr>
                <w:rFonts w:hint="eastAsia" w:ascii="Times New Roman" w:hAnsi="Times New Roman" w:cs="Times New Roman"/>
                <w:b w:val="0"/>
                <w:bCs w:val="0"/>
                <w:color w:val="auto"/>
                <w:sz w:val="21"/>
                <w:szCs w:val="21"/>
                <w:vertAlign w:val="baseline"/>
                <w:lang w:val="en-US" w:eastAsia="zh-CN"/>
              </w:rPr>
              <w:t>raw</w:t>
            </w:r>
            <w:r>
              <w:rPr>
                <w:rFonts w:hint="default" w:ascii="Times New Roman" w:hAnsi="Times New Roman" w:cs="Times New Roman"/>
                <w:b w:val="0"/>
                <w:bCs w:val="0"/>
                <w:color w:val="auto"/>
                <w:sz w:val="21"/>
                <w:szCs w:val="21"/>
                <w:vertAlign w:val="baseline"/>
                <w:lang w:val="en-US" w:eastAsia="zh-CN"/>
              </w:rPr>
              <w:t xml:space="preserve">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 xml:space="preserve">, Bonferroni-adjusted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w:t>
            </w:r>
          </w:p>
        </w:tc>
        <w:tc>
          <w:tcPr>
            <w:tcW w:w="2800" w:type="dxa"/>
            <w:tcBorders>
              <w:top w:val="single" w:color="auto" w:sz="12" w:space="0"/>
              <w:bottom w:val="single" w:color="auto" w:sz="6" w:space="0"/>
            </w:tcBorders>
            <w:shd w:val="clear" w:color="auto" w:fill="auto"/>
            <w:vAlign w:val="top"/>
          </w:tcPr>
          <w:p w14:paraId="41311F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cs="Times New Roman"/>
                <w:b w:val="0"/>
                <w:bCs w:val="0"/>
                <w:color w:val="auto"/>
                <w:sz w:val="21"/>
                <w:szCs w:val="21"/>
                <w:vertAlign w:val="baseline"/>
                <w:lang w:val="en-US" w:eastAsia="zh-CN"/>
              </w:rPr>
              <w:t xml:space="preserve">DAO (Z, </w:t>
            </w:r>
            <w:r>
              <w:rPr>
                <w:rFonts w:hint="eastAsia" w:ascii="Times New Roman" w:hAnsi="Times New Roman" w:cs="Times New Roman"/>
                <w:b w:val="0"/>
                <w:bCs w:val="0"/>
                <w:color w:val="auto"/>
                <w:sz w:val="21"/>
                <w:szCs w:val="21"/>
                <w:vertAlign w:val="baseline"/>
                <w:lang w:val="en-US" w:eastAsia="zh-CN"/>
              </w:rPr>
              <w:t>raw</w:t>
            </w:r>
            <w:r>
              <w:rPr>
                <w:rFonts w:hint="default" w:ascii="Times New Roman" w:hAnsi="Times New Roman" w:cs="Times New Roman"/>
                <w:b w:val="0"/>
                <w:bCs w:val="0"/>
                <w:color w:val="auto"/>
                <w:sz w:val="21"/>
                <w:szCs w:val="21"/>
                <w:vertAlign w:val="baseline"/>
                <w:lang w:val="en-US" w:eastAsia="zh-CN"/>
              </w:rPr>
              <w:t xml:space="preserve">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 xml:space="preserve">, Bonferroni-adjusted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w:t>
            </w:r>
          </w:p>
        </w:tc>
        <w:tc>
          <w:tcPr>
            <w:tcW w:w="2900" w:type="dxa"/>
            <w:tcBorders>
              <w:top w:val="single" w:color="auto" w:sz="12" w:space="0"/>
              <w:bottom w:val="single" w:color="auto" w:sz="6" w:space="0"/>
            </w:tcBorders>
            <w:shd w:val="clear" w:color="auto" w:fill="auto"/>
            <w:vAlign w:val="top"/>
          </w:tcPr>
          <w:p w14:paraId="0394F4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cs="Times New Roman"/>
                <w:b w:val="0"/>
                <w:bCs w:val="0"/>
                <w:color w:val="auto"/>
                <w:sz w:val="21"/>
                <w:szCs w:val="21"/>
                <w:vertAlign w:val="baseline"/>
                <w:lang w:val="en-US" w:eastAsia="zh-CN"/>
              </w:rPr>
              <w:t xml:space="preserve">DLAC (Z, </w:t>
            </w:r>
            <w:r>
              <w:rPr>
                <w:rFonts w:hint="eastAsia" w:ascii="Times New Roman" w:hAnsi="Times New Roman" w:cs="Times New Roman"/>
                <w:b w:val="0"/>
                <w:bCs w:val="0"/>
                <w:color w:val="auto"/>
                <w:sz w:val="21"/>
                <w:szCs w:val="21"/>
                <w:vertAlign w:val="baseline"/>
                <w:lang w:val="en-US" w:eastAsia="zh-CN"/>
              </w:rPr>
              <w:t>raw</w:t>
            </w:r>
            <w:r>
              <w:rPr>
                <w:rFonts w:hint="default" w:ascii="Times New Roman" w:hAnsi="Times New Roman" w:cs="Times New Roman"/>
                <w:b w:val="0"/>
                <w:bCs w:val="0"/>
                <w:color w:val="auto"/>
                <w:sz w:val="21"/>
                <w:szCs w:val="21"/>
                <w:vertAlign w:val="baseline"/>
                <w:lang w:val="en-US" w:eastAsia="zh-CN"/>
              </w:rPr>
              <w:t xml:space="preserve">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 xml:space="preserve">, Bonferroni-adjusted </w:t>
            </w:r>
            <w:r>
              <w:rPr>
                <w:rFonts w:hint="default" w:ascii="Times New Roman" w:hAnsi="Times New Roman" w:cs="Times New Roman"/>
                <w:b w:val="0"/>
                <w:bCs w:val="0"/>
                <w:i/>
                <w:iCs/>
                <w:color w:val="auto"/>
                <w:sz w:val="21"/>
                <w:szCs w:val="21"/>
                <w:vertAlign w:val="baseline"/>
                <w:lang w:val="en-US" w:eastAsia="zh-CN"/>
              </w:rPr>
              <w:t>P</w:t>
            </w:r>
            <w:r>
              <w:rPr>
                <w:rFonts w:hint="default" w:ascii="Times New Roman" w:hAnsi="Times New Roman" w:cs="Times New Roman"/>
                <w:b w:val="0"/>
                <w:bCs w:val="0"/>
                <w:color w:val="auto"/>
                <w:sz w:val="21"/>
                <w:szCs w:val="21"/>
                <w:vertAlign w:val="baseline"/>
                <w:lang w:val="en-US" w:eastAsia="zh-CN"/>
              </w:rPr>
              <w:t>)</w:t>
            </w:r>
          </w:p>
        </w:tc>
      </w:tr>
      <w:tr w14:paraId="3126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Borders>
              <w:top w:val="single" w:color="auto" w:sz="6" w:space="0"/>
            </w:tcBorders>
          </w:tcPr>
          <w:p w14:paraId="4923FD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eastAsia="宋体" w:cs="Times New Roman"/>
                <w:b w:val="0"/>
                <w:bCs w:val="0"/>
                <w:color w:val="auto"/>
                <w:kern w:val="0"/>
                <w:sz w:val="21"/>
                <w:szCs w:val="21"/>
                <w:vertAlign w:val="baseline"/>
                <w:lang w:val="en-US" w:eastAsia="zh-CN" w:bidi="ar-SA"/>
              </w:rPr>
              <w:t>TG vs CG at pre-treatment</w:t>
            </w:r>
          </w:p>
        </w:tc>
        <w:tc>
          <w:tcPr>
            <w:tcW w:w="2754" w:type="dxa"/>
            <w:tcBorders>
              <w:top w:val="single" w:color="auto" w:sz="6" w:space="0"/>
            </w:tcBorders>
            <w:shd w:val="clear" w:color="auto" w:fill="auto"/>
            <w:vAlign w:val="center"/>
          </w:tcPr>
          <w:p w14:paraId="4AC37ACC">
            <w:pPr>
              <w:keepNext w:val="0"/>
              <w:keepLines w:val="0"/>
              <w:widowControl/>
              <w:suppressLineNumbers w:val="0"/>
              <w:jc w:val="left"/>
              <w:textAlignment w:val="center"/>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eastAsia="Carlito" w:cs="Times New Roman"/>
                <w:i w:val="0"/>
                <w:iCs w:val="0"/>
                <w:color w:val="auto"/>
                <w:kern w:val="0"/>
                <w:sz w:val="21"/>
                <w:szCs w:val="21"/>
                <w:u w:val="none"/>
                <w:lang w:val="en-US" w:eastAsia="zh-CN" w:bidi="ar"/>
              </w:rPr>
              <w:t>(-0.622, 0.547, 1.000)</w:t>
            </w:r>
          </w:p>
        </w:tc>
        <w:tc>
          <w:tcPr>
            <w:tcW w:w="2800" w:type="dxa"/>
            <w:tcBorders>
              <w:top w:val="single" w:color="auto" w:sz="6" w:space="0"/>
            </w:tcBorders>
            <w:vAlign w:val="center"/>
          </w:tcPr>
          <w:p w14:paraId="64171EF7">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(-0.974, 0.341, 1.000)</w:t>
            </w:r>
          </w:p>
        </w:tc>
        <w:tc>
          <w:tcPr>
            <w:tcW w:w="2900" w:type="dxa"/>
            <w:tcBorders>
              <w:top w:val="single" w:color="auto" w:sz="6" w:space="0"/>
            </w:tcBorders>
            <w:vAlign w:val="center"/>
          </w:tcPr>
          <w:p w14:paraId="62DB03DC">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(0.555, 0.583, 1.000)</w:t>
            </w:r>
          </w:p>
        </w:tc>
      </w:tr>
      <w:tr w14:paraId="25D1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Pr>
          <w:p w14:paraId="3A1F01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TG vs CG at 1 Week Post-Treatment</w:t>
            </w:r>
          </w:p>
        </w:tc>
        <w:tc>
          <w:tcPr>
            <w:tcW w:w="2754" w:type="dxa"/>
            <w:shd w:val="clear" w:color="auto" w:fill="auto"/>
            <w:vAlign w:val="center"/>
          </w:tcPr>
          <w:p w14:paraId="3AEBB3B0">
            <w:pPr>
              <w:keepNext w:val="0"/>
              <w:keepLines w:val="0"/>
              <w:widowControl/>
              <w:suppressLineNumbers w:val="0"/>
              <w:jc w:val="left"/>
              <w:textAlignment w:val="center"/>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eastAsia="Carlito" w:cs="Times New Roman"/>
                <w:i w:val="0"/>
                <w:iCs w:val="0"/>
                <w:color w:val="auto"/>
                <w:kern w:val="0"/>
                <w:sz w:val="21"/>
                <w:szCs w:val="21"/>
                <w:u w:val="none"/>
                <w:lang w:val="en-US" w:eastAsia="zh-CN" w:bidi="ar"/>
              </w:rPr>
              <w:t>(-0.568, 0.583, 1.000)</w:t>
            </w:r>
          </w:p>
        </w:tc>
        <w:tc>
          <w:tcPr>
            <w:tcW w:w="2800" w:type="dxa"/>
            <w:vAlign w:val="center"/>
          </w:tcPr>
          <w:p w14:paraId="5489E8CC">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(-0.433, 0.678, 1.000)</w:t>
            </w:r>
          </w:p>
        </w:tc>
        <w:tc>
          <w:tcPr>
            <w:tcW w:w="2900" w:type="dxa"/>
            <w:vAlign w:val="center"/>
          </w:tcPr>
          <w:p w14:paraId="65ACEF31">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(0.135, 0.904, 1.000)</w:t>
            </w:r>
          </w:p>
        </w:tc>
      </w:tr>
      <w:tr w14:paraId="05F88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Pr>
          <w:p w14:paraId="7C518D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default" w:ascii="Times New Roman" w:hAnsi="Times New Roman" w:eastAsia="宋体" w:cs="Times New Roman"/>
                <w:b w:val="0"/>
                <w:bCs w:val="0"/>
                <w:color w:val="auto"/>
                <w:kern w:val="0"/>
                <w:sz w:val="21"/>
                <w:szCs w:val="21"/>
                <w:vertAlign w:val="baseline"/>
                <w:lang w:val="en-US" w:eastAsia="zh-CN" w:bidi="ar-SA"/>
              </w:rPr>
              <w:t>TG vs CG at 12 weeks post-treatment</w:t>
            </w:r>
          </w:p>
        </w:tc>
        <w:tc>
          <w:tcPr>
            <w:tcW w:w="2754" w:type="dxa"/>
            <w:vAlign w:val="center"/>
          </w:tcPr>
          <w:p w14:paraId="219FA206">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(1.190, 0.242, 0.727)</w:t>
            </w:r>
          </w:p>
        </w:tc>
        <w:tc>
          <w:tcPr>
            <w:tcW w:w="2800" w:type="dxa"/>
            <w:vAlign w:val="center"/>
          </w:tcPr>
          <w:p w14:paraId="596CDD13">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(0.162, 0.883, 1.000)</w:t>
            </w:r>
          </w:p>
        </w:tc>
        <w:tc>
          <w:tcPr>
            <w:tcW w:w="2900" w:type="dxa"/>
            <w:vAlign w:val="center"/>
          </w:tcPr>
          <w:p w14:paraId="115D75A9">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(0.216, 0.841, 1.000)</w:t>
            </w:r>
          </w:p>
        </w:tc>
      </w:tr>
      <w:tr w14:paraId="668AB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Pr>
          <w:p w14:paraId="067D2FE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TG vs HG</w:t>
            </w:r>
          </w:p>
        </w:tc>
        <w:tc>
          <w:tcPr>
            <w:tcW w:w="2754" w:type="dxa"/>
            <w:vAlign w:val="center"/>
          </w:tcPr>
          <w:p w14:paraId="2FED957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val="0"/>
                <w:bCs w:val="0"/>
                <w:i w:val="0"/>
                <w:iCs w:val="0"/>
                <w:color w:val="auto"/>
                <w:kern w:val="0"/>
                <w:sz w:val="21"/>
                <w:szCs w:val="21"/>
                <w:u w:val="none"/>
                <w:lang w:val="en-US" w:eastAsia="zh-CN" w:bidi="ar"/>
              </w:rPr>
              <w:t xml:space="preserve">(4.399, </w:t>
            </w:r>
            <w:r>
              <w:rPr>
                <w:rFonts w:hint="default" w:ascii="Times New Roman" w:hAnsi="Times New Roman" w:eastAsia="Carlito" w:cs="Times New Roman"/>
                <w:b/>
                <w:bCs/>
                <w:i w:val="0"/>
                <w:iCs w:val="0"/>
                <w:color w:val="auto"/>
                <w:kern w:val="0"/>
                <w:sz w:val="21"/>
                <w:szCs w:val="21"/>
                <w:u w:val="none"/>
                <w:lang w:val="en-US" w:eastAsia="zh-CN" w:bidi="ar"/>
              </w:rPr>
              <w:t>&lt;0.001, &lt;0.001</w:t>
            </w:r>
            <w:r>
              <w:rPr>
                <w:rFonts w:hint="default" w:ascii="Times New Roman" w:hAnsi="Times New Roman" w:eastAsia="Carlito" w:cs="Times New Roman"/>
                <w:b w:val="0"/>
                <w:bCs w:val="0"/>
                <w:i w:val="0"/>
                <w:iCs w:val="0"/>
                <w:color w:val="auto"/>
                <w:kern w:val="0"/>
                <w:sz w:val="21"/>
                <w:szCs w:val="21"/>
                <w:u w:val="none"/>
                <w:lang w:val="en-US" w:eastAsia="zh-CN" w:bidi="ar"/>
              </w:rPr>
              <w:t>)</w:t>
            </w:r>
          </w:p>
        </w:tc>
        <w:tc>
          <w:tcPr>
            <w:tcW w:w="2800" w:type="dxa"/>
            <w:vAlign w:val="center"/>
          </w:tcPr>
          <w:p w14:paraId="7EE433E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val="0"/>
                <w:bCs w:val="0"/>
                <w:i w:val="0"/>
                <w:iCs w:val="0"/>
                <w:color w:val="auto"/>
                <w:kern w:val="0"/>
                <w:sz w:val="21"/>
                <w:szCs w:val="21"/>
                <w:u w:val="none"/>
                <w:lang w:val="en-US" w:eastAsia="zh-CN" w:bidi="ar"/>
              </w:rPr>
              <w:t xml:space="preserve">(2.992, 0.002, </w:t>
            </w:r>
            <w:r>
              <w:rPr>
                <w:rFonts w:hint="default" w:ascii="Times New Roman" w:hAnsi="Times New Roman" w:eastAsia="Carlito" w:cs="Times New Roman"/>
                <w:b/>
                <w:bCs/>
                <w:i w:val="0"/>
                <w:iCs w:val="0"/>
                <w:color w:val="auto"/>
                <w:kern w:val="0"/>
                <w:sz w:val="21"/>
                <w:szCs w:val="21"/>
                <w:u w:val="none"/>
                <w:lang w:val="en-US" w:eastAsia="zh-CN" w:bidi="ar"/>
              </w:rPr>
              <w:t>0.006</w:t>
            </w:r>
            <w:r>
              <w:rPr>
                <w:rFonts w:hint="default" w:ascii="Times New Roman" w:hAnsi="Times New Roman" w:eastAsia="Carlito" w:cs="Times New Roman"/>
                <w:b w:val="0"/>
                <w:bCs w:val="0"/>
                <w:i w:val="0"/>
                <w:iCs w:val="0"/>
                <w:color w:val="auto"/>
                <w:kern w:val="0"/>
                <w:sz w:val="21"/>
                <w:szCs w:val="21"/>
                <w:u w:val="none"/>
                <w:lang w:val="en-US" w:eastAsia="zh-CN" w:bidi="ar"/>
              </w:rPr>
              <w:t>)</w:t>
            </w:r>
          </w:p>
        </w:tc>
        <w:tc>
          <w:tcPr>
            <w:tcW w:w="2900" w:type="dxa"/>
            <w:vAlign w:val="center"/>
          </w:tcPr>
          <w:p w14:paraId="376E2592">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(0.704, 0.502, 1.000)</w:t>
            </w:r>
          </w:p>
        </w:tc>
      </w:tr>
      <w:tr w14:paraId="064B9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60" w:type="dxa"/>
            <w:tcBorders>
              <w:bottom w:val="single" w:color="auto" w:sz="12" w:space="0"/>
            </w:tcBorders>
          </w:tcPr>
          <w:p w14:paraId="49EA1A1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cs="Times New Roman"/>
                <w:b w:val="0"/>
                <w:bCs w:val="0"/>
                <w:color w:val="auto"/>
                <w:sz w:val="21"/>
                <w:szCs w:val="21"/>
                <w:vertAlign w:val="baseline"/>
                <w:lang w:val="en-US" w:eastAsia="zh-CN"/>
              </w:rPr>
              <w:t>CG vs HG</w:t>
            </w:r>
          </w:p>
        </w:tc>
        <w:tc>
          <w:tcPr>
            <w:tcW w:w="2754" w:type="dxa"/>
            <w:tcBorders>
              <w:bottom w:val="single" w:color="auto" w:sz="12" w:space="0"/>
            </w:tcBorders>
            <w:vAlign w:val="center"/>
          </w:tcPr>
          <w:p w14:paraId="65926355">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val="0"/>
                <w:bCs w:val="0"/>
                <w:i w:val="0"/>
                <w:iCs w:val="0"/>
                <w:color w:val="auto"/>
                <w:kern w:val="0"/>
                <w:sz w:val="21"/>
                <w:szCs w:val="21"/>
                <w:u w:val="none"/>
                <w:lang w:val="en-US" w:eastAsia="zh-CN" w:bidi="ar"/>
              </w:rPr>
              <w:t>(4.399,</w:t>
            </w:r>
            <w:r>
              <w:rPr>
                <w:rFonts w:hint="default" w:ascii="Times New Roman" w:hAnsi="Times New Roman" w:eastAsia="Carlito" w:cs="Times New Roman"/>
                <w:b/>
                <w:bCs/>
                <w:i w:val="0"/>
                <w:iCs w:val="0"/>
                <w:color w:val="auto"/>
                <w:kern w:val="0"/>
                <w:sz w:val="21"/>
                <w:szCs w:val="21"/>
                <w:u w:val="none"/>
                <w:lang w:val="en-US" w:eastAsia="zh-CN" w:bidi="ar"/>
              </w:rPr>
              <w:t xml:space="preserve"> &lt;0.001, &lt;0.001</w:t>
            </w:r>
            <w:r>
              <w:rPr>
                <w:rFonts w:hint="default" w:ascii="Times New Roman" w:hAnsi="Times New Roman" w:eastAsia="Carlito" w:cs="Times New Roman"/>
                <w:b w:val="0"/>
                <w:bCs w:val="0"/>
                <w:i w:val="0"/>
                <w:iCs w:val="0"/>
                <w:color w:val="auto"/>
                <w:kern w:val="0"/>
                <w:sz w:val="21"/>
                <w:szCs w:val="21"/>
                <w:u w:val="none"/>
                <w:lang w:val="en-US" w:eastAsia="zh-CN" w:bidi="ar"/>
              </w:rPr>
              <w:t>)</w:t>
            </w:r>
          </w:p>
        </w:tc>
        <w:tc>
          <w:tcPr>
            <w:tcW w:w="2800" w:type="dxa"/>
            <w:tcBorders>
              <w:bottom w:val="single" w:color="auto" w:sz="12" w:space="0"/>
            </w:tcBorders>
            <w:vAlign w:val="center"/>
          </w:tcPr>
          <w:p w14:paraId="33886CA5">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val="0"/>
                <w:bCs w:val="0"/>
                <w:i w:val="0"/>
                <w:iCs w:val="0"/>
                <w:color w:val="auto"/>
                <w:kern w:val="0"/>
                <w:sz w:val="21"/>
                <w:szCs w:val="21"/>
                <w:u w:val="none"/>
                <w:lang w:val="en-US" w:eastAsia="zh-CN" w:bidi="ar"/>
              </w:rPr>
              <w:t>(1.892, 0.061, 0.182)</w:t>
            </w:r>
          </w:p>
        </w:tc>
        <w:tc>
          <w:tcPr>
            <w:tcW w:w="2900" w:type="dxa"/>
            <w:tcBorders>
              <w:bottom w:val="single" w:color="auto" w:sz="12" w:space="0"/>
            </w:tcBorders>
            <w:vAlign w:val="center"/>
          </w:tcPr>
          <w:p w14:paraId="732E3715">
            <w:pPr>
              <w:keepNext w:val="0"/>
              <w:keepLines w:val="0"/>
              <w:widowControl/>
              <w:suppressLineNumbers w:val="0"/>
              <w:jc w:val="left"/>
              <w:textAlignment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Carlito" w:cs="Times New Roman"/>
                <w:i w:val="0"/>
                <w:iCs w:val="0"/>
                <w:color w:val="auto"/>
                <w:kern w:val="0"/>
                <w:sz w:val="21"/>
                <w:szCs w:val="21"/>
                <w:u w:val="none"/>
                <w:lang w:val="en-US" w:eastAsia="zh-CN" w:bidi="ar"/>
              </w:rPr>
              <w:t>(1.056, 0.307, 0.921)</w:t>
            </w:r>
          </w:p>
        </w:tc>
      </w:tr>
    </w:tbl>
    <w:p w14:paraId="6AE02018">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20" w:firstLineChars="200"/>
        <w:jc w:val="left"/>
        <w:textAlignment w:val="auto"/>
        <w:rPr>
          <w:rFonts w:hint="default" w:ascii="Times New Roman" w:hAnsi="Times New Roman" w:eastAsia="宋体" w:cs="Times New Roman"/>
          <w:b w:val="0"/>
          <w:bCs/>
          <w:i w:val="0"/>
          <w:strike w:val="0"/>
          <w:color w:val="auto"/>
          <w:sz w:val="21"/>
          <w:szCs w:val="21"/>
          <w:u w:val="none"/>
          <w:lang w:val="en-US" w:eastAsia="zh-CN"/>
        </w:rPr>
      </w:pPr>
      <w:r>
        <w:rPr>
          <w:rFonts w:hint="default" w:ascii="Times New Roman" w:hAnsi="Times New Roman" w:eastAsia="宋体" w:cs="Times New Roman"/>
          <w:b w:val="0"/>
          <w:i w:val="0"/>
          <w:strike w:val="0"/>
          <w:color w:val="auto"/>
          <w:sz w:val="21"/>
          <w:szCs w:val="21"/>
          <w:u w:val="none"/>
        </w:rPr>
        <w:t>Statistical method: Mann–Whitney U test. Z statistics and exact two-sided P values are reported. For each prespecified group contrast, Bonferroni correction was applied across the three intestinal barrier-related biomarkers.</w:t>
      </w:r>
      <w:r>
        <w:rPr>
          <w:rFonts w:hint="eastAsia" w:ascii="Times New Roman" w:hAnsi="Times New Roman" w:cs="Times New Roman"/>
          <w:b w:val="0"/>
          <w:i w:val="0"/>
          <w:strike w:val="0"/>
          <w:color w:val="auto"/>
          <w:sz w:val="21"/>
          <w:szCs w:val="21"/>
          <w:u w:val="none"/>
          <w:lang w:val="en-US" w:eastAsia="zh-CN"/>
        </w:rPr>
        <w:t xml:space="preserve"> </w:t>
      </w:r>
      <w:r>
        <w:rPr>
          <w:rFonts w:hint="default" w:ascii="Times New Roman" w:hAnsi="Times New Roman" w:eastAsia="宋体" w:cs="Times New Roman"/>
          <w:b w:val="0"/>
          <w:i w:val="0"/>
          <w:strike w:val="0"/>
          <w:color w:val="auto"/>
          <w:sz w:val="21"/>
          <w:szCs w:val="21"/>
          <w:u w:val="none"/>
        </w:rPr>
        <w:t>For comparisons with the HG, pre-treatment values of the TG and CG were used. TG, TIPS treatment group; CG, control treatment group; HG, healthy control group; LPS, lipopolysaccharide; DAO, diamine oxidase; DLAC, D-lactate.</w:t>
      </w:r>
    </w:p>
    <w:p w14:paraId="0C4AA4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7F79EF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5140FD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4C0B12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4A55A4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0DA839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53FB3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05C37C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423765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333E65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72D432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09F653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4459F8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b/>
          <w:bCs/>
          <w:color w:val="auto"/>
          <w:sz w:val="24"/>
          <w:szCs w:val="24"/>
          <w:lang w:val="en-US" w:eastAsia="zh-CN"/>
        </w:rPr>
      </w:pPr>
    </w:p>
    <w:p w14:paraId="23C553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i w:val="0"/>
          <w:strike w:val="0"/>
          <w:color w:val="auto"/>
          <w:kern w:val="0"/>
          <w:sz w:val="24"/>
          <w:szCs w:val="24"/>
          <w:u w:val="none"/>
          <w:lang w:val="en-US" w:eastAsia="zh-CN" w:bidi="ar-SA"/>
        </w:rPr>
        <w:t>Supplementary</w:t>
      </w:r>
      <w:r>
        <w:rPr>
          <w:rFonts w:hint="eastAsia" w:ascii="Times New Roman" w:hAnsi="Times New Roman" w:cs="Times New Roman"/>
          <w:b/>
          <w:bCs/>
          <w:i w:val="0"/>
          <w:strike w:val="0"/>
          <w:color w:val="auto"/>
          <w:kern w:val="0"/>
          <w:sz w:val="24"/>
          <w:szCs w:val="24"/>
          <w:u w:val="none"/>
          <w:lang w:val="en-US" w:eastAsia="zh-CN" w:bidi="ar-SA"/>
        </w:rPr>
        <w:t xml:space="preserve"> </w:t>
      </w:r>
      <w:r>
        <w:rPr>
          <w:rFonts w:hint="default" w:ascii="Times New Roman" w:hAnsi="Times New Roman" w:cs="Times New Roman"/>
          <w:b/>
          <w:bCs/>
          <w:color w:val="auto"/>
          <w:sz w:val="24"/>
          <w:szCs w:val="24"/>
          <w:lang w:val="en-US" w:eastAsia="zh-CN"/>
        </w:rPr>
        <w:t>Table</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S</w:t>
      </w:r>
      <w:r>
        <w:rPr>
          <w:rFonts w:hint="eastAsia"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lang w:val="en-US" w:eastAsia="zh-CN"/>
        </w:rPr>
        <w:t>. Longitudinal changes in plasma LPS, DAO, and DLAC levels</w:t>
      </w:r>
    </w:p>
    <w:tbl>
      <w:tblPr>
        <w:tblStyle w:val="2"/>
        <w:tblW w:w="6628" w:type="pct"/>
        <w:tblInd w:w="-142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08"/>
        <w:gridCol w:w="1100"/>
        <w:gridCol w:w="2554"/>
        <w:gridCol w:w="1946"/>
        <w:gridCol w:w="1538"/>
        <w:gridCol w:w="1851"/>
      </w:tblGrid>
      <w:tr w14:paraId="18676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21" w:type="pct"/>
            <w:tcBorders>
              <w:top w:val="single" w:color="000000" w:sz="8" w:space="0"/>
              <w:left w:val="nil"/>
              <w:bottom w:val="single" w:color="000000" w:sz="4" w:space="0"/>
              <w:right w:val="nil"/>
            </w:tcBorders>
            <w:shd w:val="clear" w:color="auto" w:fill="auto"/>
            <w:vAlign w:val="center"/>
          </w:tcPr>
          <w:p w14:paraId="2B8368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Analysis section</w:t>
            </w:r>
          </w:p>
        </w:tc>
        <w:tc>
          <w:tcPr>
            <w:tcW w:w="486" w:type="pct"/>
            <w:tcBorders>
              <w:top w:val="single" w:color="000000" w:sz="8" w:space="0"/>
              <w:left w:val="nil"/>
              <w:bottom w:val="single" w:color="000000" w:sz="4" w:space="0"/>
              <w:right w:val="nil"/>
            </w:tcBorders>
            <w:shd w:val="clear" w:color="auto" w:fill="auto"/>
            <w:vAlign w:val="center"/>
          </w:tcPr>
          <w:p w14:paraId="53961E2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Group/comparison</w:t>
            </w:r>
          </w:p>
        </w:tc>
        <w:tc>
          <w:tcPr>
            <w:tcW w:w="1130" w:type="pct"/>
            <w:tcBorders>
              <w:top w:val="single" w:color="000000" w:sz="8" w:space="0"/>
              <w:left w:val="nil"/>
              <w:bottom w:val="single" w:color="000000" w:sz="4" w:space="0"/>
              <w:right w:val="nil"/>
            </w:tcBorders>
            <w:shd w:val="clear" w:color="auto" w:fill="auto"/>
            <w:vAlign w:val="center"/>
          </w:tcPr>
          <w:p w14:paraId="26609C5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Time point/model effect</w:t>
            </w:r>
          </w:p>
        </w:tc>
        <w:tc>
          <w:tcPr>
            <w:tcW w:w="861" w:type="pct"/>
            <w:tcBorders>
              <w:top w:val="single" w:color="000000" w:sz="8" w:space="0"/>
              <w:left w:val="nil"/>
              <w:bottom w:val="single" w:color="000000" w:sz="4" w:space="0"/>
              <w:right w:val="nil"/>
            </w:tcBorders>
            <w:shd w:val="clear" w:color="auto" w:fill="auto"/>
            <w:vAlign w:val="center"/>
          </w:tcPr>
          <w:p w14:paraId="501C8DC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LPS result</w:t>
            </w:r>
          </w:p>
        </w:tc>
        <w:tc>
          <w:tcPr>
            <w:tcW w:w="680" w:type="pct"/>
            <w:tcBorders>
              <w:top w:val="single" w:color="000000" w:sz="8" w:space="0"/>
              <w:left w:val="nil"/>
              <w:bottom w:val="single" w:color="000000" w:sz="4" w:space="0"/>
              <w:right w:val="nil"/>
            </w:tcBorders>
            <w:shd w:val="clear" w:color="auto" w:fill="auto"/>
            <w:vAlign w:val="center"/>
          </w:tcPr>
          <w:p w14:paraId="7E2B025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DAO result</w:t>
            </w:r>
          </w:p>
        </w:tc>
        <w:tc>
          <w:tcPr>
            <w:tcW w:w="819" w:type="pct"/>
            <w:tcBorders>
              <w:top w:val="single" w:color="000000" w:sz="8" w:space="0"/>
              <w:left w:val="nil"/>
              <w:bottom w:val="single" w:color="000000" w:sz="4" w:space="0"/>
              <w:right w:val="nil"/>
            </w:tcBorders>
            <w:shd w:val="clear" w:color="auto" w:fill="auto"/>
            <w:vAlign w:val="center"/>
          </w:tcPr>
          <w:p w14:paraId="1A0824A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DLAC result</w:t>
            </w:r>
          </w:p>
        </w:tc>
      </w:tr>
      <w:tr w14:paraId="7A0E7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48DBE8B0">
            <w:pPr>
              <w:keepNext w:val="0"/>
              <w:keepLines w:val="0"/>
              <w:widowControl/>
              <w:suppressLineNumbers w:val="0"/>
              <w:ind w:left="0" w:leftChars="0" w:right="0" w:rightChars="0" w:firstLine="0" w:firstLineChars="0"/>
              <w:jc w:val="left"/>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Descriptive statistics</w:t>
            </w:r>
          </w:p>
        </w:tc>
        <w:tc>
          <w:tcPr>
            <w:tcW w:w="486" w:type="pct"/>
            <w:tcBorders>
              <w:top w:val="nil"/>
              <w:left w:val="nil"/>
              <w:bottom w:val="nil"/>
              <w:right w:val="nil"/>
            </w:tcBorders>
            <w:shd w:val="clear" w:color="auto" w:fill="auto"/>
            <w:vAlign w:val="center"/>
          </w:tcPr>
          <w:p w14:paraId="1E73C9F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HG</w:t>
            </w:r>
          </w:p>
        </w:tc>
        <w:tc>
          <w:tcPr>
            <w:tcW w:w="1130" w:type="pct"/>
            <w:tcBorders>
              <w:top w:val="nil"/>
              <w:left w:val="nil"/>
              <w:bottom w:val="nil"/>
              <w:right w:val="nil"/>
            </w:tcBorders>
            <w:shd w:val="clear" w:color="auto" w:fill="auto"/>
            <w:vAlign w:val="center"/>
          </w:tcPr>
          <w:p w14:paraId="6FCF8AC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61" w:type="pct"/>
            <w:tcBorders>
              <w:top w:val="nil"/>
              <w:left w:val="nil"/>
              <w:bottom w:val="nil"/>
              <w:right w:val="nil"/>
            </w:tcBorders>
            <w:shd w:val="clear" w:color="auto" w:fill="auto"/>
            <w:vAlign w:val="center"/>
          </w:tcPr>
          <w:p w14:paraId="2CF8D6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1.04 (0.51)</w:t>
            </w:r>
          </w:p>
        </w:tc>
        <w:tc>
          <w:tcPr>
            <w:tcW w:w="680" w:type="pct"/>
            <w:tcBorders>
              <w:top w:val="nil"/>
              <w:left w:val="nil"/>
              <w:bottom w:val="nil"/>
              <w:right w:val="nil"/>
            </w:tcBorders>
            <w:shd w:val="clear" w:color="auto" w:fill="auto"/>
            <w:vAlign w:val="center"/>
          </w:tcPr>
          <w:p w14:paraId="2ADB446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2.34 (1.31)</w:t>
            </w:r>
          </w:p>
        </w:tc>
        <w:tc>
          <w:tcPr>
            <w:tcW w:w="819" w:type="pct"/>
            <w:tcBorders>
              <w:top w:val="nil"/>
              <w:left w:val="nil"/>
              <w:bottom w:val="nil"/>
              <w:right w:val="nil"/>
            </w:tcBorders>
            <w:shd w:val="clear" w:color="auto" w:fill="auto"/>
            <w:vAlign w:val="center"/>
          </w:tcPr>
          <w:p w14:paraId="7D52F0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3.69 (0.74)</w:t>
            </w:r>
          </w:p>
        </w:tc>
      </w:tr>
      <w:tr w14:paraId="723BA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4535720B">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194162F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6B52D36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w:t>
            </w:r>
          </w:p>
        </w:tc>
        <w:tc>
          <w:tcPr>
            <w:tcW w:w="861" w:type="pct"/>
            <w:tcBorders>
              <w:top w:val="nil"/>
              <w:left w:val="nil"/>
              <w:bottom w:val="nil"/>
              <w:right w:val="nil"/>
            </w:tcBorders>
            <w:shd w:val="clear" w:color="auto" w:fill="auto"/>
            <w:vAlign w:val="center"/>
          </w:tcPr>
          <w:p w14:paraId="56830C7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6.70 (15.15)</w:t>
            </w:r>
          </w:p>
        </w:tc>
        <w:tc>
          <w:tcPr>
            <w:tcW w:w="680" w:type="pct"/>
            <w:tcBorders>
              <w:top w:val="nil"/>
              <w:left w:val="nil"/>
              <w:bottom w:val="nil"/>
              <w:right w:val="nil"/>
            </w:tcBorders>
            <w:shd w:val="clear" w:color="auto" w:fill="auto"/>
            <w:vAlign w:val="center"/>
          </w:tcPr>
          <w:p w14:paraId="47A0715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4.98 (8.25)</w:t>
            </w:r>
          </w:p>
        </w:tc>
        <w:tc>
          <w:tcPr>
            <w:tcW w:w="819" w:type="pct"/>
            <w:tcBorders>
              <w:top w:val="nil"/>
              <w:left w:val="nil"/>
              <w:bottom w:val="nil"/>
              <w:right w:val="nil"/>
            </w:tcBorders>
            <w:shd w:val="clear" w:color="auto" w:fill="auto"/>
            <w:vAlign w:val="center"/>
          </w:tcPr>
          <w:p w14:paraId="0EAF643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3.75 (3.23)</w:t>
            </w:r>
          </w:p>
        </w:tc>
      </w:tr>
      <w:tr w14:paraId="4238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492A3E84">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6305FFA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29D6D7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 week post-treatment</w:t>
            </w:r>
          </w:p>
        </w:tc>
        <w:tc>
          <w:tcPr>
            <w:tcW w:w="861" w:type="pct"/>
            <w:tcBorders>
              <w:top w:val="nil"/>
              <w:left w:val="nil"/>
              <w:bottom w:val="nil"/>
              <w:right w:val="nil"/>
            </w:tcBorders>
            <w:shd w:val="clear" w:color="auto" w:fill="auto"/>
            <w:vAlign w:val="center"/>
          </w:tcPr>
          <w:p w14:paraId="49F5A3E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6.89 (11.47)</w:t>
            </w:r>
          </w:p>
        </w:tc>
        <w:tc>
          <w:tcPr>
            <w:tcW w:w="680" w:type="pct"/>
            <w:tcBorders>
              <w:top w:val="nil"/>
              <w:left w:val="nil"/>
              <w:bottom w:val="nil"/>
              <w:right w:val="nil"/>
            </w:tcBorders>
            <w:shd w:val="clear" w:color="auto" w:fill="auto"/>
            <w:vAlign w:val="center"/>
          </w:tcPr>
          <w:p w14:paraId="0BB6210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2.82 (10.39)</w:t>
            </w:r>
          </w:p>
        </w:tc>
        <w:tc>
          <w:tcPr>
            <w:tcW w:w="819" w:type="pct"/>
            <w:tcBorders>
              <w:top w:val="nil"/>
              <w:left w:val="nil"/>
              <w:bottom w:val="nil"/>
              <w:right w:val="nil"/>
            </w:tcBorders>
            <w:shd w:val="clear" w:color="auto" w:fill="auto"/>
            <w:vAlign w:val="center"/>
          </w:tcPr>
          <w:p w14:paraId="3D71DED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4.16 (3.39)</w:t>
            </w:r>
          </w:p>
        </w:tc>
      </w:tr>
      <w:tr w14:paraId="025F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289298EA">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676382E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1E453E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12 weeks post-treatment</w:t>
            </w:r>
          </w:p>
        </w:tc>
        <w:tc>
          <w:tcPr>
            <w:tcW w:w="861" w:type="pct"/>
            <w:tcBorders>
              <w:top w:val="nil"/>
              <w:left w:val="nil"/>
              <w:bottom w:val="nil"/>
              <w:right w:val="nil"/>
            </w:tcBorders>
            <w:shd w:val="clear" w:color="auto" w:fill="auto"/>
            <w:vAlign w:val="center"/>
          </w:tcPr>
          <w:p w14:paraId="718762B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3.20 (7.82)</w:t>
            </w:r>
          </w:p>
        </w:tc>
        <w:tc>
          <w:tcPr>
            <w:tcW w:w="680" w:type="pct"/>
            <w:tcBorders>
              <w:top w:val="nil"/>
              <w:left w:val="nil"/>
              <w:bottom w:val="nil"/>
              <w:right w:val="nil"/>
            </w:tcBorders>
            <w:shd w:val="clear" w:color="auto" w:fill="auto"/>
            <w:vAlign w:val="center"/>
          </w:tcPr>
          <w:p w14:paraId="6C7C86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2.36 (6.97)</w:t>
            </w:r>
          </w:p>
        </w:tc>
        <w:tc>
          <w:tcPr>
            <w:tcW w:w="819" w:type="pct"/>
            <w:tcBorders>
              <w:top w:val="nil"/>
              <w:left w:val="nil"/>
              <w:bottom w:val="nil"/>
              <w:right w:val="nil"/>
            </w:tcBorders>
            <w:shd w:val="clear" w:color="auto" w:fill="auto"/>
            <w:vAlign w:val="center"/>
          </w:tcPr>
          <w:p w14:paraId="31EBDFC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4.04 (2.78)</w:t>
            </w:r>
          </w:p>
        </w:tc>
      </w:tr>
      <w:tr w14:paraId="6891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331CFABE">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6D5B3A8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6F7B92E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w:t>
            </w:r>
          </w:p>
        </w:tc>
        <w:tc>
          <w:tcPr>
            <w:tcW w:w="861" w:type="pct"/>
            <w:tcBorders>
              <w:top w:val="nil"/>
              <w:left w:val="nil"/>
              <w:bottom w:val="nil"/>
              <w:right w:val="nil"/>
            </w:tcBorders>
            <w:shd w:val="clear" w:color="auto" w:fill="auto"/>
            <w:vAlign w:val="center"/>
          </w:tcPr>
          <w:p w14:paraId="51C045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7.97 (9.57)</w:t>
            </w:r>
          </w:p>
        </w:tc>
        <w:tc>
          <w:tcPr>
            <w:tcW w:w="680" w:type="pct"/>
            <w:tcBorders>
              <w:top w:val="nil"/>
              <w:left w:val="nil"/>
              <w:bottom w:val="nil"/>
              <w:right w:val="nil"/>
            </w:tcBorders>
            <w:shd w:val="clear" w:color="auto" w:fill="auto"/>
            <w:vAlign w:val="center"/>
          </w:tcPr>
          <w:p w14:paraId="0BD9811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3.17 (5.76)</w:t>
            </w:r>
          </w:p>
        </w:tc>
        <w:tc>
          <w:tcPr>
            <w:tcW w:w="819" w:type="pct"/>
            <w:tcBorders>
              <w:top w:val="nil"/>
              <w:left w:val="nil"/>
              <w:bottom w:val="nil"/>
              <w:right w:val="nil"/>
            </w:tcBorders>
            <w:shd w:val="clear" w:color="auto" w:fill="auto"/>
            <w:vAlign w:val="center"/>
          </w:tcPr>
          <w:p w14:paraId="177F900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3.97 (2.14)</w:t>
            </w:r>
          </w:p>
        </w:tc>
      </w:tr>
      <w:tr w14:paraId="105E6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24EE7371">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1753960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1D5D251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 week post-treatment</w:t>
            </w:r>
          </w:p>
        </w:tc>
        <w:tc>
          <w:tcPr>
            <w:tcW w:w="861" w:type="pct"/>
            <w:tcBorders>
              <w:top w:val="nil"/>
              <w:left w:val="nil"/>
              <w:bottom w:val="nil"/>
              <w:right w:val="nil"/>
            </w:tcBorders>
            <w:shd w:val="clear" w:color="auto" w:fill="auto"/>
            <w:vAlign w:val="center"/>
          </w:tcPr>
          <w:p w14:paraId="4FA42AC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7.33 (9.37)</w:t>
            </w:r>
          </w:p>
        </w:tc>
        <w:tc>
          <w:tcPr>
            <w:tcW w:w="680" w:type="pct"/>
            <w:tcBorders>
              <w:top w:val="nil"/>
              <w:left w:val="nil"/>
              <w:bottom w:val="nil"/>
              <w:right w:val="nil"/>
            </w:tcBorders>
            <w:shd w:val="clear" w:color="auto" w:fill="auto"/>
            <w:vAlign w:val="center"/>
          </w:tcPr>
          <w:p w14:paraId="6AEFDA7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2.62 (16.01)</w:t>
            </w:r>
          </w:p>
        </w:tc>
        <w:tc>
          <w:tcPr>
            <w:tcW w:w="819" w:type="pct"/>
            <w:tcBorders>
              <w:top w:val="nil"/>
              <w:left w:val="nil"/>
              <w:bottom w:val="nil"/>
              <w:right w:val="nil"/>
            </w:tcBorders>
            <w:shd w:val="clear" w:color="auto" w:fill="auto"/>
            <w:vAlign w:val="center"/>
          </w:tcPr>
          <w:p w14:paraId="4E8C99A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4.04 (1.48)</w:t>
            </w:r>
          </w:p>
        </w:tc>
      </w:tr>
      <w:tr w14:paraId="228C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6A35B560">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4F6842B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58B6E7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12 weeks post-treatment</w:t>
            </w:r>
          </w:p>
        </w:tc>
        <w:tc>
          <w:tcPr>
            <w:tcW w:w="861" w:type="pct"/>
            <w:tcBorders>
              <w:top w:val="nil"/>
              <w:left w:val="nil"/>
              <w:bottom w:val="nil"/>
              <w:right w:val="nil"/>
            </w:tcBorders>
            <w:shd w:val="clear" w:color="auto" w:fill="auto"/>
            <w:vAlign w:val="center"/>
          </w:tcPr>
          <w:p w14:paraId="16E2D1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7.30 (9.70)</w:t>
            </w:r>
          </w:p>
        </w:tc>
        <w:tc>
          <w:tcPr>
            <w:tcW w:w="680" w:type="pct"/>
            <w:tcBorders>
              <w:top w:val="nil"/>
              <w:left w:val="nil"/>
              <w:bottom w:val="nil"/>
              <w:right w:val="nil"/>
            </w:tcBorders>
            <w:shd w:val="clear" w:color="auto" w:fill="auto"/>
            <w:vAlign w:val="center"/>
          </w:tcPr>
          <w:p w14:paraId="3EDA2DA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2.46 (9.11)</w:t>
            </w:r>
          </w:p>
        </w:tc>
        <w:tc>
          <w:tcPr>
            <w:tcW w:w="819" w:type="pct"/>
            <w:tcBorders>
              <w:top w:val="nil"/>
              <w:left w:val="nil"/>
              <w:bottom w:val="nil"/>
              <w:right w:val="nil"/>
            </w:tcBorders>
            <w:shd w:val="clear" w:color="auto" w:fill="auto"/>
            <w:vAlign w:val="center"/>
          </w:tcPr>
          <w:p w14:paraId="3B630A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4.04 (2.81)</w:t>
            </w:r>
          </w:p>
        </w:tc>
      </w:tr>
      <w:tr w14:paraId="795D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20ACEEC6">
            <w:pPr>
              <w:keepNext w:val="0"/>
              <w:keepLines w:val="0"/>
              <w:widowControl/>
              <w:suppressLineNumbers w:val="0"/>
              <w:ind w:left="0" w:leftChars="0" w:right="0" w:rightChars="0" w:firstLine="0" w:firstLineChars="0"/>
              <w:jc w:val="left"/>
              <w:textAlignment w:val="center"/>
              <w:rPr>
                <w:rFonts w:hint="default" w:ascii="Times New Roman" w:hAnsi="Times New Roman" w:eastAsia="Carlito" w:cs="Times New Roman"/>
                <w:b/>
                <w:bCs/>
                <w:i w:val="0"/>
                <w:iCs w:val="0"/>
                <w:color w:val="auto"/>
                <w:kern w:val="0"/>
                <w:sz w:val="18"/>
                <w:szCs w:val="18"/>
                <w:u w:val="none"/>
                <w:lang w:val="en-US" w:eastAsia="zh-CN" w:bidi="ar"/>
              </w:rPr>
            </w:pPr>
            <w:r>
              <w:rPr>
                <w:rFonts w:hint="default" w:ascii="Times New Roman" w:hAnsi="Times New Roman" w:eastAsia="Carlito" w:cs="Times New Roman"/>
                <w:b/>
                <w:bCs/>
                <w:i w:val="0"/>
                <w:iCs w:val="0"/>
                <w:color w:val="auto"/>
                <w:kern w:val="0"/>
                <w:sz w:val="18"/>
                <w:szCs w:val="18"/>
                <w:u w:val="none"/>
                <w:lang w:val="en-US" w:eastAsia="zh-CN" w:bidi="ar"/>
              </w:rPr>
              <w:t>GEE omnibus effects</w:t>
            </w:r>
          </w:p>
          <w:p w14:paraId="5EC98547">
            <w:pPr>
              <w:keepNext w:val="0"/>
              <w:keepLines w:val="0"/>
              <w:widowControl/>
              <w:suppressLineNumbers w:val="0"/>
              <w:ind w:left="0" w:leftChars="0" w:right="0" w:rightChars="0" w:firstLine="0" w:firstLineChars="0"/>
              <w:jc w:val="left"/>
              <w:textAlignment w:val="center"/>
              <w:rPr>
                <w:rFonts w:hint="default" w:ascii="Times New Roman" w:hAnsi="Times New Roman" w:eastAsia="Carlito" w:cs="Times New Roman"/>
                <w:b/>
                <w:bCs/>
                <w:i w:val="0"/>
                <w:iCs w:val="0"/>
                <w:color w:val="auto"/>
                <w:kern w:val="0"/>
                <w:sz w:val="18"/>
                <w:szCs w:val="18"/>
                <w:u w:val="none"/>
                <w:lang w:val="en-US" w:eastAsia="zh-CN" w:bidi="ar"/>
              </w:rPr>
            </w:pPr>
            <w:r>
              <w:rPr>
                <w:rFonts w:hint="eastAsia" w:ascii="Times New Roman" w:hAnsi="Times New Roman" w:eastAsia="Carlito" w:cs="Times New Roman"/>
                <w:b/>
                <w:bCs/>
                <w:i w:val="0"/>
                <w:iCs w:val="0"/>
                <w:color w:val="auto"/>
                <w:kern w:val="0"/>
                <w:sz w:val="18"/>
                <w:szCs w:val="18"/>
                <w:u w:val="none"/>
                <w:lang w:val="en-US" w:eastAsia="zh-CN" w:bidi="ar"/>
              </w:rPr>
              <w:t>(</w:t>
            </w:r>
            <w:r>
              <w:rPr>
                <w:rFonts w:hint="default" w:ascii="Times New Roman" w:hAnsi="Times New Roman" w:cs="Times New Roman"/>
                <w:b w:val="0"/>
                <w:bCs w:val="0"/>
                <w:color w:val="auto"/>
                <w:sz w:val="20"/>
                <w:szCs w:val="20"/>
                <w:vertAlign w:val="baseline"/>
                <w:lang w:val="en-US" w:eastAsia="zh-CN"/>
              </w:rPr>
              <w:t xml:space="preserve">Wald χ², </w:t>
            </w:r>
            <w:r>
              <w:rPr>
                <w:rFonts w:hint="eastAsia" w:ascii="Times New Roman" w:hAnsi="Times New Roman" w:cs="Times New Roman"/>
                <w:b w:val="0"/>
                <w:bCs w:val="0"/>
                <w:color w:val="auto"/>
                <w:sz w:val="20"/>
                <w:szCs w:val="20"/>
                <w:vertAlign w:val="baseline"/>
                <w:lang w:val="en-US" w:eastAsia="zh-CN"/>
              </w:rPr>
              <w:t>raw</w:t>
            </w:r>
            <w:r>
              <w:rPr>
                <w:rFonts w:hint="default" w:ascii="Times New Roman" w:hAnsi="Times New Roman" w:cs="Times New Roman"/>
                <w:b w:val="0"/>
                <w:bCs w:val="0"/>
                <w:color w:val="auto"/>
                <w:sz w:val="20"/>
                <w:szCs w:val="20"/>
                <w:vertAlign w:val="baseline"/>
                <w:lang w:val="en-US" w:eastAsia="zh-CN"/>
              </w:rPr>
              <w:t xml:space="preserve"> P, adjusted P</w:t>
            </w:r>
            <w:r>
              <w:rPr>
                <w:rFonts w:hint="eastAsia" w:ascii="Times New Roman" w:hAnsi="Times New Roman" w:eastAsia="Carlito" w:cs="Times New Roman"/>
                <w:b/>
                <w:bCs/>
                <w:i w:val="0"/>
                <w:iCs w:val="0"/>
                <w:color w:val="auto"/>
                <w:kern w:val="0"/>
                <w:sz w:val="18"/>
                <w:szCs w:val="18"/>
                <w:u w:val="none"/>
                <w:lang w:val="en-US" w:eastAsia="zh-CN" w:bidi="ar"/>
              </w:rPr>
              <w:t>)</w:t>
            </w:r>
          </w:p>
        </w:tc>
        <w:tc>
          <w:tcPr>
            <w:tcW w:w="486" w:type="pct"/>
            <w:tcBorders>
              <w:top w:val="nil"/>
              <w:left w:val="nil"/>
              <w:bottom w:val="nil"/>
              <w:right w:val="nil"/>
            </w:tcBorders>
            <w:shd w:val="clear" w:color="auto" w:fill="auto"/>
            <w:vAlign w:val="center"/>
          </w:tcPr>
          <w:p w14:paraId="67635F3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1130" w:type="pct"/>
            <w:tcBorders>
              <w:top w:val="nil"/>
              <w:left w:val="nil"/>
              <w:bottom w:val="nil"/>
              <w:right w:val="nil"/>
            </w:tcBorders>
            <w:shd w:val="clear" w:color="auto" w:fill="auto"/>
            <w:vAlign w:val="center"/>
          </w:tcPr>
          <w:p w14:paraId="66C4A91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Group</w:t>
            </w:r>
          </w:p>
        </w:tc>
        <w:tc>
          <w:tcPr>
            <w:tcW w:w="861" w:type="pct"/>
            <w:tcBorders>
              <w:top w:val="nil"/>
              <w:left w:val="nil"/>
              <w:bottom w:val="nil"/>
              <w:right w:val="nil"/>
            </w:tcBorders>
            <w:shd w:val="clear" w:color="auto" w:fill="auto"/>
            <w:vAlign w:val="center"/>
          </w:tcPr>
          <w:p w14:paraId="0FA742B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(0.004, 0.951, 1.000)</w:t>
            </w:r>
          </w:p>
        </w:tc>
        <w:tc>
          <w:tcPr>
            <w:tcW w:w="680" w:type="pct"/>
            <w:tcBorders>
              <w:top w:val="nil"/>
              <w:left w:val="nil"/>
              <w:bottom w:val="nil"/>
              <w:right w:val="nil"/>
            </w:tcBorders>
            <w:shd w:val="clear" w:color="auto" w:fill="auto"/>
            <w:vAlign w:val="center"/>
          </w:tcPr>
          <w:p w14:paraId="1590CE3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(0.007, 0.933, 1.000)</w:t>
            </w:r>
          </w:p>
        </w:tc>
        <w:tc>
          <w:tcPr>
            <w:tcW w:w="819" w:type="pct"/>
            <w:tcBorders>
              <w:top w:val="nil"/>
              <w:left w:val="nil"/>
              <w:bottom w:val="nil"/>
              <w:right w:val="nil"/>
            </w:tcBorders>
            <w:shd w:val="clear" w:color="auto" w:fill="auto"/>
            <w:vAlign w:val="center"/>
          </w:tcPr>
          <w:p w14:paraId="600BF58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(0.072, 0.788, 1.000)</w:t>
            </w:r>
          </w:p>
        </w:tc>
      </w:tr>
      <w:tr w14:paraId="37D1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5168B3A3">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072B562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1130" w:type="pct"/>
            <w:tcBorders>
              <w:top w:val="nil"/>
              <w:left w:val="nil"/>
              <w:bottom w:val="nil"/>
              <w:right w:val="nil"/>
            </w:tcBorders>
            <w:shd w:val="clear" w:color="auto" w:fill="auto"/>
            <w:vAlign w:val="center"/>
          </w:tcPr>
          <w:p w14:paraId="1986F6D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Time</w:t>
            </w:r>
          </w:p>
        </w:tc>
        <w:tc>
          <w:tcPr>
            <w:tcW w:w="861" w:type="pct"/>
            <w:tcBorders>
              <w:top w:val="nil"/>
              <w:left w:val="nil"/>
              <w:bottom w:val="nil"/>
              <w:right w:val="nil"/>
            </w:tcBorders>
            <w:shd w:val="clear" w:color="auto" w:fill="auto"/>
            <w:vAlign w:val="center"/>
          </w:tcPr>
          <w:p w14:paraId="750D535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(11.123, 0.004, 0.012)</w:t>
            </w:r>
          </w:p>
        </w:tc>
        <w:tc>
          <w:tcPr>
            <w:tcW w:w="680" w:type="pct"/>
            <w:tcBorders>
              <w:top w:val="nil"/>
              <w:left w:val="nil"/>
              <w:bottom w:val="nil"/>
              <w:right w:val="nil"/>
            </w:tcBorders>
            <w:shd w:val="clear" w:color="auto" w:fill="auto"/>
            <w:vAlign w:val="center"/>
          </w:tcPr>
          <w:p w14:paraId="5BD838F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(0.663, 0.718, 1.000)</w:t>
            </w:r>
          </w:p>
        </w:tc>
        <w:tc>
          <w:tcPr>
            <w:tcW w:w="819" w:type="pct"/>
            <w:tcBorders>
              <w:top w:val="nil"/>
              <w:left w:val="nil"/>
              <w:bottom w:val="nil"/>
              <w:right w:val="nil"/>
            </w:tcBorders>
            <w:shd w:val="clear" w:color="auto" w:fill="auto"/>
            <w:vAlign w:val="center"/>
          </w:tcPr>
          <w:p w14:paraId="1A3D852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(0.082, 0.960, 1.000)</w:t>
            </w:r>
          </w:p>
        </w:tc>
      </w:tr>
      <w:tr w14:paraId="0E51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21" w:type="pct"/>
            <w:tcBorders>
              <w:top w:val="nil"/>
              <w:left w:val="nil"/>
              <w:bottom w:val="nil"/>
              <w:right w:val="nil"/>
            </w:tcBorders>
            <w:shd w:val="clear" w:color="auto" w:fill="auto"/>
            <w:vAlign w:val="center"/>
          </w:tcPr>
          <w:p w14:paraId="07AC92D3">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30F016D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1130" w:type="pct"/>
            <w:tcBorders>
              <w:top w:val="nil"/>
              <w:left w:val="nil"/>
              <w:bottom w:val="nil"/>
              <w:right w:val="nil"/>
            </w:tcBorders>
            <w:shd w:val="clear" w:color="auto" w:fill="auto"/>
            <w:vAlign w:val="center"/>
          </w:tcPr>
          <w:p w14:paraId="2942CEA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Group × time</w:t>
            </w:r>
          </w:p>
        </w:tc>
        <w:tc>
          <w:tcPr>
            <w:tcW w:w="861" w:type="pct"/>
            <w:tcBorders>
              <w:top w:val="nil"/>
              <w:left w:val="nil"/>
              <w:bottom w:val="nil"/>
              <w:right w:val="nil"/>
            </w:tcBorders>
            <w:shd w:val="clear" w:color="auto" w:fill="auto"/>
            <w:vAlign w:val="center"/>
          </w:tcPr>
          <w:p w14:paraId="67598E5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(6.276, 0.043, 0.130)</w:t>
            </w:r>
          </w:p>
        </w:tc>
        <w:tc>
          <w:tcPr>
            <w:tcW w:w="680" w:type="pct"/>
            <w:tcBorders>
              <w:top w:val="nil"/>
              <w:left w:val="nil"/>
              <w:bottom w:val="nil"/>
              <w:right w:val="nil"/>
            </w:tcBorders>
            <w:shd w:val="clear" w:color="auto" w:fill="auto"/>
            <w:vAlign w:val="center"/>
          </w:tcPr>
          <w:p w14:paraId="33B3762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(0.242, 0.886, 1.000)</w:t>
            </w:r>
          </w:p>
        </w:tc>
        <w:tc>
          <w:tcPr>
            <w:tcW w:w="819" w:type="pct"/>
            <w:tcBorders>
              <w:top w:val="nil"/>
              <w:left w:val="nil"/>
              <w:bottom w:val="nil"/>
              <w:right w:val="nil"/>
            </w:tcBorders>
            <w:shd w:val="clear" w:color="auto" w:fill="auto"/>
            <w:vAlign w:val="center"/>
          </w:tcPr>
          <w:p w14:paraId="1837107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(0.278, 0.870, 1.000)</w:t>
            </w:r>
          </w:p>
        </w:tc>
      </w:tr>
      <w:tr w14:paraId="10F2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22386443">
            <w:pPr>
              <w:keepNext w:val="0"/>
              <w:keepLines w:val="0"/>
              <w:widowControl/>
              <w:suppressLineNumbers w:val="0"/>
              <w:ind w:left="0" w:leftChars="0" w:right="0" w:rightChars="0" w:firstLine="0" w:firstLineChars="0"/>
              <w:jc w:val="left"/>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Exploratory LPS simple comparisons</w:t>
            </w:r>
          </w:p>
        </w:tc>
        <w:tc>
          <w:tcPr>
            <w:tcW w:w="486" w:type="pct"/>
            <w:tcBorders>
              <w:top w:val="nil"/>
              <w:left w:val="nil"/>
              <w:bottom w:val="nil"/>
              <w:right w:val="nil"/>
            </w:tcBorders>
            <w:shd w:val="clear" w:color="auto" w:fill="auto"/>
            <w:vAlign w:val="center"/>
          </w:tcPr>
          <w:p w14:paraId="43EA330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0A2504E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 vs 1 week</w:t>
            </w:r>
          </w:p>
        </w:tc>
        <w:tc>
          <w:tcPr>
            <w:tcW w:w="861" w:type="pct"/>
            <w:tcBorders>
              <w:top w:val="nil"/>
              <w:left w:val="nil"/>
              <w:bottom w:val="nil"/>
              <w:right w:val="nil"/>
            </w:tcBorders>
            <w:shd w:val="clear" w:color="auto" w:fill="auto"/>
            <w:vAlign w:val="center"/>
          </w:tcPr>
          <w:p w14:paraId="612FF112">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1.796; 95% CI (-0.495, 4.088);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0.182</w:t>
            </w:r>
          </w:p>
        </w:tc>
        <w:tc>
          <w:tcPr>
            <w:tcW w:w="680" w:type="pct"/>
            <w:tcBorders>
              <w:top w:val="nil"/>
              <w:left w:val="nil"/>
              <w:bottom w:val="nil"/>
              <w:right w:val="nil"/>
            </w:tcBorders>
            <w:shd w:val="clear" w:color="auto" w:fill="auto"/>
            <w:vAlign w:val="center"/>
          </w:tcPr>
          <w:p w14:paraId="55140646">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1EFF1AF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56DEE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286CEA89">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5E3D9A5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6A8F13B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 vs 12 weeks</w:t>
            </w:r>
          </w:p>
        </w:tc>
        <w:tc>
          <w:tcPr>
            <w:tcW w:w="861" w:type="pct"/>
            <w:tcBorders>
              <w:top w:val="nil"/>
              <w:left w:val="nil"/>
              <w:bottom w:val="nil"/>
              <w:right w:val="nil"/>
            </w:tcBorders>
            <w:shd w:val="clear" w:color="auto" w:fill="auto"/>
            <w:vAlign w:val="center"/>
          </w:tcPr>
          <w:p w14:paraId="6BE9306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 xml:space="preserve">MD = 5.022; 95% CI (2.135, 7.909); adjusted </w:t>
            </w:r>
            <w:r>
              <w:rPr>
                <w:rFonts w:hint="default" w:ascii="Times New Roman" w:hAnsi="Times New Roman" w:eastAsia="Carlito" w:cs="Times New Roman"/>
                <w:b/>
                <w:bCs/>
                <w:i/>
                <w:iCs/>
                <w:color w:val="auto"/>
                <w:kern w:val="0"/>
                <w:sz w:val="18"/>
                <w:szCs w:val="18"/>
                <w:u w:val="none"/>
                <w:lang w:val="en-US" w:eastAsia="zh-CN" w:bidi="ar"/>
              </w:rPr>
              <w:t>P</w:t>
            </w:r>
            <w:r>
              <w:rPr>
                <w:rFonts w:hint="default" w:ascii="Times New Roman" w:hAnsi="Times New Roman" w:eastAsia="Carlito" w:cs="Times New Roman"/>
                <w:b/>
                <w:bCs/>
                <w:i w:val="0"/>
                <w:iCs w:val="0"/>
                <w:color w:val="auto"/>
                <w:kern w:val="0"/>
                <w:sz w:val="18"/>
                <w:szCs w:val="18"/>
                <w:u w:val="none"/>
                <w:lang w:val="en-US" w:eastAsia="zh-CN" w:bidi="ar"/>
              </w:rPr>
              <w:t xml:space="preserve"> &lt; 0.001</w:t>
            </w:r>
          </w:p>
        </w:tc>
        <w:tc>
          <w:tcPr>
            <w:tcW w:w="680" w:type="pct"/>
            <w:tcBorders>
              <w:top w:val="nil"/>
              <w:left w:val="nil"/>
              <w:bottom w:val="nil"/>
              <w:right w:val="nil"/>
            </w:tcBorders>
            <w:shd w:val="clear" w:color="auto" w:fill="auto"/>
            <w:vAlign w:val="center"/>
          </w:tcPr>
          <w:p w14:paraId="710E521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6271C90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1BB0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1D19C245">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27266C8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w:t>
            </w:r>
          </w:p>
        </w:tc>
        <w:tc>
          <w:tcPr>
            <w:tcW w:w="1130" w:type="pct"/>
            <w:tcBorders>
              <w:top w:val="nil"/>
              <w:left w:val="nil"/>
              <w:bottom w:val="nil"/>
              <w:right w:val="nil"/>
            </w:tcBorders>
            <w:shd w:val="clear" w:color="auto" w:fill="auto"/>
            <w:vAlign w:val="center"/>
          </w:tcPr>
          <w:p w14:paraId="135B0BF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 week vs 12 weeks</w:t>
            </w:r>
          </w:p>
        </w:tc>
        <w:tc>
          <w:tcPr>
            <w:tcW w:w="861" w:type="pct"/>
            <w:tcBorders>
              <w:top w:val="nil"/>
              <w:left w:val="nil"/>
              <w:bottom w:val="nil"/>
              <w:right w:val="nil"/>
            </w:tcBorders>
            <w:shd w:val="clear" w:color="auto" w:fill="auto"/>
            <w:vAlign w:val="center"/>
          </w:tcPr>
          <w:p w14:paraId="7F5D6C6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 xml:space="preserve">MD = 3.225; 95% CI (0.944, 5.507); adjusted </w:t>
            </w:r>
            <w:r>
              <w:rPr>
                <w:rFonts w:hint="default" w:ascii="Times New Roman" w:hAnsi="Times New Roman" w:eastAsia="Carlito" w:cs="Times New Roman"/>
                <w:b/>
                <w:bCs/>
                <w:i/>
                <w:iCs/>
                <w:color w:val="auto"/>
                <w:kern w:val="0"/>
                <w:sz w:val="18"/>
                <w:szCs w:val="18"/>
                <w:u w:val="none"/>
                <w:lang w:val="en-US" w:eastAsia="zh-CN" w:bidi="ar"/>
              </w:rPr>
              <w:t>P</w:t>
            </w:r>
            <w:r>
              <w:rPr>
                <w:rFonts w:hint="default" w:ascii="Times New Roman" w:hAnsi="Times New Roman" w:eastAsia="Carlito" w:cs="Times New Roman"/>
                <w:b/>
                <w:bCs/>
                <w:i w:val="0"/>
                <w:iCs w:val="0"/>
                <w:color w:val="auto"/>
                <w:kern w:val="0"/>
                <w:sz w:val="18"/>
                <w:szCs w:val="18"/>
                <w:u w:val="none"/>
                <w:lang w:val="en-US" w:eastAsia="zh-CN" w:bidi="ar"/>
              </w:rPr>
              <w:t xml:space="preserve"> = 0.002</w:t>
            </w:r>
          </w:p>
        </w:tc>
        <w:tc>
          <w:tcPr>
            <w:tcW w:w="680" w:type="pct"/>
            <w:tcBorders>
              <w:top w:val="nil"/>
              <w:left w:val="nil"/>
              <w:bottom w:val="nil"/>
              <w:right w:val="nil"/>
            </w:tcBorders>
            <w:shd w:val="clear" w:color="auto" w:fill="auto"/>
            <w:vAlign w:val="center"/>
          </w:tcPr>
          <w:p w14:paraId="0466BCA0">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0DA5051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6E6D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472FDBD8">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1660976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3246260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 vs 1 week</w:t>
            </w:r>
          </w:p>
        </w:tc>
        <w:tc>
          <w:tcPr>
            <w:tcW w:w="861" w:type="pct"/>
            <w:tcBorders>
              <w:top w:val="nil"/>
              <w:left w:val="nil"/>
              <w:bottom w:val="nil"/>
              <w:right w:val="nil"/>
            </w:tcBorders>
            <w:shd w:val="clear" w:color="auto" w:fill="auto"/>
            <w:vAlign w:val="center"/>
          </w:tcPr>
          <w:p w14:paraId="5EFD0295">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0.969; 95% CI (-2.170, 4.108);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1.000</w:t>
            </w:r>
          </w:p>
        </w:tc>
        <w:tc>
          <w:tcPr>
            <w:tcW w:w="680" w:type="pct"/>
            <w:tcBorders>
              <w:top w:val="nil"/>
              <w:left w:val="nil"/>
              <w:bottom w:val="nil"/>
              <w:right w:val="nil"/>
            </w:tcBorders>
            <w:shd w:val="clear" w:color="auto" w:fill="auto"/>
            <w:vAlign w:val="center"/>
          </w:tcPr>
          <w:p w14:paraId="30BD7EF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658929D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38A6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2DED1456">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28070F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0AC82C1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 vs 12 weeks</w:t>
            </w:r>
          </w:p>
        </w:tc>
        <w:tc>
          <w:tcPr>
            <w:tcW w:w="861" w:type="pct"/>
            <w:tcBorders>
              <w:top w:val="nil"/>
              <w:left w:val="nil"/>
              <w:bottom w:val="nil"/>
              <w:right w:val="nil"/>
            </w:tcBorders>
            <w:shd w:val="clear" w:color="auto" w:fill="auto"/>
            <w:vAlign w:val="center"/>
          </w:tcPr>
          <w:p w14:paraId="0A74D11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0.954; 95% CI (-2.261, 4.169);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1.000</w:t>
            </w:r>
          </w:p>
        </w:tc>
        <w:tc>
          <w:tcPr>
            <w:tcW w:w="680" w:type="pct"/>
            <w:tcBorders>
              <w:top w:val="nil"/>
              <w:left w:val="nil"/>
              <w:bottom w:val="nil"/>
              <w:right w:val="nil"/>
            </w:tcBorders>
            <w:shd w:val="clear" w:color="auto" w:fill="auto"/>
            <w:vAlign w:val="center"/>
          </w:tcPr>
          <w:p w14:paraId="6CAF145F">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6826F64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7214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711E4859">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342C03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CG</w:t>
            </w:r>
          </w:p>
        </w:tc>
        <w:tc>
          <w:tcPr>
            <w:tcW w:w="1130" w:type="pct"/>
            <w:tcBorders>
              <w:top w:val="nil"/>
              <w:left w:val="nil"/>
              <w:bottom w:val="nil"/>
              <w:right w:val="nil"/>
            </w:tcBorders>
            <w:shd w:val="clear" w:color="auto" w:fill="auto"/>
            <w:vAlign w:val="center"/>
          </w:tcPr>
          <w:p w14:paraId="699AB64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 week vs 12 weeks</w:t>
            </w:r>
          </w:p>
        </w:tc>
        <w:tc>
          <w:tcPr>
            <w:tcW w:w="861" w:type="pct"/>
            <w:tcBorders>
              <w:top w:val="nil"/>
              <w:left w:val="nil"/>
              <w:bottom w:val="nil"/>
              <w:right w:val="nil"/>
            </w:tcBorders>
            <w:shd w:val="clear" w:color="auto" w:fill="auto"/>
            <w:vAlign w:val="center"/>
          </w:tcPr>
          <w:p w14:paraId="685C6A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-0.015; 95% CI (-2.855, 2.824);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1.000</w:t>
            </w:r>
          </w:p>
        </w:tc>
        <w:tc>
          <w:tcPr>
            <w:tcW w:w="680" w:type="pct"/>
            <w:tcBorders>
              <w:top w:val="nil"/>
              <w:left w:val="nil"/>
              <w:bottom w:val="nil"/>
              <w:right w:val="nil"/>
            </w:tcBorders>
            <w:shd w:val="clear" w:color="auto" w:fill="auto"/>
            <w:vAlign w:val="center"/>
          </w:tcPr>
          <w:p w14:paraId="50FFB3A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6C38BE0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7D72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1E56D683">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4BB3310A">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 vs CG</w:t>
            </w:r>
          </w:p>
        </w:tc>
        <w:tc>
          <w:tcPr>
            <w:tcW w:w="1130" w:type="pct"/>
            <w:tcBorders>
              <w:top w:val="nil"/>
              <w:left w:val="nil"/>
              <w:bottom w:val="nil"/>
              <w:right w:val="nil"/>
            </w:tcBorders>
            <w:shd w:val="clear" w:color="auto" w:fill="auto"/>
            <w:vAlign w:val="center"/>
          </w:tcPr>
          <w:p w14:paraId="57B2C94B">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Pre-treatment</w:t>
            </w:r>
          </w:p>
        </w:tc>
        <w:tc>
          <w:tcPr>
            <w:tcW w:w="861" w:type="pct"/>
            <w:tcBorders>
              <w:top w:val="nil"/>
              <w:left w:val="nil"/>
              <w:bottom w:val="nil"/>
              <w:right w:val="nil"/>
            </w:tcBorders>
            <w:shd w:val="clear" w:color="auto" w:fill="auto"/>
            <w:vAlign w:val="center"/>
          </w:tcPr>
          <w:p w14:paraId="7D76669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1.725; 95% CI (-2.233, 5.684);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0.393</w:t>
            </w:r>
          </w:p>
        </w:tc>
        <w:tc>
          <w:tcPr>
            <w:tcW w:w="680" w:type="pct"/>
            <w:tcBorders>
              <w:top w:val="nil"/>
              <w:left w:val="nil"/>
              <w:bottom w:val="nil"/>
              <w:right w:val="nil"/>
            </w:tcBorders>
            <w:shd w:val="clear" w:color="auto" w:fill="auto"/>
            <w:vAlign w:val="center"/>
          </w:tcPr>
          <w:p w14:paraId="48E7ECD4">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0975EE57">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22C9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21" w:type="pct"/>
            <w:tcBorders>
              <w:top w:val="nil"/>
              <w:left w:val="nil"/>
              <w:bottom w:val="nil"/>
              <w:right w:val="nil"/>
            </w:tcBorders>
            <w:shd w:val="clear" w:color="auto" w:fill="auto"/>
            <w:vAlign w:val="center"/>
          </w:tcPr>
          <w:p w14:paraId="74FF0160">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nil"/>
              <w:right w:val="nil"/>
            </w:tcBorders>
            <w:shd w:val="clear" w:color="auto" w:fill="auto"/>
            <w:vAlign w:val="center"/>
          </w:tcPr>
          <w:p w14:paraId="79133919">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 vs CG</w:t>
            </w:r>
          </w:p>
        </w:tc>
        <w:tc>
          <w:tcPr>
            <w:tcW w:w="1130" w:type="pct"/>
            <w:tcBorders>
              <w:top w:val="nil"/>
              <w:left w:val="nil"/>
              <w:bottom w:val="nil"/>
              <w:right w:val="nil"/>
            </w:tcBorders>
            <w:shd w:val="clear" w:color="auto" w:fill="auto"/>
            <w:vAlign w:val="center"/>
          </w:tcPr>
          <w:p w14:paraId="6804FCC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 week</w:t>
            </w:r>
          </w:p>
        </w:tc>
        <w:tc>
          <w:tcPr>
            <w:tcW w:w="861" w:type="pct"/>
            <w:tcBorders>
              <w:top w:val="nil"/>
              <w:left w:val="nil"/>
              <w:bottom w:val="nil"/>
              <w:right w:val="nil"/>
            </w:tcBorders>
            <w:shd w:val="clear" w:color="auto" w:fill="auto"/>
            <w:vAlign w:val="center"/>
          </w:tcPr>
          <w:p w14:paraId="6DCFA821">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0.898; 95% CI (-2.604, 4.400);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0.615</w:t>
            </w:r>
          </w:p>
        </w:tc>
        <w:tc>
          <w:tcPr>
            <w:tcW w:w="680" w:type="pct"/>
            <w:tcBorders>
              <w:top w:val="nil"/>
              <w:left w:val="nil"/>
              <w:bottom w:val="nil"/>
              <w:right w:val="nil"/>
            </w:tcBorders>
            <w:shd w:val="clear" w:color="auto" w:fill="auto"/>
            <w:vAlign w:val="center"/>
          </w:tcPr>
          <w:p w14:paraId="739A877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nil"/>
              <w:right w:val="nil"/>
            </w:tcBorders>
            <w:shd w:val="clear" w:color="auto" w:fill="auto"/>
            <w:vAlign w:val="center"/>
          </w:tcPr>
          <w:p w14:paraId="732B27CC">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r w14:paraId="34058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21" w:type="pct"/>
            <w:tcBorders>
              <w:top w:val="nil"/>
              <w:left w:val="nil"/>
              <w:bottom w:val="single" w:color="000000" w:sz="8" w:space="0"/>
              <w:right w:val="nil"/>
            </w:tcBorders>
            <w:shd w:val="clear" w:color="auto" w:fill="auto"/>
            <w:vAlign w:val="center"/>
          </w:tcPr>
          <w:p w14:paraId="22B9A8CE">
            <w:pPr>
              <w:ind w:left="0" w:leftChars="0" w:right="0" w:rightChars="0" w:firstLine="0" w:firstLineChars="0"/>
              <w:jc w:val="left"/>
              <w:rPr>
                <w:rFonts w:hint="default" w:ascii="Times New Roman" w:hAnsi="Times New Roman" w:eastAsia="Carlito" w:cs="Times New Roman"/>
                <w:i w:val="0"/>
                <w:iCs w:val="0"/>
                <w:color w:val="auto"/>
                <w:sz w:val="18"/>
                <w:szCs w:val="18"/>
                <w:u w:val="none"/>
              </w:rPr>
            </w:pPr>
          </w:p>
        </w:tc>
        <w:tc>
          <w:tcPr>
            <w:tcW w:w="486" w:type="pct"/>
            <w:tcBorders>
              <w:top w:val="nil"/>
              <w:left w:val="nil"/>
              <w:bottom w:val="single" w:color="000000" w:sz="8" w:space="0"/>
              <w:right w:val="nil"/>
            </w:tcBorders>
            <w:shd w:val="clear" w:color="auto" w:fill="auto"/>
            <w:vAlign w:val="center"/>
          </w:tcPr>
          <w:p w14:paraId="5A7BCCEE">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TG vs CG</w:t>
            </w:r>
          </w:p>
        </w:tc>
        <w:tc>
          <w:tcPr>
            <w:tcW w:w="1130" w:type="pct"/>
            <w:tcBorders>
              <w:top w:val="nil"/>
              <w:left w:val="nil"/>
              <w:bottom w:val="single" w:color="000000" w:sz="8" w:space="0"/>
              <w:right w:val="nil"/>
            </w:tcBorders>
            <w:shd w:val="clear" w:color="auto" w:fill="auto"/>
            <w:vAlign w:val="center"/>
          </w:tcPr>
          <w:p w14:paraId="2C4C4CE3">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12 weeks</w:t>
            </w:r>
          </w:p>
        </w:tc>
        <w:tc>
          <w:tcPr>
            <w:tcW w:w="861" w:type="pct"/>
            <w:tcBorders>
              <w:top w:val="nil"/>
              <w:left w:val="nil"/>
              <w:bottom w:val="single" w:color="000000" w:sz="8" w:space="0"/>
              <w:right w:val="nil"/>
            </w:tcBorders>
            <w:shd w:val="clear" w:color="auto" w:fill="auto"/>
            <w:vAlign w:val="center"/>
          </w:tcPr>
          <w:p w14:paraId="1F748198">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 xml:space="preserve">MD = -2.343; 95% CI (-5.367, 0.682); adjusted </w:t>
            </w:r>
            <w:r>
              <w:rPr>
                <w:rFonts w:hint="default" w:ascii="Times New Roman" w:hAnsi="Times New Roman" w:eastAsia="Carlito" w:cs="Times New Roman"/>
                <w:i/>
                <w:iCs/>
                <w:color w:val="auto"/>
                <w:kern w:val="0"/>
                <w:sz w:val="18"/>
                <w:szCs w:val="18"/>
                <w:u w:val="none"/>
                <w:lang w:val="en-US" w:eastAsia="zh-CN" w:bidi="ar"/>
              </w:rPr>
              <w:t>P</w:t>
            </w:r>
            <w:r>
              <w:rPr>
                <w:rFonts w:hint="default" w:ascii="Times New Roman" w:hAnsi="Times New Roman" w:eastAsia="Carlito" w:cs="Times New Roman"/>
                <w:i w:val="0"/>
                <w:iCs w:val="0"/>
                <w:color w:val="auto"/>
                <w:kern w:val="0"/>
                <w:sz w:val="18"/>
                <w:szCs w:val="18"/>
                <w:u w:val="none"/>
                <w:lang w:val="en-US" w:eastAsia="zh-CN" w:bidi="ar"/>
              </w:rPr>
              <w:t xml:space="preserve"> = 0.129</w:t>
            </w:r>
          </w:p>
        </w:tc>
        <w:tc>
          <w:tcPr>
            <w:tcW w:w="680" w:type="pct"/>
            <w:tcBorders>
              <w:top w:val="nil"/>
              <w:left w:val="nil"/>
              <w:bottom w:val="single" w:color="000000" w:sz="8" w:space="0"/>
              <w:right w:val="nil"/>
            </w:tcBorders>
            <w:shd w:val="clear" w:color="auto" w:fill="auto"/>
            <w:vAlign w:val="center"/>
          </w:tcPr>
          <w:p w14:paraId="77C1C99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c>
          <w:tcPr>
            <w:tcW w:w="819" w:type="pct"/>
            <w:tcBorders>
              <w:top w:val="nil"/>
              <w:left w:val="nil"/>
              <w:bottom w:val="single" w:color="000000" w:sz="8" w:space="0"/>
              <w:right w:val="nil"/>
            </w:tcBorders>
            <w:shd w:val="clear" w:color="auto" w:fill="auto"/>
            <w:vAlign w:val="center"/>
          </w:tcPr>
          <w:p w14:paraId="4DA3B83D">
            <w:pPr>
              <w:keepNext w:val="0"/>
              <w:keepLines w:val="0"/>
              <w:widowControl/>
              <w:suppressLineNumbers w:val="0"/>
              <w:ind w:left="0" w:leftChars="0" w:right="0" w:rightChars="0" w:firstLine="0" w:firstLineChars="0"/>
              <w:jc w:val="center"/>
              <w:textAlignment w:val="center"/>
              <w:rPr>
                <w:rFonts w:hint="default" w:ascii="Times New Roman" w:hAnsi="Times New Roman" w:eastAsia="Carlito" w:cs="Times New Roman"/>
                <w:i w:val="0"/>
                <w:iCs w:val="0"/>
                <w:color w:val="auto"/>
                <w:sz w:val="18"/>
                <w:szCs w:val="18"/>
                <w:u w:val="none"/>
              </w:rPr>
            </w:pPr>
            <w:r>
              <w:rPr>
                <w:rFonts w:hint="default" w:ascii="Times New Roman" w:hAnsi="Times New Roman" w:eastAsia="Carlito" w:cs="Times New Roman"/>
                <w:i w:val="0"/>
                <w:iCs w:val="0"/>
                <w:color w:val="auto"/>
                <w:kern w:val="0"/>
                <w:sz w:val="18"/>
                <w:szCs w:val="18"/>
                <w:u w:val="none"/>
                <w:lang w:val="en-US" w:eastAsia="zh-CN" w:bidi="ar"/>
              </w:rPr>
              <w:t>—</w:t>
            </w:r>
          </w:p>
        </w:tc>
      </w:tr>
    </w:tbl>
    <w:p w14:paraId="76F8C2D4">
      <w:pPr>
        <w:spacing w:after="120" w:line="360" w:lineRule="auto"/>
        <w:jc w:val="both"/>
        <w:rPr>
          <w:rFonts w:hint="default" w:ascii="Times New Roman" w:hAnsi="Times New Roman" w:eastAsia="宋体" w:cs="Times New Roman"/>
          <w:b w:val="0"/>
          <w:bCs/>
          <w:i w:val="0"/>
          <w:strike w:val="0"/>
          <w:color w:val="auto"/>
          <w:sz w:val="24"/>
          <w:szCs w:val="24"/>
          <w:u w:val="none"/>
          <w:lang w:val="en-US" w:eastAsia="zh-CN"/>
        </w:rPr>
      </w:pPr>
      <w:r>
        <w:rPr>
          <w:rFonts w:hint="default" w:ascii="Times New Roman" w:hAnsi="Times New Roman" w:eastAsia="宋体" w:cs="Times New Roman"/>
          <w:b w:val="0"/>
          <w:i w:val="0"/>
          <w:strike w:val="0"/>
          <w:color w:val="auto"/>
          <w:sz w:val="21"/>
          <w:szCs w:val="21"/>
          <w:u w:val="none"/>
        </w:rPr>
        <w:t>Data are presented as median (interquartile range). Longitudinal changes in the TG and CG were analyzed using generalized estimating equations. The HG was included as a cross-sectional reference group but was not included in the longitudinal GEE model because only one measurement was available.</w:t>
      </w:r>
      <w:r>
        <w:rPr>
          <w:rFonts w:hint="eastAsia" w:ascii="Times New Roman" w:hAnsi="Times New Roman" w:cs="Times New Roman"/>
          <w:b w:val="0"/>
          <w:i w:val="0"/>
          <w:strike w:val="0"/>
          <w:color w:val="auto"/>
          <w:sz w:val="21"/>
          <w:szCs w:val="21"/>
          <w:u w:val="none"/>
          <w:lang w:val="en-US" w:eastAsia="zh-CN"/>
        </w:rPr>
        <w:t xml:space="preserve"> For each omnibus effect, raw P values were Bonferroni-adjusted across LPS, DAO, and DLAC.</w:t>
      </w:r>
      <w:r>
        <w:rPr>
          <w:rFonts w:hint="default" w:ascii="Times New Roman" w:hAnsi="Times New Roman" w:eastAsia="宋体" w:cs="Times New Roman"/>
          <w:b w:val="0"/>
          <w:i w:val="0"/>
          <w:strike w:val="0"/>
          <w:color w:val="auto"/>
          <w:sz w:val="21"/>
          <w:szCs w:val="21"/>
          <w:u w:val="none"/>
        </w:rPr>
        <w:t xml:space="preserve"> TG, TIPS treatment group; CG, control treatment group; HG, healthy control group; LPS, lipopolysaccharide; DAO, diamine oxidase; DLAC, D-lactate.</w:t>
      </w:r>
    </w:p>
    <w:p w14:paraId="19E09FD1">
      <w:pPr>
        <w:rPr>
          <w:rFonts w:hint="default" w:ascii="Times New Roman" w:hAnsi="Times New Roman" w:cs="Times New Roman"/>
          <w:b/>
          <w:bCs/>
          <w:color w:val="auto"/>
          <w:sz w:val="24"/>
          <w:szCs w:val="24"/>
          <w:lang w:val="en-US" w:eastAsia="zh-CN"/>
        </w:rPr>
      </w:pPr>
    </w:p>
    <w:p w14:paraId="4F75B89F">
      <w:pPr>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i w:val="0"/>
          <w:strike w:val="0"/>
          <w:color w:val="auto"/>
          <w:kern w:val="0"/>
          <w:sz w:val="24"/>
          <w:szCs w:val="24"/>
          <w:u w:val="none"/>
          <w:lang w:val="en-US" w:eastAsia="zh-CN" w:bidi="ar-SA"/>
        </w:rPr>
        <w:t>Supplementary</w:t>
      </w:r>
      <w:r>
        <w:rPr>
          <w:rFonts w:hint="eastAsia" w:ascii="Times New Roman" w:hAnsi="Times New Roman" w:cs="Times New Roman"/>
          <w:b/>
          <w:bCs/>
          <w:i w:val="0"/>
          <w:strike w:val="0"/>
          <w:color w:val="auto"/>
          <w:kern w:val="0"/>
          <w:sz w:val="24"/>
          <w:szCs w:val="24"/>
          <w:u w:val="none"/>
          <w:lang w:val="en-US" w:eastAsia="zh-CN" w:bidi="ar-SA"/>
        </w:rPr>
        <w:t xml:space="preserve"> </w:t>
      </w:r>
      <w:r>
        <w:rPr>
          <w:rFonts w:hint="default" w:ascii="Times New Roman" w:hAnsi="Times New Roman" w:cs="Times New Roman"/>
          <w:b/>
          <w:bCs/>
          <w:color w:val="auto"/>
          <w:sz w:val="24"/>
          <w:szCs w:val="24"/>
          <w:lang w:val="en-US" w:eastAsia="zh-CN"/>
        </w:rPr>
        <w:t>Table</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S</w:t>
      </w:r>
      <w:r>
        <w:rPr>
          <w:rFonts w:hint="eastAsia" w:ascii="Times New Roman" w:hAnsi="Times New Roman" w:cs="Times New Roman"/>
          <w:b/>
          <w:bCs/>
          <w:color w:val="auto"/>
          <w:sz w:val="24"/>
          <w:szCs w:val="24"/>
          <w:lang w:val="en-US" w:eastAsia="zh-CN"/>
        </w:rPr>
        <w:t>5</w:t>
      </w:r>
      <w:r>
        <w:rPr>
          <w:rFonts w:hint="default" w:ascii="Times New Roman" w:hAnsi="Times New Roman" w:cs="Times New Roman"/>
          <w:b/>
          <w:bCs/>
          <w:color w:val="auto"/>
          <w:sz w:val="24"/>
          <w:szCs w:val="24"/>
          <w:lang w:val="en-US" w:eastAsia="zh-CN"/>
        </w:rPr>
        <w:t>: Comparisons of Hepatorenal Function Between TG and CG</w:t>
      </w:r>
    </w:p>
    <w:tbl>
      <w:tblPr>
        <w:tblStyle w:val="3"/>
        <w:tblW w:w="10800" w:type="dxa"/>
        <w:tblInd w:w="-13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65"/>
        <w:gridCol w:w="2889"/>
        <w:gridCol w:w="2569"/>
        <w:gridCol w:w="2477"/>
      </w:tblGrid>
      <w:tr w14:paraId="1EA4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tcBorders>
              <w:top w:val="single" w:color="auto" w:sz="12" w:space="0"/>
              <w:bottom w:val="single" w:color="auto" w:sz="6" w:space="0"/>
            </w:tcBorders>
            <w:noWrap w:val="0"/>
            <w:vAlign w:val="top"/>
          </w:tcPr>
          <w:p w14:paraId="32E65C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color w:val="auto"/>
                <w:sz w:val="21"/>
                <w:szCs w:val="21"/>
              </w:rPr>
              <w:t>Variable</w:t>
            </w:r>
          </w:p>
        </w:tc>
        <w:tc>
          <w:tcPr>
            <w:tcW w:w="2889" w:type="dxa"/>
            <w:tcBorders>
              <w:top w:val="single" w:color="auto" w:sz="12" w:space="0"/>
              <w:bottom w:val="single" w:color="auto" w:sz="6" w:space="0"/>
            </w:tcBorders>
            <w:noWrap w:val="0"/>
            <w:vAlign w:val="top"/>
          </w:tcPr>
          <w:p w14:paraId="41D628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等线" w:cs="Times New Roman"/>
                <w:i w:val="0"/>
                <w:iCs w:val="0"/>
                <w:color w:val="auto"/>
                <w:kern w:val="0"/>
                <w:sz w:val="21"/>
                <w:szCs w:val="21"/>
                <w:u w:val="none"/>
                <w:lang w:val="en-US" w:eastAsia="zh-CN" w:bidi="ar"/>
              </w:rPr>
              <w:t>Pre-Treatment</w:t>
            </w:r>
          </w:p>
        </w:tc>
        <w:tc>
          <w:tcPr>
            <w:tcW w:w="2569" w:type="dxa"/>
            <w:tcBorders>
              <w:top w:val="single" w:color="auto" w:sz="12" w:space="0"/>
              <w:bottom w:val="single" w:color="auto" w:sz="6" w:space="0"/>
            </w:tcBorders>
            <w:noWrap w:val="0"/>
            <w:vAlign w:val="top"/>
          </w:tcPr>
          <w:p w14:paraId="4DDC1D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等线" w:cs="Times New Roman"/>
                <w:i w:val="0"/>
                <w:iCs w:val="0"/>
                <w:color w:val="auto"/>
                <w:kern w:val="0"/>
                <w:sz w:val="21"/>
                <w:szCs w:val="21"/>
                <w:u w:val="none"/>
                <w:lang w:val="en-US" w:eastAsia="zh-CN" w:bidi="ar"/>
              </w:rPr>
              <w:t>1 Week Post-Treatment</w:t>
            </w:r>
          </w:p>
        </w:tc>
        <w:tc>
          <w:tcPr>
            <w:tcW w:w="2477" w:type="dxa"/>
            <w:tcBorders>
              <w:top w:val="single" w:color="auto" w:sz="12" w:space="0"/>
              <w:bottom w:val="single" w:color="auto" w:sz="6" w:space="0"/>
            </w:tcBorders>
            <w:noWrap w:val="0"/>
            <w:vAlign w:val="top"/>
          </w:tcPr>
          <w:p w14:paraId="599BA8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等线" w:cs="Times New Roman"/>
                <w:i w:val="0"/>
                <w:iCs w:val="0"/>
                <w:color w:val="auto"/>
                <w:kern w:val="0"/>
                <w:sz w:val="21"/>
                <w:szCs w:val="21"/>
                <w:u w:val="none"/>
                <w:lang w:val="en-US" w:eastAsia="zh-CN" w:bidi="ar"/>
              </w:rPr>
              <w:t>12 Week</w:t>
            </w:r>
            <w:r>
              <w:rPr>
                <w:rFonts w:hint="eastAsia" w:ascii="Times New Roman" w:hAnsi="Times New Roman" w:eastAsia="等线" w:cs="Times New Roman"/>
                <w:i w:val="0"/>
                <w:iCs w:val="0"/>
                <w:color w:val="auto"/>
                <w:kern w:val="0"/>
                <w:sz w:val="21"/>
                <w:szCs w:val="21"/>
                <w:u w:val="none"/>
                <w:lang w:val="en-US" w:eastAsia="zh-CN" w:bidi="ar"/>
              </w:rPr>
              <w:t>s</w:t>
            </w:r>
            <w:r>
              <w:rPr>
                <w:rFonts w:hint="default" w:ascii="Times New Roman" w:hAnsi="Times New Roman" w:eastAsia="等线" w:cs="Times New Roman"/>
                <w:i w:val="0"/>
                <w:iCs w:val="0"/>
                <w:color w:val="auto"/>
                <w:kern w:val="0"/>
                <w:sz w:val="21"/>
                <w:szCs w:val="21"/>
                <w:u w:val="none"/>
                <w:lang w:val="en-US" w:eastAsia="zh-CN" w:bidi="ar"/>
              </w:rPr>
              <w:t xml:space="preserve"> Post-Treatment</w:t>
            </w:r>
          </w:p>
        </w:tc>
      </w:tr>
      <w:tr w14:paraId="1CDE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tcBorders>
              <w:top w:val="single" w:color="auto" w:sz="6" w:space="0"/>
            </w:tcBorders>
            <w:noWrap w:val="0"/>
            <w:vAlign w:val="center"/>
          </w:tcPr>
          <w:p w14:paraId="450B7334">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ALT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tcBorders>
              <w:top w:val="single" w:color="auto" w:sz="6" w:space="0"/>
            </w:tcBorders>
            <w:noWrap w:val="0"/>
            <w:vAlign w:val="center"/>
          </w:tcPr>
          <w:p w14:paraId="26CBEDA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(-0.744, 0.461, 0.602)</w:t>
            </w:r>
          </w:p>
        </w:tc>
        <w:tc>
          <w:tcPr>
            <w:tcW w:w="2569" w:type="dxa"/>
            <w:tcBorders>
              <w:top w:val="single" w:color="auto" w:sz="6" w:space="0"/>
            </w:tcBorders>
            <w:noWrap w:val="0"/>
            <w:vAlign w:val="center"/>
          </w:tcPr>
          <w:p w14:paraId="5213DE73">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(-1.447, 0.149, 0.522)</w:t>
            </w:r>
          </w:p>
        </w:tc>
        <w:tc>
          <w:tcPr>
            <w:tcW w:w="2477" w:type="dxa"/>
            <w:tcBorders>
              <w:top w:val="single" w:color="auto" w:sz="6" w:space="0"/>
            </w:tcBorders>
            <w:noWrap w:val="0"/>
            <w:vAlign w:val="center"/>
          </w:tcPr>
          <w:p w14:paraId="3F73F241">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(-1.515, 0.134, 0.156)</w:t>
            </w:r>
          </w:p>
        </w:tc>
      </w:tr>
      <w:tr w14:paraId="406C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noWrap w:val="0"/>
            <w:vAlign w:val="center"/>
          </w:tcPr>
          <w:p w14:paraId="61DFD84A">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TBIL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noWrap w:val="0"/>
            <w:vAlign w:val="center"/>
          </w:tcPr>
          <w:p w14:paraId="4DCB18EF">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(-1.177, 0.242, 0.602)</w:t>
            </w:r>
          </w:p>
        </w:tc>
        <w:tc>
          <w:tcPr>
            <w:tcW w:w="2569" w:type="dxa"/>
            <w:noWrap w:val="0"/>
            <w:vAlign w:val="center"/>
          </w:tcPr>
          <w:p w14:paraId="6C063D54">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(-2.732, 0.006, 0.042)</w:t>
            </w:r>
          </w:p>
        </w:tc>
        <w:tc>
          <w:tcPr>
            <w:tcW w:w="2477" w:type="dxa"/>
            <w:noWrap w:val="0"/>
            <w:vAlign w:val="center"/>
          </w:tcPr>
          <w:p w14:paraId="0654C4EB">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(-0.703, 0.495, 0.495)</w:t>
            </w:r>
          </w:p>
        </w:tc>
      </w:tr>
      <w:tr w14:paraId="55B4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noWrap w:val="0"/>
            <w:vAlign w:val="center"/>
          </w:tcPr>
          <w:p w14:paraId="7D3C24F0">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ALB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noWrap w:val="0"/>
            <w:vAlign w:val="center"/>
          </w:tcPr>
          <w:p w14:paraId="23DC2B77">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(-1.177, 0.242, 0.602)</w:t>
            </w:r>
          </w:p>
        </w:tc>
        <w:tc>
          <w:tcPr>
            <w:tcW w:w="2569" w:type="dxa"/>
            <w:noWrap w:val="0"/>
            <w:vAlign w:val="center"/>
          </w:tcPr>
          <w:p w14:paraId="65B3FD98">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(-1.204, 0.231, 0.539)</w:t>
            </w:r>
          </w:p>
        </w:tc>
        <w:tc>
          <w:tcPr>
            <w:tcW w:w="2477" w:type="dxa"/>
            <w:noWrap w:val="0"/>
            <w:vAlign w:val="center"/>
          </w:tcPr>
          <w:p w14:paraId="320CD076">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(-3.491, &lt;0.001, 0.004)</w:t>
            </w:r>
          </w:p>
        </w:tc>
      </w:tr>
      <w:tr w14:paraId="0BB5B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noWrap w:val="0"/>
            <w:vAlign w:val="center"/>
          </w:tcPr>
          <w:p w14:paraId="0E56EC9B">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Cr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noWrap w:val="0"/>
            <w:vAlign w:val="center"/>
          </w:tcPr>
          <w:p w14:paraId="27F88A68">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(-0.676, 0.512, 0.602)</w:t>
            </w:r>
          </w:p>
        </w:tc>
        <w:tc>
          <w:tcPr>
            <w:tcW w:w="2569" w:type="dxa"/>
            <w:noWrap w:val="0"/>
            <w:vAlign w:val="center"/>
          </w:tcPr>
          <w:p w14:paraId="79D8DDBD">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(-0.325, 0.758, 0.884)</w:t>
            </w:r>
          </w:p>
        </w:tc>
        <w:tc>
          <w:tcPr>
            <w:tcW w:w="2477" w:type="dxa"/>
            <w:noWrap w:val="0"/>
            <w:vAlign w:val="center"/>
          </w:tcPr>
          <w:p w14:paraId="11EE23D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(2.989, 0.002, 0.005)</w:t>
            </w:r>
          </w:p>
        </w:tc>
      </w:tr>
      <w:tr w14:paraId="75C18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noWrap w:val="0"/>
            <w:vAlign w:val="center"/>
          </w:tcPr>
          <w:p w14:paraId="2136F30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BUN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noWrap w:val="0"/>
            <w:vAlign w:val="center"/>
          </w:tcPr>
          <w:p w14:paraId="1A9B976F">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(-0.595, 0.565, 0.602)</w:t>
            </w:r>
          </w:p>
        </w:tc>
        <w:tc>
          <w:tcPr>
            <w:tcW w:w="2569" w:type="dxa"/>
            <w:noWrap w:val="0"/>
            <w:vAlign w:val="center"/>
          </w:tcPr>
          <w:p w14:paraId="5F6B5E32">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(-0.379, 0.718, 0.884)</w:t>
            </w:r>
          </w:p>
        </w:tc>
        <w:tc>
          <w:tcPr>
            <w:tcW w:w="2477" w:type="dxa"/>
            <w:noWrap w:val="0"/>
            <w:vAlign w:val="center"/>
          </w:tcPr>
          <w:p w14:paraId="692DCDFC">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(2.492, 0.012, 0.017)</w:t>
            </w:r>
          </w:p>
        </w:tc>
      </w:tr>
      <w:tr w14:paraId="2FD51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noWrap w:val="0"/>
            <w:vAlign w:val="center"/>
          </w:tcPr>
          <w:p w14:paraId="320FF433">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eGFR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noWrap w:val="0"/>
            <w:vAlign w:val="center"/>
          </w:tcPr>
          <w:p w14:paraId="7CC499A2">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(0.812, 0.429, 0.602)</w:t>
            </w:r>
          </w:p>
        </w:tc>
        <w:tc>
          <w:tcPr>
            <w:tcW w:w="2569" w:type="dxa"/>
            <w:noWrap w:val="0"/>
            <w:vAlign w:val="center"/>
          </w:tcPr>
          <w:p w14:paraId="6689D1FF">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(0.338, 0.738, 0.884)</w:t>
            </w:r>
          </w:p>
        </w:tc>
        <w:tc>
          <w:tcPr>
            <w:tcW w:w="2477" w:type="dxa"/>
            <w:noWrap w:val="0"/>
            <w:vAlign w:val="center"/>
          </w:tcPr>
          <w:p w14:paraId="292EBF8A">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(-3.247, &lt;0.001, 0.004)</w:t>
            </w:r>
          </w:p>
        </w:tc>
      </w:tr>
      <w:tr w14:paraId="4369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65" w:type="dxa"/>
            <w:tcBorders>
              <w:bottom w:val="single" w:color="auto" w:sz="12" w:space="0"/>
            </w:tcBorders>
            <w:noWrap w:val="0"/>
            <w:vAlign w:val="center"/>
          </w:tcPr>
          <w:p w14:paraId="5B6F6045">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 xml:space="preserve">Child–Pugh scores (Z, raw P, </w:t>
            </w:r>
            <w:r>
              <w:rPr>
                <w:rFonts w:hint="eastAsia" w:ascii="Times New Roman" w:hAnsi="Times New Roman" w:eastAsia="宋体" w:cs="Times New Roman"/>
                <w:color w:val="auto"/>
                <w:kern w:val="2"/>
                <w:sz w:val="20"/>
                <w:szCs w:val="20"/>
                <w:lang w:val="en-US" w:eastAsia="zh-CN" w:bidi="ar-SA"/>
              </w:rPr>
              <w:t>BH-adjusted q</w:t>
            </w:r>
            <w:r>
              <w:rPr>
                <w:rFonts w:hint="default" w:ascii="Times New Roman" w:hAnsi="Times New Roman" w:eastAsia="Carlito" w:cs="Times New Roman"/>
                <w:i w:val="0"/>
                <w:iCs w:val="0"/>
                <w:color w:val="auto"/>
                <w:kern w:val="0"/>
                <w:sz w:val="20"/>
                <w:szCs w:val="20"/>
                <w:u w:val="none"/>
                <w:lang w:val="en-US" w:eastAsia="zh-CN" w:bidi="ar"/>
              </w:rPr>
              <w:t>)</w:t>
            </w:r>
          </w:p>
        </w:tc>
        <w:tc>
          <w:tcPr>
            <w:tcW w:w="2889" w:type="dxa"/>
            <w:tcBorders>
              <w:bottom w:val="single" w:color="auto" w:sz="12" w:space="0"/>
            </w:tcBorders>
            <w:noWrap w:val="0"/>
            <w:vAlign w:val="center"/>
          </w:tcPr>
          <w:p w14:paraId="5C7DD124">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(0.545, 0.602, 0.602)</w:t>
            </w:r>
          </w:p>
        </w:tc>
        <w:tc>
          <w:tcPr>
            <w:tcW w:w="2569" w:type="dxa"/>
            <w:tcBorders>
              <w:bottom w:val="single" w:color="auto" w:sz="12" w:space="0"/>
            </w:tcBorders>
            <w:noWrap w:val="0"/>
            <w:vAlign w:val="center"/>
          </w:tcPr>
          <w:p w14:paraId="096CBDC3">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i w:val="0"/>
                <w:iCs w:val="0"/>
                <w:color w:val="auto"/>
                <w:kern w:val="0"/>
                <w:sz w:val="20"/>
                <w:szCs w:val="20"/>
                <w:u w:val="none"/>
                <w:lang w:val="en-US" w:eastAsia="zh-CN" w:bidi="ar"/>
              </w:rPr>
              <w:t>(0.127, 0.904, 0.904)</w:t>
            </w:r>
          </w:p>
        </w:tc>
        <w:tc>
          <w:tcPr>
            <w:tcW w:w="2477" w:type="dxa"/>
            <w:tcBorders>
              <w:bottom w:val="single" w:color="auto" w:sz="12" w:space="0"/>
            </w:tcBorders>
            <w:noWrap w:val="0"/>
            <w:vAlign w:val="center"/>
          </w:tcPr>
          <w:p w14:paraId="5784DFA4">
            <w:pPr>
              <w:keepNext w:val="0"/>
              <w:keepLines w:val="0"/>
              <w:widowControl/>
              <w:suppressLineNumbers w:val="0"/>
              <w:jc w:val="left"/>
              <w:textAlignment w:val="center"/>
              <w:rPr>
                <w:rFonts w:hint="default" w:ascii="Times New Roman" w:hAnsi="Times New Roman" w:cs="Times New Roman"/>
                <w:b w:val="0"/>
                <w:bCs w:val="0"/>
                <w:color w:val="auto"/>
                <w:sz w:val="21"/>
                <w:szCs w:val="21"/>
                <w:vertAlign w:val="baseline"/>
                <w:lang w:val="en-US" w:eastAsia="zh-CN"/>
              </w:rPr>
            </w:pPr>
            <w:r>
              <w:rPr>
                <w:rFonts w:hint="default" w:ascii="Times New Roman" w:hAnsi="Times New Roman" w:eastAsia="Carlito" w:cs="Times New Roman"/>
                <w:b/>
                <w:bCs/>
                <w:i w:val="0"/>
                <w:iCs w:val="0"/>
                <w:color w:val="auto"/>
                <w:kern w:val="0"/>
                <w:sz w:val="20"/>
                <w:szCs w:val="20"/>
                <w:u w:val="none"/>
                <w:lang w:val="en-US" w:eastAsia="zh-CN" w:bidi="ar"/>
              </w:rPr>
              <w:t>(2.653, 0.009, 0.016)</w:t>
            </w:r>
          </w:p>
        </w:tc>
      </w:tr>
    </w:tbl>
    <w:p w14:paraId="34D2F0FE">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360" w:firstLineChars="200"/>
        <w:jc w:val="both"/>
        <w:textAlignment w:val="auto"/>
        <w:rPr>
          <w:rFonts w:hint="default" w:ascii="Times New Roman" w:hAnsi="Times New Roman" w:eastAsia="宋体" w:cs="Times New Roman"/>
          <w:b w:val="0"/>
          <w:i w:val="0"/>
          <w:strike w:val="0"/>
          <w:color w:val="auto"/>
          <w:sz w:val="24"/>
          <w:szCs w:val="21"/>
          <w:u w:val="none"/>
        </w:rPr>
      </w:pPr>
      <w:r>
        <w:rPr>
          <w:rFonts w:hint="default" w:ascii="Times New Roman" w:hAnsi="Times New Roman" w:eastAsia="宋体" w:cs="Times New Roman"/>
          <w:b w:val="0"/>
          <w:i w:val="0"/>
          <w:strike w:val="0"/>
          <w:color w:val="auto"/>
          <w:sz w:val="18"/>
          <w:szCs w:val="18"/>
          <w:u w:val="none"/>
        </w:rPr>
        <w:t>Statistical method: Mann–Whitney U test. Results are presented as Z statistic, raw P, and BH-adjusted q. At each time point, BH correction was applied across the seven hepatorenal outcomes. A BH-adjusted q &lt; 0.05 was considered statistically significant. TG, TIPS treatment group; CG, control treatment group; ALT, alanine aminotransferase; TBIL, total bilirubin; ALB, albumin; Cr, creatinine; BUN, blood urea nitrogen; eGFR, estimated glomerular filtration rate.</w:t>
      </w:r>
    </w:p>
    <w:p w14:paraId="3541D956">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20" w:firstLineChars="200"/>
        <w:jc w:val="both"/>
        <w:textAlignment w:val="auto"/>
        <w:rPr>
          <w:rFonts w:hint="default" w:ascii="Times New Roman" w:hAnsi="Times New Roman" w:eastAsia="宋体" w:cs="Times New Roman"/>
          <w:b w:val="0"/>
          <w:i w:val="0"/>
          <w:strike w:val="0"/>
          <w:color w:val="auto"/>
          <w:sz w:val="21"/>
          <w:szCs w:val="21"/>
          <w:u w:val="none"/>
          <w:lang w:val="en-US" w:eastAsia="zh-CN"/>
        </w:rPr>
      </w:pPr>
    </w:p>
    <w:p w14:paraId="4DFF870C">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20" w:firstLineChars="200"/>
        <w:jc w:val="both"/>
        <w:textAlignment w:val="auto"/>
        <w:rPr>
          <w:rFonts w:hint="default" w:ascii="Times New Roman" w:hAnsi="Times New Roman" w:eastAsia="宋体" w:cs="Times New Roman"/>
          <w:b w:val="0"/>
          <w:i w:val="0"/>
          <w:strike w:val="0"/>
          <w:color w:val="auto"/>
          <w:sz w:val="21"/>
          <w:szCs w:val="21"/>
          <w:u w:val="none"/>
          <w:lang w:val="en-US" w:eastAsia="zh-CN"/>
        </w:rPr>
      </w:pPr>
    </w:p>
    <w:p w14:paraId="25BB44D3">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20" w:firstLineChars="200"/>
        <w:jc w:val="both"/>
        <w:textAlignment w:val="auto"/>
        <w:rPr>
          <w:rFonts w:hint="default" w:ascii="Times New Roman" w:hAnsi="Times New Roman" w:eastAsia="宋体" w:cs="Times New Roman"/>
          <w:b w:val="0"/>
          <w:i w:val="0"/>
          <w:strike w:val="0"/>
          <w:color w:val="auto"/>
          <w:sz w:val="21"/>
          <w:szCs w:val="21"/>
          <w:u w:val="none"/>
          <w:lang w:val="en-US" w:eastAsia="zh-CN"/>
        </w:rPr>
      </w:pPr>
    </w:p>
    <w:p w14:paraId="7F85B79E">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Reference</w:t>
      </w:r>
      <w:r>
        <w:rPr>
          <w:rFonts w:hint="eastAsia" w:ascii="Times New Roman" w:hAnsi="Times New Roman" w:cs="Times New Roman"/>
          <w:b/>
          <w:bCs/>
          <w:color w:val="auto"/>
          <w:sz w:val="24"/>
          <w:szCs w:val="24"/>
          <w:lang w:val="en-US" w:eastAsia="zh-CN"/>
        </w:rPr>
        <w:t>s</w:t>
      </w:r>
    </w:p>
    <w:p w14:paraId="5BFC4FC2">
      <w:pPr>
        <w:pStyle w:val="7"/>
        <w:bidi w:val="0"/>
        <w:ind w:left="0" w:firstLine="0"/>
        <w:rPr>
          <w:rFonts w:hint="default" w:ascii="Times New Roman" w:hAnsi="Times New Roman" w:eastAsia="宋体" w:cs="Times New Roman"/>
          <w:color w:val="auto"/>
          <w:sz w:val="24"/>
          <w:szCs w:val="24"/>
          <w:lang w:val="en-US" w:eastAsia="zh-CN" w:bidi="ar-SA"/>
        </w:rPr>
      </w:pPr>
      <w:r>
        <w:rPr>
          <w:rFonts w:hint="default" w:ascii="Times New Roman" w:hAnsi="Times New Roman" w:cs="Times New Roman"/>
          <w:color w:val="auto"/>
          <w:sz w:val="24"/>
          <w:szCs w:val="24"/>
          <w:lang w:val="en-US" w:eastAsia="zh-CN"/>
        </w:rPr>
        <w:fldChar w:fldCharType="begin"/>
      </w:r>
      <w:r>
        <w:rPr>
          <w:rFonts w:hint="default" w:ascii="Times New Roman" w:hAnsi="Times New Roman" w:cs="Times New Roman"/>
          <w:color w:val="auto"/>
          <w:sz w:val="24"/>
          <w:szCs w:val="24"/>
          <w:lang w:val="en-US" w:eastAsia="zh-CN"/>
        </w:rPr>
        <w:instrText xml:space="preserve"> ADDIN EN.REFLIST </w:instrText>
      </w:r>
      <w:r>
        <w:rPr>
          <w:rFonts w:hint="default" w:ascii="Times New Roman" w:hAnsi="Times New Roman"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bidi="ar-SA"/>
        </w:rPr>
        <w:t>1. Yoshiji H, Nagoshi S, Akahane T, Asaoka Y, Ueno Y, Ogawa K, et al. Evidence-based clinical practice guidelines for Liver Cirrhosis 2020. J Gastroenterol. 2021;56(7):593-619. doi: 10.1007/s00535-021-01788-x.</w:t>
      </w:r>
    </w:p>
    <w:p w14:paraId="4282CA2A">
      <w:pPr>
        <w:pStyle w:val="7"/>
        <w:bidi w:val="0"/>
        <w:ind w:left="0" w:firstLine="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2. de Franchis R, Bosch J, Garcia-Tsao G, Reiberger T, Ripoll C. Baveno VII - Renewing consensus in portal hypertension. J Hepatol. 2022;76(4):959-74. doi: 10.1016/j.jhep.2021.12.022.</w:t>
      </w:r>
    </w:p>
    <w:p w14:paraId="17511EDC">
      <w:pPr>
        <w:pStyle w:val="7"/>
        <w:bidi w:val="0"/>
        <w:ind w:left="0" w:firstLine="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3. Vizzutti F, Schepis F, Arena U, Fanelli F, Gitto S, Aspite S, et al. Transjugular intrahepatic portosystemic shunt (TIPS): current indications and strategies to improve the outcomes. Intern Emerg Med. 2020;15(1):37-48. doi: 10.1007/s11739-019-02252-8.</w:t>
      </w:r>
    </w:p>
    <w:p w14:paraId="43897E8A">
      <w:pPr>
        <w:pStyle w:val="7"/>
        <w:bidi w:val="0"/>
        <w:ind w:left="0" w:firstLine="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4. Boike JR, Thornburg BG, Asrani SK, Fallon MB, Fortune BE, Izzy MJ, et al. North American Practice-Based Recommendations for Transjugular Intrahepatic Portosystemic Shunts in Portal Hypertension. Clin Gastroenterol Hepatol. 2022;20(8):1636-62.e36. doi: 10.1016/j.cgh.2021.07.018.</w:t>
      </w:r>
    </w:p>
    <w:p w14:paraId="0393CCB6">
      <w:pPr>
        <w:pStyle w:val="7"/>
        <w:bidi w:val="0"/>
        <w:ind w:left="0" w:firstLine="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5. [Expert consensus on transjugular intrahepatic portosystemic shunt for the treatment of portal hypertension]. Zhonghua Gan Zang Bing Za Zhi. 2022;30(12):1349-64. doi: 10.3760/cma.j.cn501113-20221109-00553.</w:t>
      </w:r>
    </w:p>
    <w:p w14:paraId="42D43069">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fldChar w:fldCharType="end"/>
      </w:r>
    </w:p>
    <w:p w14:paraId="63D94E4E">
      <w:pPr>
        <w:rPr>
          <w:rFonts w:hint="default" w:ascii="Times New Roman" w:hAnsi="Times New Roman" w:cs="Times New Roman"/>
          <w:color w:val="auto"/>
          <w:sz w:val="24"/>
          <w:szCs w:val="24"/>
          <w:lang w:val="en-US" w:eastAsia="zh-CN"/>
        </w:rPr>
      </w:pPr>
    </w:p>
    <w:p w14:paraId="1A5404B2">
      <w:pPr>
        <w:rPr>
          <w:color w:val="auto"/>
        </w:rPr>
      </w:pPr>
      <w:bookmarkStart w:id="1" w:name="_GoBack"/>
      <w:bookmarkEnd w:id="1"/>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rlito">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F0860B"/>
    <w:multiLevelType w:val="singleLevel"/>
    <w:tmpl w:val="BAF0860B"/>
    <w:lvl w:ilvl="0" w:tentative="0">
      <w:start w:val="1"/>
      <w:numFmt w:val="decimal"/>
      <w:suff w:val="space"/>
      <w:lvlText w:val="%1."/>
      <w:lvlJc w:val="left"/>
      <w:rPr>
        <w:rFonts w:hint="default"/>
        <w:color w:val="auto"/>
      </w:rPr>
    </w:lvl>
  </w:abstractNum>
  <w:abstractNum w:abstractNumId="1">
    <w:nsid w:val="245B8559"/>
    <w:multiLevelType w:val="singleLevel"/>
    <w:tmpl w:val="245B855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Vancouver&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zxdt59appse1e2x5rxxv2df2s2ez9fd5zr&quot;&gt;HE&lt;record-ids&gt;&lt;item&gt;16&lt;/item&gt;&lt;item&gt;276&lt;/item&gt;&lt;/record-ids&gt;&lt;/item&gt;&lt;/Libraries&gt;"/>
  </w:docVars>
  <w:rsids>
    <w:rsidRoot w:val="00000000"/>
    <w:rsid w:val="00C221A7"/>
    <w:rsid w:val="00DF3300"/>
    <w:rsid w:val="01A85D51"/>
    <w:rsid w:val="027A5940"/>
    <w:rsid w:val="029353A1"/>
    <w:rsid w:val="03D42E2E"/>
    <w:rsid w:val="04294F27"/>
    <w:rsid w:val="04775006"/>
    <w:rsid w:val="058663AA"/>
    <w:rsid w:val="05D67331"/>
    <w:rsid w:val="05FA337A"/>
    <w:rsid w:val="06540256"/>
    <w:rsid w:val="06B17456"/>
    <w:rsid w:val="06B70A88"/>
    <w:rsid w:val="07835317"/>
    <w:rsid w:val="07D21D7A"/>
    <w:rsid w:val="081641D1"/>
    <w:rsid w:val="0A432ABB"/>
    <w:rsid w:val="0A967038"/>
    <w:rsid w:val="0B2B3C7B"/>
    <w:rsid w:val="0BA17A99"/>
    <w:rsid w:val="0C0E7E79"/>
    <w:rsid w:val="0C801DA5"/>
    <w:rsid w:val="0D7D3D0B"/>
    <w:rsid w:val="0DF36210"/>
    <w:rsid w:val="0E281838"/>
    <w:rsid w:val="0EAF0959"/>
    <w:rsid w:val="0F332A56"/>
    <w:rsid w:val="10670BB2"/>
    <w:rsid w:val="10DB1C9F"/>
    <w:rsid w:val="10EF574B"/>
    <w:rsid w:val="11DC4C34"/>
    <w:rsid w:val="1340228E"/>
    <w:rsid w:val="13933E49"/>
    <w:rsid w:val="1394380E"/>
    <w:rsid w:val="13CD7DF3"/>
    <w:rsid w:val="147C5547"/>
    <w:rsid w:val="14AC5FD2"/>
    <w:rsid w:val="151D2886"/>
    <w:rsid w:val="1649718F"/>
    <w:rsid w:val="176D1177"/>
    <w:rsid w:val="17FF6273"/>
    <w:rsid w:val="18A43147"/>
    <w:rsid w:val="193541FC"/>
    <w:rsid w:val="19E16020"/>
    <w:rsid w:val="1A11228E"/>
    <w:rsid w:val="1A187AC0"/>
    <w:rsid w:val="1A5D1977"/>
    <w:rsid w:val="1AA63A81"/>
    <w:rsid w:val="1B5D7694"/>
    <w:rsid w:val="1C077DEC"/>
    <w:rsid w:val="1DBE272D"/>
    <w:rsid w:val="1DCA7323"/>
    <w:rsid w:val="1ECB5101"/>
    <w:rsid w:val="1F0B7BF4"/>
    <w:rsid w:val="1F120F82"/>
    <w:rsid w:val="1F536EA5"/>
    <w:rsid w:val="1F777037"/>
    <w:rsid w:val="1F92549C"/>
    <w:rsid w:val="1FA84E9F"/>
    <w:rsid w:val="204F58BE"/>
    <w:rsid w:val="20686980"/>
    <w:rsid w:val="21A460DD"/>
    <w:rsid w:val="21C4408A"/>
    <w:rsid w:val="21CD73E2"/>
    <w:rsid w:val="21FC4908"/>
    <w:rsid w:val="23587354"/>
    <w:rsid w:val="23EC4A8D"/>
    <w:rsid w:val="23F67D20"/>
    <w:rsid w:val="249C753C"/>
    <w:rsid w:val="26301CEE"/>
    <w:rsid w:val="26885559"/>
    <w:rsid w:val="269E134D"/>
    <w:rsid w:val="26AE329E"/>
    <w:rsid w:val="26F00577"/>
    <w:rsid w:val="282761CE"/>
    <w:rsid w:val="287301E8"/>
    <w:rsid w:val="2900009D"/>
    <w:rsid w:val="294F2DD3"/>
    <w:rsid w:val="29695C42"/>
    <w:rsid w:val="29CA2459"/>
    <w:rsid w:val="2A13328E"/>
    <w:rsid w:val="2A5801C4"/>
    <w:rsid w:val="2A81662C"/>
    <w:rsid w:val="2AEA21EB"/>
    <w:rsid w:val="2B771D0B"/>
    <w:rsid w:val="2C22032B"/>
    <w:rsid w:val="2C972AC7"/>
    <w:rsid w:val="2CB25B52"/>
    <w:rsid w:val="2E0423DE"/>
    <w:rsid w:val="2E565BE6"/>
    <w:rsid w:val="2EBE10AE"/>
    <w:rsid w:val="2F106B60"/>
    <w:rsid w:val="2F201466"/>
    <w:rsid w:val="2F3A35B4"/>
    <w:rsid w:val="2F9D4288"/>
    <w:rsid w:val="2FCC43B2"/>
    <w:rsid w:val="2FF6531D"/>
    <w:rsid w:val="30991291"/>
    <w:rsid w:val="310A3253"/>
    <w:rsid w:val="31E00916"/>
    <w:rsid w:val="31E926FC"/>
    <w:rsid w:val="32A63A63"/>
    <w:rsid w:val="33095DA0"/>
    <w:rsid w:val="3316226B"/>
    <w:rsid w:val="33D40781"/>
    <w:rsid w:val="35414FEB"/>
    <w:rsid w:val="373830F8"/>
    <w:rsid w:val="397A79F8"/>
    <w:rsid w:val="39A67170"/>
    <w:rsid w:val="39DF2A1B"/>
    <w:rsid w:val="3A6F5083"/>
    <w:rsid w:val="3A734912"/>
    <w:rsid w:val="3BD33ACA"/>
    <w:rsid w:val="3CA5192E"/>
    <w:rsid w:val="3CB925E5"/>
    <w:rsid w:val="3D2263DC"/>
    <w:rsid w:val="3D2752D5"/>
    <w:rsid w:val="3D640C20"/>
    <w:rsid w:val="3F514D74"/>
    <w:rsid w:val="3FF04570"/>
    <w:rsid w:val="405B7127"/>
    <w:rsid w:val="40E04529"/>
    <w:rsid w:val="40EB005B"/>
    <w:rsid w:val="41171C1E"/>
    <w:rsid w:val="411E6EBB"/>
    <w:rsid w:val="41562AF9"/>
    <w:rsid w:val="419761C8"/>
    <w:rsid w:val="41C15FC7"/>
    <w:rsid w:val="427B20EB"/>
    <w:rsid w:val="43140869"/>
    <w:rsid w:val="432602A9"/>
    <w:rsid w:val="436B3BF8"/>
    <w:rsid w:val="43A318F9"/>
    <w:rsid w:val="44D2693A"/>
    <w:rsid w:val="456B4699"/>
    <w:rsid w:val="456F5F37"/>
    <w:rsid w:val="45D40490"/>
    <w:rsid w:val="46462EC9"/>
    <w:rsid w:val="464C6278"/>
    <w:rsid w:val="46875502"/>
    <w:rsid w:val="49940662"/>
    <w:rsid w:val="49BC54C3"/>
    <w:rsid w:val="4A4A18C2"/>
    <w:rsid w:val="4A7B537E"/>
    <w:rsid w:val="4A814CB1"/>
    <w:rsid w:val="4A9D52F4"/>
    <w:rsid w:val="4C2C2DD4"/>
    <w:rsid w:val="4F152567"/>
    <w:rsid w:val="4F4E01E7"/>
    <w:rsid w:val="4FF33D42"/>
    <w:rsid w:val="4FFC0D0F"/>
    <w:rsid w:val="50FA7F8D"/>
    <w:rsid w:val="51703763"/>
    <w:rsid w:val="51883523"/>
    <w:rsid w:val="518E3BE9"/>
    <w:rsid w:val="52263E21"/>
    <w:rsid w:val="52B7380B"/>
    <w:rsid w:val="53C97948"/>
    <w:rsid w:val="53DA2AB2"/>
    <w:rsid w:val="541227BF"/>
    <w:rsid w:val="543547EF"/>
    <w:rsid w:val="547707FA"/>
    <w:rsid w:val="54D45627"/>
    <w:rsid w:val="550348EE"/>
    <w:rsid w:val="55171C18"/>
    <w:rsid w:val="554967A4"/>
    <w:rsid w:val="554A6079"/>
    <w:rsid w:val="558570B1"/>
    <w:rsid w:val="56186177"/>
    <w:rsid w:val="563E29F7"/>
    <w:rsid w:val="56DC1930"/>
    <w:rsid w:val="56FD753C"/>
    <w:rsid w:val="57C5451A"/>
    <w:rsid w:val="58172E5E"/>
    <w:rsid w:val="5827444F"/>
    <w:rsid w:val="583B12A8"/>
    <w:rsid w:val="583D3C73"/>
    <w:rsid w:val="583F3E8F"/>
    <w:rsid w:val="589046EA"/>
    <w:rsid w:val="58906498"/>
    <w:rsid w:val="58EA22FF"/>
    <w:rsid w:val="591A2206"/>
    <w:rsid w:val="592C4BAD"/>
    <w:rsid w:val="5966544B"/>
    <w:rsid w:val="5A1218E8"/>
    <w:rsid w:val="5B57329D"/>
    <w:rsid w:val="5B871DD5"/>
    <w:rsid w:val="5BB114F0"/>
    <w:rsid w:val="5BFE5D5C"/>
    <w:rsid w:val="5C9B365E"/>
    <w:rsid w:val="5D3715D8"/>
    <w:rsid w:val="5D380EAD"/>
    <w:rsid w:val="5D845EA0"/>
    <w:rsid w:val="5DDC3F2E"/>
    <w:rsid w:val="5E5C0156"/>
    <w:rsid w:val="5E5C5638"/>
    <w:rsid w:val="5E7F3237"/>
    <w:rsid w:val="5FE97DAA"/>
    <w:rsid w:val="5FEF619A"/>
    <w:rsid w:val="60F11A9E"/>
    <w:rsid w:val="610E0B8B"/>
    <w:rsid w:val="61A30FEA"/>
    <w:rsid w:val="627E0BF1"/>
    <w:rsid w:val="63A92B04"/>
    <w:rsid w:val="63C36D26"/>
    <w:rsid w:val="63D00091"/>
    <w:rsid w:val="641E6274"/>
    <w:rsid w:val="64C0646A"/>
    <w:rsid w:val="65F71905"/>
    <w:rsid w:val="66154481"/>
    <w:rsid w:val="665B6338"/>
    <w:rsid w:val="66FA60DE"/>
    <w:rsid w:val="67955879"/>
    <w:rsid w:val="69126484"/>
    <w:rsid w:val="69586B5E"/>
    <w:rsid w:val="6AB53B3C"/>
    <w:rsid w:val="6ADB0D05"/>
    <w:rsid w:val="6B1F03E8"/>
    <w:rsid w:val="6B2F38EF"/>
    <w:rsid w:val="6B517F5E"/>
    <w:rsid w:val="6B705559"/>
    <w:rsid w:val="6BD10E4A"/>
    <w:rsid w:val="6C0703C8"/>
    <w:rsid w:val="6C215B5D"/>
    <w:rsid w:val="6C72421C"/>
    <w:rsid w:val="6CA200F0"/>
    <w:rsid w:val="6D8A12B0"/>
    <w:rsid w:val="6E8B1784"/>
    <w:rsid w:val="6F7B1BFA"/>
    <w:rsid w:val="707E4298"/>
    <w:rsid w:val="713D3295"/>
    <w:rsid w:val="71F83886"/>
    <w:rsid w:val="725923E3"/>
    <w:rsid w:val="726C6080"/>
    <w:rsid w:val="72B3772E"/>
    <w:rsid w:val="73261A7B"/>
    <w:rsid w:val="739B0580"/>
    <w:rsid w:val="73AA63D7"/>
    <w:rsid w:val="75271ADB"/>
    <w:rsid w:val="75736ACE"/>
    <w:rsid w:val="76200A04"/>
    <w:rsid w:val="762947DA"/>
    <w:rsid w:val="76AA3A80"/>
    <w:rsid w:val="76EF6AFB"/>
    <w:rsid w:val="77765CCD"/>
    <w:rsid w:val="781225CE"/>
    <w:rsid w:val="78762B5D"/>
    <w:rsid w:val="787F7A28"/>
    <w:rsid w:val="78B104EB"/>
    <w:rsid w:val="78F41CD4"/>
    <w:rsid w:val="7A3C3932"/>
    <w:rsid w:val="7A511784"/>
    <w:rsid w:val="7ABB5863"/>
    <w:rsid w:val="7AC141C7"/>
    <w:rsid w:val="7C02295A"/>
    <w:rsid w:val="7D965A4F"/>
    <w:rsid w:val="7DC763C1"/>
    <w:rsid w:val="7E5B5C18"/>
    <w:rsid w:val="7E6A3164"/>
    <w:rsid w:val="7E8C00C7"/>
    <w:rsid w:val="7E9F0EEE"/>
    <w:rsid w:val="7F201A75"/>
    <w:rsid w:val="7F485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paragraph" w:customStyle="1" w:styleId="6">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hint="eastAsia" w:ascii="宋体" w:hAnsi="宋体" w:eastAsia="宋体" w:cs="宋体"/>
      <w:sz w:val="24"/>
      <w:szCs w:val="24"/>
      <w:lang w:val="en-US" w:eastAsia="zh-CN" w:bidi="ar-SA"/>
    </w:rPr>
  </w:style>
  <w:style w:type="paragraph" w:customStyle="1" w:styleId="7">
    <w:name w:val="EndNote Bibliography"/>
    <w:qFormat/>
    <w:uiPriority w:val="0"/>
    <w:pPr>
      <w:pBdr>
        <w:top w:val="none" w:color="auto" w:sz="0" w:space="0"/>
        <w:left w:val="none" w:color="auto" w:sz="0" w:space="0"/>
        <w:bottom w:val="none" w:color="auto" w:sz="0" w:space="0"/>
        <w:right w:val="none" w:color="auto" w:sz="0" w:space="0"/>
        <w:between w:val="none" w:color="auto" w:sz="0" w:space="0"/>
      </w:pBdr>
    </w:pPr>
    <w:rPr>
      <w:rFonts w:hint="eastAsia" w:ascii="宋体" w:hAnsi="宋体" w:eastAsia="宋体" w:cs="宋体"/>
      <w:sz w:val="24"/>
      <w:szCs w:val="24"/>
      <w:lang w:val="en-US" w:eastAsia="zh-CN" w:bidi="ar-SA"/>
    </w:rPr>
  </w:style>
  <w:style w:type="character" w:customStyle="1" w:styleId="8">
    <w:name w:val="font41"/>
    <w:basedOn w:val="4"/>
    <w:qFormat/>
    <w:uiPriority w:val="0"/>
    <w:rPr>
      <w:rFonts w:hint="eastAsia" w:ascii="等线" w:hAnsi="等线" w:eastAsia="等线" w:cs="等线"/>
      <w:color w:val="000000"/>
      <w:sz w:val="21"/>
      <w:szCs w:val="21"/>
      <w:u w:val="none"/>
    </w:rPr>
  </w:style>
  <w:style w:type="character" w:customStyle="1" w:styleId="9">
    <w:name w:val="font11"/>
    <w:basedOn w:val="4"/>
    <w:qFormat/>
    <w:uiPriority w:val="0"/>
    <w:rPr>
      <w:rFonts w:hint="default" w:ascii="Times New Roman" w:hAnsi="Times New Roman" w:cs="Times New Roman"/>
      <w:color w:val="000000"/>
      <w:sz w:val="21"/>
      <w:szCs w:val="21"/>
      <w:u w:val="none"/>
    </w:rPr>
  </w:style>
  <w:style w:type="character" w:customStyle="1" w:styleId="10">
    <w:name w:val="font51"/>
    <w:basedOn w:val="4"/>
    <w:qFormat/>
    <w:uiPriority w:val="0"/>
    <w:rPr>
      <w:rFonts w:hint="default" w:ascii="Times New Roman" w:hAnsi="Times New Roman" w:cs="Times New Roman"/>
      <w:i/>
      <w:iCs/>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1508</Words>
  <Characters>8522</Characters>
  <Lines>0</Lines>
  <Paragraphs>0</Paragraphs>
  <TotalTime>4</TotalTime>
  <ScaleCrop>false</ScaleCrop>
  <LinksUpToDate>false</LinksUpToDate>
  <CharactersWithSpaces>9750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2025-05-08T13:53:00Z</dcterms:created>
  <dc:creator>10314</dc:creator>
  <cp:lastModifiedBy>CHANSION</cp:lastModifiedBy>
  <dcterms:modified xsi:type="dcterms:W3CDTF">2026-08-15T08:57:47Z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eyJoZGlkIjoiMTllYmE1Y2U5MDM0YTg2NDEyMmM2Y2VkZDY1NjA4OTIiLCJ1c2VySWQiOiIyNDMyNzc0OTEifQ==</vt:lpwstr>
  </property>
  <property fmtid="{D5CDD505-2E9C-101B-9397-08002B2CF9AE}" pid="4" name="ICV">
    <vt:lpwstr>971125C3A4FC430B9D4CCE144AAA4CCA_12</vt:lpwstr>
  </property>
</Properties>
</file>