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40" w:line="240" w:lineRule="auto"/>
        <w:jc w:val="left"/>
      </w:pPr>
      <w:r>
        <w:rPr>
          <w:rFonts w:ascii="Times New Roman" w:hAnsi="Times New Roman"/>
          <w:b/>
          <w:i w:val="0"/>
          <w:sz w:val="22"/>
        </w:rPr>
        <w:t>Supplementary Table 2. Primary antibodies and staining conditions for immunohistochemistry.</w:t>
      </w:r>
    </w:p>
    <w:tbl>
      <w:tblPr>
        <w:tblW w:type="dxa" w:w="14116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000000"/>
          <w:bottom w:val="single" w:sz="10" w:space="0" w:color="000000"/>
          <w:left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</w:tblPr>
      <w:tblGrid>
        <w:gridCol w:w="1247"/>
        <w:gridCol w:w="2381"/>
        <w:gridCol w:w="1701"/>
        <w:gridCol w:w="3628"/>
        <w:gridCol w:w="1757"/>
        <w:gridCol w:w="3402"/>
      </w:tblGrid>
      <w:tr>
        <w:trPr>
          <w:tblHeader w:val="true"/>
        </w:trPr>
        <w:tc>
          <w:tcPr>
            <w:tcW w:type="dxa" w:w="124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Target</w:t>
            </w:r>
          </w:p>
        </w:tc>
        <w:tc>
          <w:tcPr>
            <w:tcW w:type="dxa" w:w="238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Manufacturer</w:t>
            </w:r>
          </w:p>
        </w:tc>
        <w:tc>
          <w:tcPr>
            <w:tcW w:type="dxa" w:w="170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Catalog no.</w:t>
            </w:r>
          </w:p>
        </w:tc>
        <w:tc>
          <w:tcPr>
            <w:tcW w:type="dxa" w:w="362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Host / clonality</w:t>
            </w:r>
          </w:p>
        </w:tc>
        <w:tc>
          <w:tcPr>
            <w:tcW w:type="dxa" w:w="175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Working dilution</w:t>
            </w:r>
          </w:p>
        </w:tc>
        <w:tc>
          <w:tcPr>
            <w:tcW w:type="dxa" w:w="3402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  <w:tcBorders>
              <w:bottom w:val="single" w:sz="8" w:space="0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Antigen retrieval</w:t>
            </w:r>
          </w:p>
        </w:tc>
      </w:tr>
      <w:tr>
        <w:tc>
          <w:tcPr>
            <w:tcW w:type="dxa" w:w="124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DUSP1</w:t>
            </w:r>
          </w:p>
        </w:tc>
        <w:tc>
          <w:tcPr>
            <w:tcW w:type="dxa" w:w="238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Zen Bioscience</w:t>
            </w:r>
          </w:p>
        </w:tc>
        <w:tc>
          <w:tcPr>
            <w:tcW w:type="dxa" w:w="170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R381573</w:t>
            </w:r>
          </w:p>
        </w:tc>
        <w:tc>
          <w:tcPr>
            <w:tcW w:type="dxa" w:w="362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Recombinant rabbit monoclonal</w:t>
            </w:r>
          </w:p>
        </w:tc>
        <w:tc>
          <w:tcPr>
            <w:tcW w:type="dxa" w:w="175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1:100</w:t>
            </w:r>
          </w:p>
        </w:tc>
        <w:tc>
          <w:tcPr>
            <w:tcW w:type="dxa" w:w="3402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Tris–EDTA, pH 8.0; 90 °C, 30 min</w:t>
            </w:r>
          </w:p>
        </w:tc>
      </w:tr>
      <w:tr>
        <w:tc>
          <w:tcPr>
            <w:tcW w:type="dxa" w:w="124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RGS2</w:t>
            </w:r>
          </w:p>
        </w:tc>
        <w:tc>
          <w:tcPr>
            <w:tcW w:type="dxa" w:w="238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Zen Bioscience</w:t>
            </w:r>
          </w:p>
        </w:tc>
        <w:tc>
          <w:tcPr>
            <w:tcW w:type="dxa" w:w="170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121197</w:t>
            </w:r>
          </w:p>
        </w:tc>
        <w:tc>
          <w:tcPr>
            <w:tcW w:type="dxa" w:w="362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Rabbit polyclonal</w:t>
            </w:r>
          </w:p>
        </w:tc>
        <w:tc>
          <w:tcPr>
            <w:tcW w:type="dxa" w:w="175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1:50</w:t>
            </w:r>
          </w:p>
        </w:tc>
        <w:tc>
          <w:tcPr>
            <w:tcW w:type="dxa" w:w="3402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Tris–EDTA, pH 8.0; 90 °C, 30 min</w:t>
            </w:r>
          </w:p>
        </w:tc>
      </w:tr>
      <w:tr>
        <w:tc>
          <w:tcPr>
            <w:tcW w:type="dxa" w:w="124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TIMP1</w:t>
            </w:r>
          </w:p>
        </w:tc>
        <w:tc>
          <w:tcPr>
            <w:tcW w:type="dxa" w:w="238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Zen Bioscience</w:t>
            </w:r>
          </w:p>
        </w:tc>
        <w:tc>
          <w:tcPr>
            <w:tcW w:type="dxa" w:w="170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R381697</w:t>
            </w:r>
          </w:p>
        </w:tc>
        <w:tc>
          <w:tcPr>
            <w:tcW w:type="dxa" w:w="362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Recombinant rabbit monoclonal</w:t>
            </w:r>
          </w:p>
        </w:tc>
        <w:tc>
          <w:tcPr>
            <w:tcW w:type="dxa" w:w="175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1:100</w:t>
            </w:r>
          </w:p>
        </w:tc>
        <w:tc>
          <w:tcPr>
            <w:tcW w:type="dxa" w:w="3402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Tris–EDTA, pH 8.0; 90 °C, 30 min</w:t>
            </w:r>
          </w:p>
        </w:tc>
      </w:tr>
      <w:tr>
        <w:tc>
          <w:tcPr>
            <w:tcW w:type="dxa" w:w="124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CXCR4</w:t>
            </w:r>
          </w:p>
        </w:tc>
        <w:tc>
          <w:tcPr>
            <w:tcW w:type="dxa" w:w="238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Zen Bioscience</w:t>
            </w:r>
          </w:p>
        </w:tc>
        <w:tc>
          <w:tcPr>
            <w:tcW w:type="dxa" w:w="170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R380981</w:t>
            </w:r>
          </w:p>
        </w:tc>
        <w:tc>
          <w:tcPr>
            <w:tcW w:type="dxa" w:w="362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Recombinant rabbit monoclonal</w:t>
            </w:r>
          </w:p>
        </w:tc>
        <w:tc>
          <w:tcPr>
            <w:tcW w:type="dxa" w:w="175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</w:rPr>
              <w:t>1:50</w:t>
            </w:r>
          </w:p>
        </w:tc>
        <w:tc>
          <w:tcPr>
            <w:tcW w:type="dxa" w:w="3402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20"/>
              </w:rPr>
              <w:t>Tris–EDTA, pH 8.0; 90 °C, 30 min</w:t>
            </w:r>
          </w:p>
        </w:tc>
      </w:tr>
    </w:tbl>
    <w:p>
      <w:pPr>
        <w:spacing w:before="120" w:after="60" w:line="240" w:lineRule="auto"/>
        <w:jc w:val="left"/>
      </w:pPr>
      <w:r>
        <w:rPr>
          <w:rFonts w:ascii="Times New Roman" w:hAnsi="Times New Roman"/>
          <w:b w:val="0"/>
          <w:i w:val="0"/>
          <w:sz w:val="19"/>
        </w:rPr>
        <w:t>All primary antibodies were obtained from Zen Bioscience (Chengdu, China) and incubated overnight at 4 °C. Heat-induced epitope retrieval was performed in Tris–EDTA buffer (pH 8.0; Servicebio, G1206) at 90 °C for 30 min. After washing, sections were incubated with horseradish peroxidase-conjugated goat anti-rabbit IgG (Servicebio, GB23303; 1:200) for 50 min at room temperature and developed with a DAB kit (Servicebio, G1212).</w:t>
      </w:r>
    </w:p>
    <w:p>
      <w:pPr>
        <w:spacing w:before="0" w:after="0" w:line="240" w:lineRule="auto"/>
        <w:jc w:val="left"/>
      </w:pPr>
      <w:r>
        <w:rPr>
          <w:rFonts w:ascii="Times New Roman" w:hAnsi="Times New Roman"/>
          <w:b w:val="0"/>
          <w:i/>
          <w:sz w:val="19"/>
        </w:rPr>
        <w:t>DAB, 3,3′-diaminobenzidine; IHC, immunohistochemistry.</w:t>
      </w:r>
    </w:p>
    <w:sectPr w:rsidR="00FC693F" w:rsidRPr="0006063C" w:rsidSect="00034616">
      <w:pgSz w:w="16838" w:h="11906" w:orient="landscape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