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CA845" w14:textId="77777777" w:rsidR="00F1677C" w:rsidRDefault="00F1677C" w:rsidP="00F1677C">
      <w:r w:rsidRPr="00F1677C">
        <w:t xml:space="preserve">Supplementary Figure 1. Quality-control and dimensional-reduction results for the </w:t>
      </w:r>
      <w:proofErr w:type="spellStart"/>
      <w:r w:rsidRPr="00F1677C">
        <w:t>analyzed</w:t>
      </w:r>
      <w:proofErr w:type="spellEnd"/>
      <w:r w:rsidRPr="00F1677C">
        <w:t xml:space="preserve"> GSE163558 subset.</w:t>
      </w:r>
      <w:r w:rsidR="00FD2CE6">
        <w:rPr>
          <w:noProof/>
        </w:rPr>
        <w:drawing>
          <wp:inline distT="0" distB="0" distL="0" distR="0" wp14:anchorId="48AB797C" wp14:editId="34FB8625">
            <wp:extent cx="5731510" cy="6889750"/>
            <wp:effectExtent l="0" t="0" r="2540" b="6350"/>
            <wp:docPr id="85897153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88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677C">
        <w:t xml:space="preserve"> </w:t>
      </w:r>
    </w:p>
    <w:p w14:paraId="16CF2D20" w14:textId="77777777" w:rsidR="00F1677C" w:rsidRDefault="00F1677C">
      <w:pPr>
        <w:spacing w:after="160" w:line="278" w:lineRule="auto"/>
      </w:pPr>
      <w:r>
        <w:br w:type="page"/>
      </w:r>
    </w:p>
    <w:p w14:paraId="397C51E5" w14:textId="77777777" w:rsidR="00F1677C" w:rsidRDefault="00F1677C" w:rsidP="00F1677C">
      <w:r>
        <w:lastRenderedPageBreak/>
        <w:t xml:space="preserve">Supplementary Figure 2. Exploratory </w:t>
      </w:r>
      <w:r>
        <w:rPr>
          <w:i/>
        </w:rPr>
        <w:t>H. pylori</w:t>
      </w:r>
      <w:r>
        <w:t>-related pathway activity scores across single-cell populations. These cell-level displays are descriptive and do not represent patient-level infection comparisons.</w:t>
      </w:r>
      <w:r w:rsidR="00FD2CE6">
        <w:rPr>
          <w:noProof/>
        </w:rPr>
        <w:drawing>
          <wp:inline distT="0" distB="0" distL="0" distR="0" wp14:anchorId="4AD82145" wp14:editId="2940C613">
            <wp:extent cx="5731510" cy="5648960"/>
            <wp:effectExtent l="0" t="0" r="2540" b="8890"/>
            <wp:docPr id="124027334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64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677C">
        <w:t xml:space="preserve"> </w:t>
      </w:r>
    </w:p>
    <w:p w14:paraId="514C66FF" w14:textId="77777777" w:rsidR="00F1677C" w:rsidRDefault="00F1677C" w:rsidP="00F1677C"/>
    <w:p w14:paraId="68A370FD" w14:textId="77777777" w:rsidR="00F1677C" w:rsidRDefault="00F1677C" w:rsidP="00F1677C"/>
    <w:p w14:paraId="6A9D3B3E" w14:textId="77777777" w:rsidR="00F1677C" w:rsidRDefault="00F1677C" w:rsidP="00F1677C"/>
    <w:p w14:paraId="0EECB582" w14:textId="77777777" w:rsidR="00F1677C" w:rsidRDefault="00F1677C" w:rsidP="00F1677C"/>
    <w:p w14:paraId="3F39344F" w14:textId="77777777" w:rsidR="00F1677C" w:rsidRDefault="00F1677C" w:rsidP="00F1677C"/>
    <w:p w14:paraId="4573A73D" w14:textId="77777777" w:rsidR="00F1677C" w:rsidRDefault="00F1677C" w:rsidP="00F1677C"/>
    <w:p w14:paraId="3B441ABD" w14:textId="77777777" w:rsidR="00F1677C" w:rsidRDefault="00F1677C" w:rsidP="00F1677C"/>
    <w:p w14:paraId="4A0B3FDD" w14:textId="77777777" w:rsidR="00F1677C" w:rsidRDefault="00F1677C" w:rsidP="00F1677C"/>
    <w:p w14:paraId="3C992711" w14:textId="77777777" w:rsidR="00F1677C" w:rsidRDefault="00F1677C" w:rsidP="00F1677C"/>
    <w:p w14:paraId="791EA940" w14:textId="77777777" w:rsidR="00F1677C" w:rsidRDefault="00F1677C" w:rsidP="00F1677C"/>
    <w:p w14:paraId="1D7B3800" w14:textId="77777777" w:rsidR="00F1677C" w:rsidRDefault="00F1677C" w:rsidP="00F1677C"/>
    <w:p w14:paraId="37D533F3" w14:textId="77777777" w:rsidR="00F1677C" w:rsidRDefault="00F1677C" w:rsidP="00F1677C"/>
    <w:p w14:paraId="14F2FCE5" w14:textId="77777777" w:rsidR="00F1677C" w:rsidRDefault="00F1677C" w:rsidP="00F1677C"/>
    <w:p w14:paraId="50F45E4D" w14:textId="77777777" w:rsidR="00F1677C" w:rsidRDefault="00F1677C" w:rsidP="00F1677C"/>
    <w:p w14:paraId="402A1315" w14:textId="77777777" w:rsidR="00F1677C" w:rsidRDefault="00F1677C" w:rsidP="00F1677C">
      <w:r w:rsidRPr="00F1677C">
        <w:lastRenderedPageBreak/>
        <w:t xml:space="preserve">Supplementary Figure 3. WGCNA workflow in TCGA-STAD, including sample clustering, soft-threshold selection, module detection, and correlation with the </w:t>
      </w:r>
      <w:r w:rsidRPr="00F1677C">
        <w:rPr>
          <w:i/>
        </w:rPr>
        <w:t>H. pylori</w:t>
      </w:r>
      <w:r w:rsidRPr="00F1677C">
        <w:t>-related pathway score.</w:t>
      </w:r>
      <w:r w:rsidR="00FD2CE6">
        <w:rPr>
          <w:noProof/>
        </w:rPr>
        <w:drawing>
          <wp:inline distT="0" distB="0" distL="0" distR="0" wp14:anchorId="1DA95DF2" wp14:editId="350F5BC8">
            <wp:extent cx="5731510" cy="6256020"/>
            <wp:effectExtent l="0" t="0" r="2540" b="0"/>
            <wp:docPr id="195024714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25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677C">
        <w:t xml:space="preserve"> </w:t>
      </w:r>
    </w:p>
    <w:p w14:paraId="67CC084C" w14:textId="77777777" w:rsidR="00F1677C" w:rsidRDefault="00F1677C" w:rsidP="00F1677C">
      <w:pPr>
        <w:spacing w:after="160" w:line="278" w:lineRule="auto"/>
      </w:pPr>
    </w:p>
    <w:p w14:paraId="3D6EAF4E" w14:textId="1C51D07D" w:rsidR="00F1677C" w:rsidRPr="00F1677C" w:rsidRDefault="00F1677C" w:rsidP="00F1677C">
      <w:pPr>
        <w:spacing w:after="160" w:line="278" w:lineRule="auto"/>
      </w:pPr>
      <w:r w:rsidRPr="00F1677C">
        <w:t>Supplementary Figure 4. Cell-type expression patterns and exploratory gene-set enrichment results for the six panel genes.</w:t>
      </w:r>
      <w:r w:rsidR="00FD2CE6">
        <w:rPr>
          <w:noProof/>
        </w:rPr>
        <w:lastRenderedPageBreak/>
        <w:drawing>
          <wp:inline distT="0" distB="0" distL="0" distR="0" wp14:anchorId="09608B29" wp14:editId="5C681F4E">
            <wp:extent cx="4871720" cy="8863330"/>
            <wp:effectExtent l="0" t="0" r="5080" b="0"/>
            <wp:docPr id="192999847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72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677C">
        <w:t xml:space="preserve"> </w:t>
      </w:r>
      <w:r w:rsidRPr="00F1677C">
        <w:t>y risk group.</w:t>
      </w:r>
      <w:r w:rsidRPr="00F1677C">
        <w:t xml:space="preserve"> </w:t>
      </w:r>
      <w:r w:rsidRPr="00F1677C">
        <w:lastRenderedPageBreak/>
        <w:t>Supplementary Figure 5. Predicted drug sensitivity, descriptive mutation profiles, and TMB analyses by risk group.</w:t>
      </w:r>
    </w:p>
    <w:p w14:paraId="6791BCA2" w14:textId="5A48221E" w:rsidR="009A3E51" w:rsidRPr="00FD2CE6" w:rsidRDefault="00FD2CE6" w:rsidP="00F1677C">
      <w:pPr>
        <w:spacing w:after="160" w:line="278" w:lineRule="auto"/>
      </w:pPr>
      <w:r>
        <w:rPr>
          <w:noProof/>
        </w:rPr>
        <w:lastRenderedPageBreak/>
        <w:drawing>
          <wp:inline distT="0" distB="0" distL="0" distR="0" wp14:anchorId="70E267A3" wp14:editId="16AC8AEB">
            <wp:extent cx="3955954" cy="8544910"/>
            <wp:effectExtent l="0" t="0" r="6985" b="0"/>
            <wp:docPr id="44832333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126" cy="856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3E51" w:rsidRPr="00FD2C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51"/>
    <w:rsid w:val="006F2E61"/>
    <w:rsid w:val="009A3E51"/>
    <w:rsid w:val="00F1677C"/>
    <w:rsid w:val="00FD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41743"/>
  <w15:chartTrackingRefBased/>
  <w15:docId w15:val="{692A272C-3483-4C1D-973A-83A4F0348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77C"/>
    <w:pPr>
      <w:spacing w:after="0" w:line="256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3E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E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E5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E5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E5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E5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E5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E5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E5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E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E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E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E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E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E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E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E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E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3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E5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3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E5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3E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E5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3E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E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E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E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gopal ssingh</dc:creator>
  <cp:keywords/>
  <dc:description/>
  <cp:lastModifiedBy>gopal ssingh</cp:lastModifiedBy>
  <cp:revision>3</cp:revision>
  <dcterms:created xsi:type="dcterms:W3CDTF">2026-09-03T16:34:00Z</dcterms:created>
  <dcterms:modified xsi:type="dcterms:W3CDTF">2026-09-03T17:08:00Z</dcterms:modified>
</cp:coreProperties>
</file>