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F9735D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480" w:lineRule="auto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>Supplementary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Table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Hazard ratios of 28-day and 90-day mortality risk in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AP</w:t>
      </w:r>
      <w:r>
        <w:rPr>
          <w:rFonts w:ascii="Times New Roman" w:hAnsi="Times New Roman" w:cs="Times New Roman"/>
          <w:sz w:val="24"/>
          <w:szCs w:val="24"/>
        </w:rPr>
        <w:t xml:space="preserve"> by trajectory groups</w:t>
      </w:r>
      <w:commentRangeStart w:id="0"/>
      <w:r>
        <w:rPr>
          <w:rFonts w:ascii="Times New Roman" w:hAnsi="Times New Roman" w:cs="Times New Roman"/>
          <w:sz w:val="24"/>
          <w:szCs w:val="24"/>
        </w:rPr>
        <w:t xml:space="preserve"> of BCR.</w:t>
      </w:r>
      <w:commentRangeEnd w:id="0"/>
      <w:r>
        <w:commentReference w:id="0"/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3"/>
        <w:gridCol w:w="2278"/>
        <w:gridCol w:w="4261"/>
      </w:tblGrid>
      <w:tr w14:paraId="25FC077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3"/>
            <w:tcBorders>
              <w:top w:val="single" w:color="000000" w:sz="12" w:space="0"/>
              <w:bottom w:val="nil"/>
            </w:tcBorders>
            <w:shd w:val="clear" w:color="auto" w:fill="auto"/>
            <w:vAlign w:val="center"/>
          </w:tcPr>
          <w:p w14:paraId="7A481F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ModelI</w:t>
            </w:r>
          </w:p>
        </w:tc>
      </w:tr>
      <w:tr w14:paraId="2253AC2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3" w:type="dxa"/>
            <w:tcBorders>
              <w:top w:val="nil"/>
              <w:bottom w:val="single" w:color="000000" w:sz="6" w:space="0"/>
            </w:tcBorders>
            <w:shd w:val="clear" w:color="auto" w:fill="auto"/>
            <w:vAlign w:val="center"/>
          </w:tcPr>
          <w:p w14:paraId="627132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 w:eastAsia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278" w:type="dxa"/>
            <w:tcBorders>
              <w:top w:val="nil"/>
              <w:bottom w:val="single" w:color="000000" w:sz="6" w:space="0"/>
            </w:tcBorders>
            <w:shd w:val="clear" w:color="auto" w:fill="auto"/>
            <w:vAlign w:val="center"/>
          </w:tcPr>
          <w:p w14:paraId="43E6B6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 w:eastAsia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Adjusted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HR(95%CI)</w:t>
            </w:r>
          </w:p>
        </w:tc>
        <w:tc>
          <w:tcPr>
            <w:tcW w:w="4261" w:type="dxa"/>
            <w:tcBorders>
              <w:top w:val="nil"/>
              <w:bottom w:val="single" w:color="000000" w:sz="6" w:space="0"/>
            </w:tcBorders>
            <w:shd w:val="clear" w:color="auto" w:fill="auto"/>
            <w:vAlign w:val="center"/>
          </w:tcPr>
          <w:p w14:paraId="5F4D49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 w:eastAsia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</w:tr>
      <w:tr w14:paraId="3CA7EC9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gridSpan w:val="2"/>
            <w:tcBorders>
              <w:top w:val="single" w:color="000000" w:sz="6" w:space="0"/>
            </w:tcBorders>
            <w:shd w:val="clear" w:color="auto" w:fill="auto"/>
            <w:vAlign w:val="center"/>
          </w:tcPr>
          <w:p w14:paraId="0205DF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80" w:lineRule="auto"/>
              <w:jc w:val="left"/>
              <w:textAlignment w:val="auto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28-day mortality</w:t>
            </w:r>
          </w:p>
        </w:tc>
        <w:tc>
          <w:tcPr>
            <w:tcW w:w="4261" w:type="dxa"/>
            <w:tcBorders>
              <w:top w:val="single" w:color="000000" w:sz="6" w:space="0"/>
            </w:tcBorders>
            <w:shd w:val="clear" w:color="auto" w:fill="auto"/>
            <w:vAlign w:val="center"/>
          </w:tcPr>
          <w:p w14:paraId="1CDBFA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9DD4BC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3" w:type="dxa"/>
            <w:shd w:val="clear" w:color="auto" w:fill="auto"/>
            <w:vAlign w:val="center"/>
          </w:tcPr>
          <w:p w14:paraId="24307D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Class1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299261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4261" w:type="dxa"/>
            <w:shd w:val="clear" w:color="auto" w:fill="auto"/>
            <w:vAlign w:val="center"/>
          </w:tcPr>
          <w:p w14:paraId="167C43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89686C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983" w:type="dxa"/>
            <w:shd w:val="clear" w:color="auto" w:fill="auto"/>
            <w:vAlign w:val="center"/>
          </w:tcPr>
          <w:p w14:paraId="54CC09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Class2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554072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1.95(1.03,3.68)</w:t>
            </w:r>
          </w:p>
        </w:tc>
        <w:tc>
          <w:tcPr>
            <w:tcW w:w="4261" w:type="dxa"/>
            <w:shd w:val="clear" w:color="auto" w:fill="auto"/>
            <w:vAlign w:val="center"/>
          </w:tcPr>
          <w:p w14:paraId="0D1F3C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0.040</w:t>
            </w:r>
          </w:p>
        </w:tc>
      </w:tr>
      <w:tr w14:paraId="3786110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3" w:type="dxa"/>
            <w:shd w:val="clear" w:color="auto" w:fill="auto"/>
            <w:vAlign w:val="center"/>
          </w:tcPr>
          <w:p w14:paraId="7F6F36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Class3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316838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4.90(1.04,23.15)</w:t>
            </w:r>
          </w:p>
        </w:tc>
        <w:tc>
          <w:tcPr>
            <w:tcW w:w="4261" w:type="dxa"/>
            <w:shd w:val="clear" w:color="auto" w:fill="auto"/>
            <w:vAlign w:val="center"/>
          </w:tcPr>
          <w:p w14:paraId="70C8C7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0.045</w:t>
            </w:r>
          </w:p>
        </w:tc>
      </w:tr>
      <w:tr w14:paraId="4F0AA3F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983" w:type="dxa"/>
            <w:shd w:val="clear" w:color="auto" w:fill="auto"/>
            <w:vAlign w:val="center"/>
          </w:tcPr>
          <w:p w14:paraId="318721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Class4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4B5629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3.60(1.85,7.04)</w:t>
            </w:r>
          </w:p>
        </w:tc>
        <w:tc>
          <w:tcPr>
            <w:tcW w:w="4261" w:type="dxa"/>
            <w:shd w:val="clear" w:color="auto" w:fill="auto"/>
            <w:vAlign w:val="center"/>
          </w:tcPr>
          <w:p w14:paraId="08DDC2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14:paraId="23AF3D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gridSpan w:val="2"/>
            <w:shd w:val="clear" w:color="auto" w:fill="auto"/>
            <w:vAlign w:val="center"/>
          </w:tcPr>
          <w:p w14:paraId="1D4210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80" w:lineRule="auto"/>
              <w:jc w:val="left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-day mortality</w:t>
            </w:r>
          </w:p>
        </w:tc>
        <w:tc>
          <w:tcPr>
            <w:tcW w:w="4261" w:type="dxa"/>
            <w:shd w:val="clear" w:color="auto" w:fill="auto"/>
            <w:vAlign w:val="center"/>
          </w:tcPr>
          <w:p w14:paraId="598547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80" w:lineRule="auto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14:paraId="5EA9178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3" w:type="dxa"/>
            <w:shd w:val="clear" w:color="auto" w:fill="auto"/>
            <w:vAlign w:val="center"/>
          </w:tcPr>
          <w:p w14:paraId="31621D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Class1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07BD96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4261" w:type="dxa"/>
            <w:shd w:val="clear" w:color="auto" w:fill="auto"/>
            <w:vAlign w:val="center"/>
          </w:tcPr>
          <w:p w14:paraId="23388A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F22BF1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3" w:type="dxa"/>
            <w:shd w:val="clear" w:color="auto" w:fill="auto"/>
            <w:vAlign w:val="center"/>
          </w:tcPr>
          <w:p w14:paraId="005C02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Class2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701445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1.34(0.86,2.09)</w:t>
            </w:r>
          </w:p>
        </w:tc>
        <w:tc>
          <w:tcPr>
            <w:tcW w:w="4261" w:type="dxa"/>
            <w:shd w:val="clear" w:color="auto" w:fill="auto"/>
            <w:vAlign w:val="center"/>
          </w:tcPr>
          <w:p w14:paraId="4CB63D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0.192</w:t>
            </w:r>
          </w:p>
        </w:tc>
      </w:tr>
      <w:tr w14:paraId="5D64552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3" w:type="dxa"/>
            <w:shd w:val="clear" w:color="auto" w:fill="auto"/>
            <w:vAlign w:val="center"/>
          </w:tcPr>
          <w:p w14:paraId="223602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Class3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71C3B8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2.00(0.60,6.70)</w:t>
            </w:r>
          </w:p>
        </w:tc>
        <w:tc>
          <w:tcPr>
            <w:tcW w:w="4261" w:type="dxa"/>
            <w:shd w:val="clear" w:color="auto" w:fill="auto"/>
            <w:vAlign w:val="center"/>
          </w:tcPr>
          <w:p w14:paraId="06110A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0.259</w:t>
            </w:r>
          </w:p>
        </w:tc>
      </w:tr>
      <w:tr w14:paraId="066A8F2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3" w:type="dxa"/>
            <w:tcBorders>
              <w:bottom w:val="single" w:color="000000" w:sz="12" w:space="0"/>
            </w:tcBorders>
            <w:shd w:val="clear" w:color="auto" w:fill="auto"/>
            <w:vAlign w:val="center"/>
          </w:tcPr>
          <w:p w14:paraId="5A2B49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Class4</w:t>
            </w:r>
          </w:p>
        </w:tc>
        <w:tc>
          <w:tcPr>
            <w:tcW w:w="2278" w:type="dxa"/>
            <w:tcBorders>
              <w:bottom w:val="single" w:color="000000" w:sz="12" w:space="0"/>
            </w:tcBorders>
            <w:shd w:val="clear" w:color="auto" w:fill="auto"/>
            <w:vAlign w:val="center"/>
          </w:tcPr>
          <w:p w14:paraId="531D7C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1.97(1.22,3.19)</w:t>
            </w:r>
          </w:p>
        </w:tc>
        <w:tc>
          <w:tcPr>
            <w:tcW w:w="4261" w:type="dxa"/>
            <w:tcBorders>
              <w:bottom w:val="single" w:color="000000" w:sz="12" w:space="0"/>
            </w:tcBorders>
            <w:shd w:val="clear" w:color="auto" w:fill="auto"/>
            <w:vAlign w:val="center"/>
          </w:tcPr>
          <w:p w14:paraId="304A80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80" w:lineRule="auto"/>
              <w:jc w:val="center"/>
              <w:textAlignment w:val="auto"/>
              <w:rPr>
                <w:rFonts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</w:tr>
    </w:tbl>
    <w:p w14:paraId="4566C22A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480" w:lineRule="auto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Model II: adjusted for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Hypertension, Diabetes, WBC, platelet,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Hemoglobin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, Albumin, Glu, Calcium, Norepinephrine, Octreotide, Fluid-resuscitation, Ventilation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and all variables in Model I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.</w:t>
      </w:r>
    </w:p>
    <w:p w14:paraId="75BA7C9D"/>
    <w:p w14:paraId="5CCDFFC5"/>
    <w:p w14:paraId="3FE95BDB"/>
    <w:p w14:paraId="3E6094FF"/>
    <w:p w14:paraId="45CEF05B"/>
    <w:p w14:paraId="33338D7B"/>
    <w:p w14:paraId="40D68610"/>
    <w:p w14:paraId="194A120D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郭琴玉" w:date="2026-08-29T16:02:10Z" w:initials="">
    <w:p w14:paraId="2C2A07E4">
      <w:pPr>
        <w:pStyle w:val="2"/>
      </w:pPr>
      <w:r>
        <w:rPr>
          <w:rFonts w:hint="eastAsia"/>
        </w:rPr>
        <w:t>We have standardized the terminology throughout the manuscript and consistently used the abbreviation BCR accordingly.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2C2A07E4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郭琴玉">
    <w15:presenceInfo w15:providerId="WPS Office" w15:userId="353720955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F34B23"/>
    <w:rsid w:val="0A892AA0"/>
    <w:rsid w:val="148A79E1"/>
    <w:rsid w:val="1BF34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</Words>
  <Characters>503</Characters>
  <Lines>0</Lines>
  <Paragraphs>0</Paragraphs>
  <TotalTime>5</TotalTime>
  <ScaleCrop>false</ScaleCrop>
  <LinksUpToDate>false</LinksUpToDate>
  <CharactersWithSpaces>543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2026-08-15T06:34:00Z</dcterms:created>
  <dc:creator>郭琴玉</dc:creator>
  <cp:lastModifiedBy>郭琴玉</cp:lastModifiedBy>
  <dcterms:modified xsi:type="dcterms:W3CDTF">2026-08-29T08:02:16Z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14CB58292F724EA1A1581B5A4DE9F454_13</vt:lpwstr>
  </property>
  <property fmtid="{D5CDD505-2E9C-101B-9397-08002B2CF9AE}" pid="4" name="KSOTemplateDocerSaveRecord">
    <vt:lpwstr>eyJoZGlkIjoiOTk2Y2U1ZTczMjQ3YWFkNjdhYTAzNTJmM2FkNWI4OGMiLCJ1c2VySWQiOiIxNjM1NDEzNDAzIn0=</vt:lpwstr>
  </property>
</Properties>
</file>