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22C43">
      <w:pPr>
        <w:keepNext w:val="0"/>
        <w:keepLines w:val="0"/>
        <w:pageBreakBefore w:val="0"/>
        <w:widowControl w:val="0"/>
        <w:kinsoku/>
        <w:wordWrap/>
        <w:overflowPunct/>
        <w:topLinePunct w:val="0"/>
        <w:autoSpaceDE w:val="0"/>
        <w:autoSpaceDN w:val="0"/>
        <w:bidi w:val="0"/>
        <w:adjustRightInd w:val="0"/>
        <w:snapToGrid/>
        <w:spacing w:line="480" w:lineRule="auto"/>
        <w:jc w:val="both"/>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 xml:space="preserve">Association between </w:t>
      </w:r>
      <w:r>
        <w:rPr>
          <w:rFonts w:hint="eastAsia" w:ascii="Times New Roman" w:hAnsi="Times New Roman" w:cs="Times New Roman"/>
          <w:b/>
          <w:bCs/>
          <w:sz w:val="28"/>
          <w:szCs w:val="28"/>
          <w:lang w:val="en-US" w:eastAsia="zh-CN"/>
        </w:rPr>
        <w:t>t</w:t>
      </w:r>
      <w:r>
        <w:rPr>
          <w:rFonts w:hint="eastAsia" w:ascii="Times New Roman" w:hAnsi="Times New Roman" w:cs="Times New Roman"/>
          <w:b/>
          <w:bCs/>
          <w:sz w:val="28"/>
          <w:szCs w:val="28"/>
        </w:rPr>
        <w:t xml:space="preserve">rajectories of </w:t>
      </w:r>
      <w:r>
        <w:rPr>
          <w:rFonts w:hint="eastAsia" w:ascii="Times New Roman" w:hAnsi="Times New Roman" w:cs="Times New Roman"/>
          <w:b/>
          <w:bCs/>
          <w:sz w:val="28"/>
          <w:szCs w:val="28"/>
          <w:lang w:val="en-US" w:eastAsia="zh-CN"/>
        </w:rPr>
        <w:t>u</w:t>
      </w:r>
      <w:r>
        <w:rPr>
          <w:rFonts w:hint="eastAsia" w:ascii="Times New Roman" w:hAnsi="Times New Roman" w:cs="Times New Roman"/>
          <w:b/>
          <w:bCs/>
          <w:sz w:val="28"/>
          <w:szCs w:val="28"/>
        </w:rPr>
        <w:t xml:space="preserve">rea </w:t>
      </w:r>
      <w:r>
        <w:rPr>
          <w:rFonts w:hint="eastAsia" w:ascii="Times New Roman" w:hAnsi="Times New Roman" w:cs="Times New Roman"/>
          <w:b/>
          <w:bCs/>
          <w:sz w:val="28"/>
          <w:szCs w:val="28"/>
          <w:lang w:val="en-US" w:eastAsia="zh-CN"/>
        </w:rPr>
        <w:t>n</w:t>
      </w:r>
      <w:r>
        <w:rPr>
          <w:rFonts w:hint="eastAsia" w:ascii="Times New Roman" w:hAnsi="Times New Roman" w:cs="Times New Roman"/>
          <w:b/>
          <w:bCs/>
          <w:sz w:val="28"/>
          <w:szCs w:val="28"/>
        </w:rPr>
        <w:t>itrogen-to-</w:t>
      </w:r>
      <w:r>
        <w:rPr>
          <w:rFonts w:hint="eastAsia" w:ascii="Times New Roman" w:hAnsi="Times New Roman" w:cs="Times New Roman"/>
          <w:b/>
          <w:bCs/>
          <w:sz w:val="28"/>
          <w:szCs w:val="28"/>
          <w:lang w:val="en-US" w:eastAsia="zh-CN"/>
        </w:rPr>
        <w:t>c</w:t>
      </w:r>
      <w:r>
        <w:rPr>
          <w:rFonts w:hint="eastAsia" w:ascii="Times New Roman" w:hAnsi="Times New Roman" w:cs="Times New Roman"/>
          <w:b/>
          <w:bCs/>
          <w:sz w:val="28"/>
          <w:szCs w:val="28"/>
        </w:rPr>
        <w:t xml:space="preserve">reatinine </w:t>
      </w:r>
      <w:r>
        <w:rPr>
          <w:rFonts w:hint="eastAsia" w:ascii="Times New Roman" w:hAnsi="Times New Roman" w:cs="Times New Roman"/>
          <w:b/>
          <w:bCs/>
          <w:sz w:val="28"/>
          <w:szCs w:val="28"/>
          <w:lang w:val="en-US" w:eastAsia="zh-CN"/>
        </w:rPr>
        <w:t>r</w:t>
      </w:r>
      <w:r>
        <w:rPr>
          <w:rFonts w:hint="eastAsia" w:ascii="Times New Roman" w:hAnsi="Times New Roman" w:cs="Times New Roman"/>
          <w:b/>
          <w:bCs/>
          <w:sz w:val="28"/>
          <w:szCs w:val="28"/>
        </w:rPr>
        <w:t>atio and all-cause mortality in patients with acute pancreatitis: analysis of the MIMIC-IV database</w:t>
      </w:r>
    </w:p>
    <w:p w14:paraId="4E09A098">
      <w:pPr>
        <w:keepNext w:val="0"/>
        <w:keepLines w:val="0"/>
        <w:pageBreakBefore w:val="0"/>
        <w:widowControl w:val="0"/>
        <w:kinsoku/>
        <w:wordWrap/>
        <w:overflowPunct/>
        <w:topLinePunct w:val="0"/>
        <w:autoSpaceDE w:val="0"/>
        <w:autoSpaceDN w:val="0"/>
        <w:bidi w:val="0"/>
        <w:adjustRightInd w:val="0"/>
        <w:snapToGrid/>
        <w:spacing w:line="480" w:lineRule="auto"/>
        <w:jc w:val="left"/>
        <w:textAlignment w:val="auto"/>
        <w:rPr>
          <w:rFonts w:hint="eastAsia" w:ascii="Times New Roman" w:hAnsi="Times New Roman"/>
          <w:kern w:val="0"/>
          <w:sz w:val="24"/>
          <w:vertAlign w:val="superscript"/>
        </w:rPr>
      </w:pPr>
      <w:r>
        <w:rPr>
          <w:rFonts w:hint="eastAsia" w:ascii="Times New Roman" w:hAnsi="Times New Roman" w:eastAsia="宋体" w:cs="Times New Roman"/>
          <w:kern w:val="0"/>
          <w:sz w:val="24"/>
        </w:rPr>
        <w:t>Qinyu Guo</w:t>
      </w:r>
      <w:r>
        <w:rPr>
          <w:rFonts w:hint="eastAsia" w:ascii="Times New Roman" w:hAnsi="Times New Roman" w:eastAsia="宋体" w:cs="Times New Roman"/>
          <w:kern w:val="0"/>
          <w:sz w:val="24"/>
          <w:vertAlign w:val="superscript"/>
          <w:lang w:val="en-US" w:eastAsia="zh-CN"/>
        </w:rPr>
        <w:t>1,2,3,4</w:t>
      </w:r>
      <w:r>
        <w:rPr>
          <w:rFonts w:hint="eastAsia" w:ascii="Times New Roman" w:hAnsi="Times New Roman" w:eastAsia="宋体" w:cs="Times New Roman"/>
          <w:kern w:val="0"/>
          <w:sz w:val="24"/>
          <w:vertAlign w:val="superscript"/>
        </w:rPr>
        <w:t>†</w:t>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Da Ke</w:t>
      </w:r>
      <w:r>
        <w:rPr>
          <w:rFonts w:hint="eastAsia" w:ascii="Times New Roman" w:hAnsi="Times New Roman" w:eastAsia="宋体" w:cs="Times New Roman"/>
          <w:kern w:val="0"/>
          <w:sz w:val="24"/>
          <w:vertAlign w:val="superscript"/>
          <w:lang w:val="en-US" w:eastAsia="zh-CN"/>
        </w:rPr>
        <w:t>1,3</w:t>
      </w:r>
      <w:r>
        <w:rPr>
          <w:rFonts w:hint="eastAsia" w:ascii="Times New Roman" w:hAnsi="Times New Roman" w:eastAsia="宋体" w:cs="Times New Roman"/>
          <w:kern w:val="0"/>
          <w:sz w:val="24"/>
          <w:vertAlign w:val="superscript"/>
        </w:rPr>
        <w:t>†</w:t>
      </w:r>
      <w:r>
        <w:rPr>
          <w:rFonts w:hint="eastAsia" w:ascii="Times New Roman" w:hAnsi="Times New Roman" w:eastAsia="宋体" w:cs="Times New Roman"/>
          <w:kern w:val="0"/>
          <w:sz w:val="24"/>
        </w:rPr>
        <w:t>, Huang Chen</w:t>
      </w:r>
      <w:r>
        <w:rPr>
          <w:rFonts w:hint="eastAsia" w:ascii="Times New Roman" w:hAnsi="Times New Roman" w:eastAsia="宋体" w:cs="Times New Roman"/>
          <w:kern w:val="0"/>
          <w:sz w:val="24"/>
          <w:vertAlign w:val="superscript"/>
          <w:lang w:val="en-US" w:eastAsia="zh-CN"/>
        </w:rPr>
        <w:t>1,2,3,4</w:t>
      </w:r>
      <w:r>
        <w:rPr>
          <w:rFonts w:hint="eastAsia" w:ascii="Times New Roman" w:hAnsi="Times New Roman" w:eastAsia="宋体" w:cs="Times New Roman"/>
          <w:kern w:val="0"/>
          <w:sz w:val="24"/>
        </w:rPr>
        <w:t>, Shirong Lin</w:t>
      </w:r>
      <w:r>
        <w:rPr>
          <w:rFonts w:hint="eastAsia" w:ascii="Times New Roman" w:hAnsi="Times New Roman" w:eastAsia="宋体" w:cs="Times New Roman"/>
          <w:kern w:val="0"/>
          <w:sz w:val="24"/>
          <w:vertAlign w:val="superscript"/>
          <w:lang w:val="en-US" w:eastAsia="zh-CN"/>
        </w:rPr>
        <w:t>1,2,3,4</w:t>
      </w:r>
      <w:r>
        <w:rPr>
          <w:rFonts w:hint="eastAsia" w:ascii="Times New Roman" w:hAnsi="Times New Roman"/>
          <w:kern w:val="0"/>
          <w:sz w:val="24"/>
          <w:vertAlign w:val="superscript"/>
        </w:rPr>
        <w:t>*</w:t>
      </w:r>
      <w:r>
        <w:rPr>
          <w:rFonts w:hint="eastAsia" w:ascii="Times New Roman" w:hAnsi="Times New Roman" w:eastAsia="宋体" w:cs="Times New Roman"/>
          <w:kern w:val="0"/>
          <w:sz w:val="24"/>
        </w:rPr>
        <w:t xml:space="preserve">, Feng Chen </w:t>
      </w:r>
      <w:r>
        <w:rPr>
          <w:rFonts w:hint="eastAsia" w:ascii="Times New Roman" w:hAnsi="Times New Roman" w:eastAsia="宋体" w:cs="Times New Roman"/>
          <w:kern w:val="0"/>
          <w:sz w:val="24"/>
          <w:vertAlign w:val="superscript"/>
          <w:lang w:val="en-US" w:eastAsia="zh-CN"/>
        </w:rPr>
        <w:t>1,2,3,4</w:t>
      </w:r>
      <w:r>
        <w:rPr>
          <w:rFonts w:hint="eastAsia" w:ascii="Times New Roman" w:hAnsi="Times New Roman"/>
          <w:kern w:val="0"/>
          <w:sz w:val="24"/>
          <w:vertAlign w:val="superscript"/>
        </w:rPr>
        <w:t>*</w:t>
      </w:r>
    </w:p>
    <w:p w14:paraId="78769690">
      <w:pPr>
        <w:keepNext w:val="0"/>
        <w:keepLines w:val="0"/>
        <w:pageBreakBefore w:val="0"/>
        <w:numPr>
          <w:ilvl w:val="0"/>
          <w:numId w:val="0"/>
        </w:numPr>
        <w:kinsoku/>
        <w:wordWrap/>
        <w:overflowPunct/>
        <w:topLinePunct w:val="0"/>
        <w:autoSpaceDE w:val="0"/>
        <w:autoSpaceDN w:val="0"/>
        <w:bidi w:val="0"/>
        <w:adjustRightInd w:val="0"/>
        <w:snapToGrid/>
        <w:spacing w:line="480" w:lineRule="auto"/>
        <w:textAlignment w:val="auto"/>
        <w:rPr>
          <w:rFonts w:hint="eastAsia" w:ascii="Times New Roman" w:hAnsi="Times New Roman" w:eastAsia="NEU-BZ-Italic"/>
          <w:i/>
          <w:iCs/>
          <w:kern w:val="0"/>
          <w:sz w:val="24"/>
        </w:rPr>
      </w:pPr>
      <w:r>
        <w:rPr>
          <w:rFonts w:hint="eastAsia" w:ascii="Times New Roman" w:hAnsi="Times New Roman" w:eastAsia="NEU-BZ-Italic"/>
          <w:i/>
          <w:iCs/>
          <w:kern w:val="0"/>
          <w:sz w:val="24"/>
        </w:rPr>
        <w:t>1.Shengli Clinical Medical College of Fujian Medical University, Fuzhou 350001, China</w:t>
      </w:r>
    </w:p>
    <w:p w14:paraId="7BE2F400">
      <w:pPr>
        <w:keepNext w:val="0"/>
        <w:keepLines w:val="0"/>
        <w:pageBreakBefore w:val="0"/>
        <w:numPr>
          <w:ilvl w:val="0"/>
          <w:numId w:val="0"/>
        </w:numPr>
        <w:kinsoku/>
        <w:wordWrap/>
        <w:overflowPunct/>
        <w:topLinePunct w:val="0"/>
        <w:autoSpaceDE w:val="0"/>
        <w:autoSpaceDN w:val="0"/>
        <w:bidi w:val="0"/>
        <w:adjustRightInd w:val="0"/>
        <w:snapToGrid/>
        <w:spacing w:line="480" w:lineRule="auto"/>
        <w:textAlignment w:val="auto"/>
        <w:rPr>
          <w:rFonts w:hint="eastAsia" w:ascii="Times New Roman" w:hAnsi="Times New Roman" w:eastAsia="NEU-BZ-Italic"/>
          <w:i/>
          <w:iCs/>
          <w:kern w:val="0"/>
          <w:sz w:val="24"/>
        </w:rPr>
      </w:pPr>
      <w:r>
        <w:rPr>
          <w:rFonts w:hint="eastAsia" w:ascii="Times New Roman" w:hAnsi="Times New Roman" w:eastAsia="NEU-BZ-Italic"/>
          <w:i/>
          <w:iCs/>
          <w:kern w:val="0"/>
          <w:sz w:val="24"/>
        </w:rPr>
        <w:t>2.Department of Emergency, Fujian Provincial Hospital, Fuzhou 350001, China</w:t>
      </w:r>
    </w:p>
    <w:p w14:paraId="52BE7624">
      <w:pPr>
        <w:keepNext w:val="0"/>
        <w:keepLines w:val="0"/>
        <w:pageBreakBefore w:val="0"/>
        <w:numPr>
          <w:ilvl w:val="0"/>
          <w:numId w:val="0"/>
        </w:numPr>
        <w:kinsoku/>
        <w:wordWrap/>
        <w:overflowPunct/>
        <w:topLinePunct w:val="0"/>
        <w:autoSpaceDE w:val="0"/>
        <w:autoSpaceDN w:val="0"/>
        <w:bidi w:val="0"/>
        <w:adjustRightInd w:val="0"/>
        <w:snapToGrid/>
        <w:spacing w:line="480" w:lineRule="auto"/>
        <w:textAlignment w:val="auto"/>
        <w:rPr>
          <w:rFonts w:hint="eastAsia" w:ascii="Times New Roman" w:hAnsi="Times New Roman" w:eastAsia="NEU-BZ-Italic"/>
          <w:i/>
          <w:iCs/>
          <w:kern w:val="0"/>
          <w:sz w:val="24"/>
        </w:rPr>
      </w:pPr>
      <w:r>
        <w:rPr>
          <w:rFonts w:hint="eastAsia" w:ascii="Times New Roman" w:hAnsi="Times New Roman" w:eastAsia="NEU-BZ-Italic"/>
          <w:i/>
          <w:iCs/>
          <w:kern w:val="0"/>
          <w:sz w:val="24"/>
        </w:rPr>
        <w:t>3.Fuzhou University Affiliated Provincial Hospital, Fuzhou 350001, China</w:t>
      </w:r>
    </w:p>
    <w:p w14:paraId="38BDE689">
      <w:pPr>
        <w:keepNext w:val="0"/>
        <w:keepLines w:val="0"/>
        <w:pageBreakBefore w:val="0"/>
        <w:numPr>
          <w:ilvl w:val="0"/>
          <w:numId w:val="0"/>
        </w:numPr>
        <w:kinsoku/>
        <w:wordWrap/>
        <w:overflowPunct/>
        <w:topLinePunct w:val="0"/>
        <w:autoSpaceDE w:val="0"/>
        <w:autoSpaceDN w:val="0"/>
        <w:bidi w:val="0"/>
        <w:adjustRightInd w:val="0"/>
        <w:snapToGrid/>
        <w:spacing w:line="480" w:lineRule="auto"/>
        <w:textAlignment w:val="auto"/>
        <w:rPr>
          <w:rFonts w:hint="eastAsia" w:ascii="Times New Roman" w:hAnsi="Times New Roman" w:eastAsia="NEU-BZ-Italic"/>
          <w:i/>
          <w:iCs/>
          <w:kern w:val="0"/>
          <w:sz w:val="24"/>
        </w:rPr>
      </w:pPr>
      <w:r>
        <w:rPr>
          <w:rFonts w:hint="eastAsia" w:ascii="Times New Roman" w:hAnsi="Times New Roman" w:eastAsia="NEU-BZ-Italic"/>
          <w:i/>
          <w:iCs/>
          <w:kern w:val="0"/>
          <w:sz w:val="24"/>
        </w:rPr>
        <w:t>4.Fujian Provincial Key Laboratory of Emergency Medicine, Fuzhou 350001, China</w:t>
      </w:r>
    </w:p>
    <w:p w14:paraId="24942C9B">
      <w:pPr>
        <w:keepNext w:val="0"/>
        <w:keepLines w:val="0"/>
        <w:pageBreakBefore w:val="0"/>
        <w:widowControl w:val="0"/>
        <w:kinsoku/>
        <w:wordWrap/>
        <w:overflowPunct/>
        <w:topLinePunct w:val="0"/>
        <w:autoSpaceDE w:val="0"/>
        <w:autoSpaceDN w:val="0"/>
        <w:bidi w:val="0"/>
        <w:adjustRightInd w:val="0"/>
        <w:snapToGrid/>
        <w:spacing w:line="480" w:lineRule="auto"/>
        <w:textAlignment w:val="auto"/>
        <w:rPr>
          <w:rFonts w:hint="eastAsia" w:ascii="Times New Roman" w:hAnsi="Times New Roman"/>
          <w:kern w:val="0"/>
          <w:sz w:val="24"/>
        </w:rPr>
      </w:pPr>
      <w:r>
        <w:rPr>
          <w:rFonts w:hint="eastAsia" w:ascii="Times New Roman" w:hAnsi="Times New Roman" w:eastAsia="宋体" w:cs="Times New Roman"/>
          <w:kern w:val="0"/>
          <w:sz w:val="24"/>
          <w:vertAlign w:val="superscript"/>
        </w:rPr>
        <w:t>†</w:t>
      </w:r>
      <w:r>
        <w:rPr>
          <w:rFonts w:hint="eastAsia" w:ascii="Times New Roman" w:hAnsi="Times New Roman" w:eastAsia="宋体" w:cs="Times New Roman"/>
          <w:kern w:val="0"/>
          <w:sz w:val="24"/>
        </w:rPr>
        <w:t>Qinyu Guo</w:t>
      </w:r>
      <w:r>
        <w:rPr>
          <w:rFonts w:hint="eastAsia" w:ascii="Times New Roman" w:hAnsi="Times New Roman"/>
          <w:kern w:val="0"/>
          <w:sz w:val="24"/>
        </w:rPr>
        <w:t xml:space="preserve"> and </w:t>
      </w:r>
      <w:r>
        <w:rPr>
          <w:rFonts w:hint="eastAsia" w:ascii="Times New Roman" w:hAnsi="Times New Roman" w:eastAsia="宋体" w:cs="Times New Roman"/>
          <w:kern w:val="0"/>
          <w:sz w:val="24"/>
          <w:lang w:val="en-US" w:eastAsia="zh-CN"/>
        </w:rPr>
        <w:t>Da Ke</w:t>
      </w:r>
      <w:r>
        <w:rPr>
          <w:rFonts w:hint="eastAsia" w:ascii="Times New Roman" w:hAnsi="Times New Roman"/>
          <w:kern w:val="0"/>
          <w:sz w:val="24"/>
        </w:rPr>
        <w:t xml:space="preserve"> contribute equally to this work and share first authorship.</w:t>
      </w:r>
    </w:p>
    <w:p w14:paraId="4653B540">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ascii="Times New Roman" w:hAnsi="Times New Roman" w:eastAsia="宋体" w:cs="Times New Roman"/>
          <w:kern w:val="0"/>
          <w:sz w:val="24"/>
        </w:rPr>
      </w:pPr>
      <w:r>
        <w:rPr>
          <w:rFonts w:hint="eastAsia" w:ascii="Times New Roman" w:hAnsi="Times New Roman" w:eastAsia="宋体" w:cs="Times New Roman"/>
          <w:kern w:val="0"/>
          <w:sz w:val="24"/>
        </w:rPr>
        <w:t>Qinyu Guo</w:t>
      </w:r>
      <w:r>
        <w:rPr>
          <w:rFonts w:hint="eastAsia" w:ascii="Times New Roman" w:hAnsi="Times New Roman" w:eastAsia="宋体" w:cs="Times New Roman"/>
          <w:kern w:val="0"/>
          <w:sz w:val="24"/>
          <w:lang w:val="en-US" w:eastAsia="zh-CN"/>
        </w:rPr>
        <w:t xml:space="preserve">: </w:t>
      </w:r>
      <w:r>
        <w:fldChar w:fldCharType="begin"/>
      </w:r>
      <w:r>
        <w:instrText xml:space="preserve"> HYPERLINK "mailto:1225563221@qq.com" </w:instrText>
      </w:r>
      <w:r>
        <w:fldChar w:fldCharType="separate"/>
      </w:r>
      <w:r>
        <w:rPr>
          <w:rFonts w:hint="eastAsia" w:ascii="Times New Roman" w:hAnsi="Times New Roman" w:eastAsia="宋体" w:cs="Times New Roman"/>
          <w:kern w:val="0"/>
          <w:sz w:val="24"/>
        </w:rPr>
        <w:t>1225563221@qq.com</w:t>
      </w:r>
      <w:r>
        <w:rPr>
          <w:rFonts w:hint="eastAsia" w:ascii="Times New Roman" w:hAnsi="Times New Roman" w:eastAsia="宋体" w:cs="Times New Roman"/>
          <w:kern w:val="0"/>
          <w:sz w:val="24"/>
        </w:rPr>
        <w:fldChar w:fldCharType="end"/>
      </w:r>
    </w:p>
    <w:p w14:paraId="7F0A45B7">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rPr>
      </w:pPr>
      <w:r>
        <w:rPr>
          <w:rFonts w:hint="eastAsia" w:ascii="Times New Roman" w:hAnsi="Times New Roman" w:eastAsia="宋体" w:cs="Times New Roman"/>
          <w:kern w:val="0"/>
          <w:sz w:val="24"/>
          <w:lang w:val="en-US" w:eastAsia="zh-CN"/>
        </w:rPr>
        <w:t>Da Ke: jennerke3@gmail.com</w:t>
      </w:r>
      <w:r>
        <w:rPr>
          <w:rFonts w:hint="eastAsia" w:ascii="Times New Roman" w:hAnsi="Times New Roman" w:eastAsia="宋体" w:cs="Times New Roman"/>
          <w:kern w:val="0"/>
          <w:sz w:val="24"/>
        </w:rPr>
        <w:t xml:space="preserve"> </w:t>
      </w:r>
    </w:p>
    <w:p w14:paraId="366EEF8F">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rPr>
      </w:pPr>
      <w:r>
        <w:rPr>
          <w:rFonts w:hint="eastAsia" w:ascii="Times New Roman" w:hAnsi="Times New Roman" w:eastAsia="宋体" w:cs="Times New Roman"/>
          <w:kern w:val="0"/>
          <w:sz w:val="24"/>
        </w:rPr>
        <w:t>Huang Chen</w:t>
      </w:r>
      <w:r>
        <w:rPr>
          <w:rFonts w:hint="eastAsia" w:ascii="Times New Roman" w:hAnsi="Times New Roman" w:eastAsia="宋体" w:cs="Times New Roman"/>
          <w:kern w:val="0"/>
          <w:sz w:val="24"/>
          <w:lang w:val="en-US" w:eastAsia="zh-CN"/>
        </w:rPr>
        <w:t xml:space="preserve">: </w:t>
      </w:r>
      <w:r>
        <w:fldChar w:fldCharType="begin"/>
      </w:r>
      <w:r>
        <w:instrText xml:space="preserve"> HYPERLINK "mailto:243964672@qq.com" </w:instrText>
      </w:r>
      <w:r>
        <w:fldChar w:fldCharType="separate"/>
      </w:r>
      <w:r>
        <w:rPr>
          <w:rFonts w:hint="eastAsia" w:ascii="Times New Roman" w:hAnsi="Times New Roman" w:eastAsia="宋体" w:cs="Times New Roman"/>
          <w:kern w:val="0"/>
          <w:sz w:val="24"/>
        </w:rPr>
        <w:t>243964672@qq.com</w:t>
      </w:r>
      <w:r>
        <w:rPr>
          <w:rFonts w:hint="eastAsia" w:ascii="Times New Roman" w:hAnsi="Times New Roman" w:eastAsia="宋体" w:cs="Times New Roman"/>
          <w:kern w:val="0"/>
          <w:sz w:val="24"/>
        </w:rPr>
        <w:fldChar w:fldCharType="end"/>
      </w:r>
    </w:p>
    <w:p w14:paraId="6E8296A1">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ascii="Times New Roman" w:hAnsi="Times New Roman" w:eastAsia="宋体" w:cs="Times New Roman"/>
          <w:kern w:val="0"/>
          <w:sz w:val="24"/>
        </w:rPr>
      </w:pPr>
      <w:r>
        <w:rPr>
          <w:rFonts w:hint="eastAsia" w:ascii="Times New Roman" w:hAnsi="Times New Roman" w:eastAsia="宋体" w:cs="Times New Roman"/>
          <w:kern w:val="0"/>
          <w:sz w:val="24"/>
        </w:rPr>
        <w:t>Shirong Lin</w:t>
      </w:r>
      <w:r>
        <w:rPr>
          <w:rFonts w:hint="eastAsia" w:ascii="Times New Roman" w:hAnsi="Times New Roman" w:eastAsia="宋体" w:cs="Times New Roman"/>
          <w:kern w:val="0"/>
          <w:sz w:val="24"/>
          <w:lang w:val="en-US" w:eastAsia="zh-CN"/>
        </w:rPr>
        <w:t xml:space="preserve">: </w:t>
      </w:r>
      <w:r>
        <w:fldChar w:fldCharType="begin"/>
      </w:r>
      <w:r>
        <w:instrText xml:space="preserve"> HYPERLINK "mailto:leopard862@126.com" </w:instrText>
      </w:r>
      <w:r>
        <w:fldChar w:fldCharType="separate"/>
      </w:r>
      <w:r>
        <w:rPr>
          <w:rFonts w:hint="eastAsia" w:ascii="Times New Roman" w:hAnsi="Times New Roman" w:eastAsia="宋体" w:cs="Times New Roman"/>
          <w:kern w:val="0"/>
          <w:sz w:val="24"/>
        </w:rPr>
        <w:t>leopard862@126.com</w:t>
      </w:r>
      <w:r>
        <w:rPr>
          <w:rFonts w:hint="eastAsia" w:ascii="Times New Roman" w:hAnsi="Times New Roman" w:eastAsia="宋体" w:cs="Times New Roman"/>
          <w:kern w:val="0"/>
          <w:sz w:val="24"/>
        </w:rPr>
        <w:fldChar w:fldCharType="end"/>
      </w:r>
    </w:p>
    <w:p w14:paraId="76E387DE">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rPr>
      </w:pPr>
      <w:r>
        <w:rPr>
          <w:rFonts w:hint="eastAsia" w:ascii="Times New Roman" w:hAnsi="Times New Roman" w:eastAsia="宋体" w:cs="Times New Roman"/>
          <w:kern w:val="0"/>
          <w:sz w:val="24"/>
        </w:rPr>
        <w:t>Feng Chen</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rPr>
        <w:fldChar w:fldCharType="begin"/>
      </w:r>
      <w:r>
        <w:rPr>
          <w:rFonts w:hint="eastAsia" w:ascii="Times New Roman" w:hAnsi="Times New Roman" w:eastAsia="宋体" w:cs="Times New Roman"/>
          <w:kern w:val="0"/>
          <w:sz w:val="24"/>
        </w:rPr>
        <w:instrText xml:space="preserve"> HYPERLINK "mailto:fjslchenfeng@126.com" </w:instrText>
      </w:r>
      <w:r>
        <w:rPr>
          <w:rFonts w:hint="eastAsia" w:ascii="Times New Roman" w:hAnsi="Times New Roman" w:eastAsia="宋体" w:cs="Times New Roman"/>
          <w:kern w:val="0"/>
          <w:sz w:val="24"/>
        </w:rPr>
        <w:fldChar w:fldCharType="separate"/>
      </w:r>
      <w:r>
        <w:rPr>
          <w:rStyle w:val="13"/>
          <w:rFonts w:hint="eastAsia" w:ascii="Times New Roman" w:hAnsi="Times New Roman" w:eastAsia="宋体" w:cs="Times New Roman"/>
          <w:kern w:val="0"/>
          <w:sz w:val="24"/>
          <w:lang w:val="en-US" w:eastAsia="zh-CN"/>
        </w:rPr>
        <w:t>Cf9066</w:t>
      </w:r>
      <w:r>
        <w:rPr>
          <w:rStyle w:val="13"/>
          <w:rFonts w:hint="eastAsia" w:ascii="Times New Roman" w:hAnsi="Times New Roman" w:eastAsia="宋体" w:cs="Times New Roman"/>
          <w:kern w:val="0"/>
          <w:sz w:val="24"/>
        </w:rPr>
        <w:t>@126.com</w:t>
      </w:r>
      <w:r>
        <w:rPr>
          <w:rFonts w:hint="eastAsia" w:ascii="Times New Roman" w:hAnsi="Times New Roman" w:eastAsia="宋体" w:cs="Times New Roman"/>
          <w:kern w:val="0"/>
          <w:sz w:val="24"/>
        </w:rPr>
        <w:fldChar w:fldCharType="end"/>
      </w:r>
    </w:p>
    <w:p w14:paraId="3E50FCB8">
      <w:pPr>
        <w:keepNext w:val="0"/>
        <w:keepLines w:val="0"/>
        <w:pageBreakBefore w:val="0"/>
        <w:widowControl w:val="0"/>
        <w:kinsoku/>
        <w:wordWrap/>
        <w:overflowPunct/>
        <w:topLinePunct w:val="0"/>
        <w:bidi w:val="0"/>
        <w:snapToGrid/>
        <w:spacing w:line="480" w:lineRule="auto"/>
        <w:jc w:val="left"/>
        <w:textAlignment w:val="auto"/>
        <w:rPr>
          <w:rFonts w:hint="eastAsia" w:ascii="Times New Roman" w:hAnsi="Times New Roman" w:eastAsia="宋体" w:cs="Times New Roman"/>
          <w:b/>
          <w:bCs/>
          <w:kern w:val="0"/>
          <w:sz w:val="24"/>
          <w:szCs w:val="28"/>
          <w:lang w:bidi="ar"/>
        </w:rPr>
      </w:pPr>
      <w:r>
        <w:rPr>
          <w:rFonts w:hint="eastAsia" w:ascii="Times New Roman" w:hAnsi="Times New Roman" w:eastAsia="宋体" w:cs="Times New Roman"/>
          <w:b/>
          <w:bCs/>
          <w:kern w:val="0"/>
          <w:sz w:val="24"/>
          <w:szCs w:val="28"/>
          <w:lang w:bidi="ar"/>
        </w:rPr>
        <w:t xml:space="preserve">*Co-corresponding author: </w:t>
      </w:r>
    </w:p>
    <w:p w14:paraId="7F7C463F">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rPr>
      </w:pPr>
      <w:r>
        <w:rPr>
          <w:rFonts w:hint="eastAsia" w:ascii="Times New Roman" w:hAnsi="Times New Roman" w:eastAsia="宋体" w:cs="Times New Roman"/>
          <w:kern w:val="0"/>
          <w:sz w:val="24"/>
        </w:rPr>
        <w:t xml:space="preserve">Feng Chen, </w:t>
      </w:r>
    </w:p>
    <w:p w14:paraId="762F3C60">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rPr>
      </w:pPr>
      <w:r>
        <w:rPr>
          <w:rFonts w:hint="eastAsia" w:ascii="Times New Roman" w:hAnsi="Times New Roman" w:eastAsia="宋体" w:cs="Times New Roman"/>
          <w:kern w:val="0"/>
          <w:sz w:val="24"/>
        </w:rPr>
        <w:t xml:space="preserve">Tel: +86-591-8821-6152, Email: </w:t>
      </w:r>
      <w:r>
        <w:rPr>
          <w:rFonts w:hint="eastAsia" w:ascii="Times New Roman" w:hAnsi="Times New Roman" w:eastAsia="宋体" w:cs="Times New Roman"/>
          <w:kern w:val="0"/>
          <w:sz w:val="24"/>
          <w:lang w:val="en-US" w:eastAsia="zh-CN"/>
        </w:rPr>
        <w:t>Cf9066</w:t>
      </w:r>
      <w:r>
        <w:rPr>
          <w:rFonts w:hint="eastAsia" w:ascii="Times New Roman" w:hAnsi="Times New Roman" w:eastAsia="宋体" w:cs="Times New Roman"/>
          <w:kern w:val="0"/>
          <w:sz w:val="24"/>
        </w:rPr>
        <w:t>@126.com</w:t>
      </w:r>
    </w:p>
    <w:p w14:paraId="5804EB4B">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rPr>
      </w:pPr>
      <w:r>
        <w:rPr>
          <w:rFonts w:hint="eastAsia" w:ascii="Times New Roman" w:hAnsi="Times New Roman" w:eastAsia="宋体" w:cs="Times New Roman"/>
          <w:kern w:val="0"/>
          <w:sz w:val="24"/>
        </w:rPr>
        <w:t>Shirong Lin,</w:t>
      </w:r>
    </w:p>
    <w:p w14:paraId="34235834">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rPr>
      </w:pPr>
      <w:r>
        <w:rPr>
          <w:rFonts w:hint="eastAsia" w:ascii="Times New Roman" w:hAnsi="Times New Roman" w:eastAsia="宋体" w:cs="Times New Roman"/>
          <w:kern w:val="0"/>
          <w:sz w:val="24"/>
        </w:rPr>
        <w:t xml:space="preserve">Tel: +86-591-8821-7311, Email: </w:t>
      </w:r>
      <w:r>
        <w:fldChar w:fldCharType="begin"/>
      </w:r>
      <w:r>
        <w:instrText xml:space="preserve"> HYPERLINK "mailto:leopard862@126.com" </w:instrText>
      </w:r>
      <w:r>
        <w:fldChar w:fldCharType="separate"/>
      </w:r>
      <w:r>
        <w:rPr>
          <w:rFonts w:hint="eastAsia" w:ascii="Times New Roman" w:hAnsi="Times New Roman" w:eastAsia="宋体" w:cs="Times New Roman"/>
          <w:kern w:val="0"/>
          <w:sz w:val="24"/>
        </w:rPr>
        <w:t>leopard862@126.com</w:t>
      </w:r>
      <w:r>
        <w:rPr>
          <w:rFonts w:hint="eastAsia" w:ascii="Times New Roman" w:hAnsi="Times New Roman" w:eastAsia="宋体" w:cs="Times New Roman"/>
          <w:kern w:val="0"/>
          <w:sz w:val="24"/>
        </w:rPr>
        <w:fldChar w:fldCharType="end"/>
      </w:r>
    </w:p>
    <w:p w14:paraId="1005231C">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default" w:ascii="Times New Roman" w:hAnsi="Times New Roman" w:eastAsia="宋体" w:cs="Times New Roman"/>
          <w:kern w:val="0"/>
          <w:sz w:val="24"/>
          <w:lang w:val="en-US" w:eastAsia="zh-CN"/>
        </w:rPr>
      </w:pPr>
      <w:r>
        <w:rPr>
          <w:rFonts w:hint="eastAsia" w:ascii="Times New Roman" w:hAnsi="Times New Roman" w:eastAsia="宋体" w:cs="Times New Roman"/>
          <w:b/>
          <w:bCs/>
          <w:kern w:val="0"/>
          <w:sz w:val="24"/>
        </w:rPr>
        <w:t>Word count:</w:t>
      </w:r>
      <w:r>
        <w:rPr>
          <w:rFonts w:hint="eastAsia" w:ascii="Times New Roman" w:hAnsi="Times New Roman" w:eastAsia="宋体" w:cs="Times New Roman"/>
          <w:kern w:val="0"/>
          <w:sz w:val="24"/>
          <w:lang w:val="en-US" w:eastAsia="zh-CN"/>
        </w:rPr>
        <w:t xml:space="preserve"> 4676</w:t>
      </w:r>
    </w:p>
    <w:p w14:paraId="738D1922">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5E726C69">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15242B19">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15A087C7">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52606081">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37530F34">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0A667258">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1059398D">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084F42DA">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19834F17">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713207EB">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1E80C131">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692C33A0">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49F28895">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10076862">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pPr>
    </w:p>
    <w:p w14:paraId="6DC28731">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hint="eastAsia" w:ascii="Times New Roman" w:hAnsi="Times New Roman" w:eastAsia="宋体" w:cs="Times New Roman"/>
          <w:kern w:val="0"/>
          <w:sz w:val="24"/>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kern w:val="0"/>
          <w:sz w:val="24"/>
          <w:lang w:val="en-US" w:eastAsia="zh-CN"/>
        </w:rPr>
        <w:t xml:space="preserve">                                                           </w:t>
      </w:r>
    </w:p>
    <w:p w14:paraId="1DA8CC4B">
      <w:pPr>
        <w:keepNext w:val="0"/>
        <w:keepLines w:val="0"/>
        <w:pageBreakBefore w:val="0"/>
        <w:widowControl w:val="0"/>
        <w:kinsoku/>
        <w:wordWrap/>
        <w:overflowPunct/>
        <w:topLinePunct w:val="0"/>
        <w:autoSpaceDE w:val="0"/>
        <w:autoSpaceDN w:val="0"/>
        <w:bidi w:val="0"/>
        <w:adjustRightInd w:val="0"/>
        <w:snapToGrid/>
        <w:spacing w:after="156" w:afterLines="50" w:line="480" w:lineRule="auto"/>
        <w:textAlignment w:val="auto"/>
        <w:rPr>
          <w:rFonts w:ascii="Times New Roman" w:hAnsi="Times New Roman" w:cs="Times New Roman"/>
          <w:b/>
          <w:bCs/>
          <w:sz w:val="28"/>
          <w:szCs w:val="28"/>
        </w:rPr>
      </w:pPr>
      <w:r>
        <w:rPr>
          <w:rFonts w:ascii="Times New Roman" w:hAnsi="Times New Roman" w:cs="Times New Roman"/>
          <w:b/>
          <w:bCs/>
          <w:sz w:val="28"/>
          <w:szCs w:val="28"/>
        </w:rPr>
        <w:t>Abstract</w:t>
      </w:r>
    </w:p>
    <w:p w14:paraId="6018ECFD">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Background</w:t>
      </w:r>
    </w:p>
    <w:p w14:paraId="48108A85">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highlight w:val="none"/>
        </w:rPr>
        <w:t>Acute panc</w:t>
      </w:r>
      <w:r>
        <w:rPr>
          <w:rFonts w:hint="eastAsia" w:ascii="Times New Roman" w:hAnsi="Times New Roman" w:cs="Times New Roman"/>
          <w:sz w:val="24"/>
          <w:szCs w:val="24"/>
        </w:rPr>
        <w:t>reatitis (AP) progression to severe acute pancreatitis (SAP) carries high mortality and healthcare burden, with current prognostic tools limited by delayed results or single-time-point biomarkers. The blood urea nitrogen/creatinine ratio (BCR) is a promising prognostic indicator, but its dynamic trajectory</w:t>
      </w:r>
      <w:r>
        <w:rPr>
          <w:rFonts w:ascii="Times New Roman" w:hAnsi="Times New Roman" w:cs="Times New Roman"/>
          <w:sz w:val="24"/>
          <w:szCs w:val="24"/>
        </w:rPr>
        <w:t>’</w:t>
      </w:r>
      <w:r>
        <w:rPr>
          <w:rFonts w:hint="eastAsia" w:ascii="Times New Roman" w:hAnsi="Times New Roman" w:cs="Times New Roman"/>
          <w:sz w:val="24"/>
          <w:szCs w:val="24"/>
        </w:rPr>
        <w:t>s link to mortality in critically ill AP patients remains unclear.</w:t>
      </w:r>
    </w:p>
    <w:p w14:paraId="77396DCD">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 xml:space="preserve">Methods </w:t>
      </w:r>
    </w:p>
    <w:p w14:paraId="14554CFC">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highlight w:val="none"/>
        </w:rPr>
      </w:pPr>
      <w:r>
        <w:rPr>
          <w:rFonts w:ascii="Times New Roman" w:hAnsi="Times New Roman" w:cs="Times New Roman"/>
          <w:sz w:val="24"/>
          <w:szCs w:val="24"/>
          <w:highlight w:val="none"/>
        </w:rPr>
        <w:t>This study aimed to investigate the association between BCR trajectories and all-cause mortality at 28 and 90 days in AP patients. Data were extracted from the  Medical Information Mart for Intensive Care IV (MIMIC-IV) database (Version 3.0)</w:t>
      </w:r>
      <w:r>
        <w:rPr>
          <w:rFonts w:hint="eastAsia" w:ascii="Times New Roman" w:hAnsi="Times New Roman" w:cs="Times New Roman"/>
          <w:sz w:val="24"/>
          <w:szCs w:val="24"/>
          <w:highlight w:val="none"/>
          <w:lang w:val="en-US" w:eastAsia="zh-CN"/>
        </w:rPr>
        <w:t>.</w:t>
      </w:r>
      <w:r>
        <w:rPr>
          <w:rFonts w:ascii="Times New Roman" w:hAnsi="Times New Roman" w:cs="Times New Roman"/>
          <w:sz w:val="24"/>
          <w:szCs w:val="24"/>
          <w:highlight w:val="none"/>
        </w:rPr>
        <w:t xml:space="preserve"> Group-based trajectory modeling (GBTM) was applied to identify distinct BCR trajectory patterns using the first valid paired BUN–creatinine measurement within each of three predefined time windows (0</w:t>
      </w:r>
      <w:r>
        <w:rPr>
          <w:rFonts w:hint="eastAsia" w:ascii="Times New Roman" w:hAnsi="Times New Roman" w:cs="Times New Roman"/>
          <w:sz w:val="24"/>
          <w:szCs w:val="24"/>
          <w:highlight w:val="none"/>
          <w:lang w:val="en-US" w:eastAsia="zh-CN"/>
        </w:rPr>
        <w:t>-</w:t>
      </w:r>
      <w:r>
        <w:rPr>
          <w:rFonts w:ascii="Times New Roman" w:hAnsi="Times New Roman" w:cs="Times New Roman"/>
          <w:sz w:val="24"/>
          <w:szCs w:val="24"/>
          <w:highlight w:val="none"/>
        </w:rPr>
        <w:t>24h</w:t>
      </w:r>
      <w:r>
        <w:rPr>
          <w:rFonts w:hint="eastAsia" w:ascii="Times New Roman" w:hAnsi="Times New Roman" w:cs="Times New Roman"/>
          <w:sz w:val="24"/>
          <w:szCs w:val="24"/>
          <w:highlight w:val="none"/>
          <w:lang w:val="en-US" w:eastAsia="zh-CN"/>
        </w:rPr>
        <w:t>,</w:t>
      </w:r>
      <w:r>
        <w:rPr>
          <w:rFonts w:ascii="Times New Roman" w:hAnsi="Times New Roman" w:cs="Times New Roman"/>
          <w:sz w:val="24"/>
          <w:szCs w:val="24"/>
          <w:highlight w:val="none"/>
        </w:rPr>
        <w:t xml:space="preserve"> 24</w:t>
      </w:r>
      <w:r>
        <w:rPr>
          <w:rFonts w:hint="eastAsia" w:ascii="Times New Roman" w:hAnsi="Times New Roman" w:cs="Times New Roman"/>
          <w:sz w:val="24"/>
          <w:szCs w:val="24"/>
          <w:highlight w:val="none"/>
          <w:lang w:val="en-US" w:eastAsia="zh-CN"/>
        </w:rPr>
        <w:t>-</w:t>
      </w:r>
      <w:r>
        <w:rPr>
          <w:rFonts w:ascii="Times New Roman" w:hAnsi="Times New Roman" w:cs="Times New Roman"/>
          <w:sz w:val="24"/>
          <w:szCs w:val="24"/>
          <w:highlight w:val="none"/>
        </w:rPr>
        <w:t>48h, and 48</w:t>
      </w:r>
      <w:r>
        <w:rPr>
          <w:rFonts w:hint="eastAsia" w:ascii="Times New Roman" w:hAnsi="Times New Roman" w:cs="Times New Roman"/>
          <w:sz w:val="24"/>
          <w:szCs w:val="24"/>
          <w:highlight w:val="none"/>
          <w:lang w:val="en-US" w:eastAsia="zh-CN"/>
        </w:rPr>
        <w:t>-</w:t>
      </w:r>
      <w:r>
        <w:rPr>
          <w:rFonts w:ascii="Times New Roman" w:hAnsi="Times New Roman" w:cs="Times New Roman"/>
          <w:sz w:val="24"/>
          <w:szCs w:val="24"/>
          <w:highlight w:val="none"/>
        </w:rPr>
        <w:t xml:space="preserve">72 h post-ICU admission). Kaplan–Meier curves with log-rank tests were used to compare survival outcomes across trajectory groups. Cox proportional hazards models—Crude (unadjusted), </w:t>
      </w:r>
      <w:r>
        <w:rPr>
          <w:rFonts w:hint="eastAsia" w:ascii="Times New Roman" w:hAnsi="Times New Roman" w:cs="Times New Roman"/>
          <w:sz w:val="24"/>
          <w:szCs w:val="24"/>
          <w:highlight w:val="none"/>
        </w:rPr>
        <w:t>Model I (adjusted for age, sex, Sequential Organ Failure Assessment [SOFA] score, intensive care unit length of stay [LOS], and Continuous Renal Replacement Therapy [CRRT])</w:t>
      </w:r>
      <w:r>
        <w:rPr>
          <w:rFonts w:ascii="Times New Roman" w:hAnsi="Times New Roman" w:cs="Times New Roman"/>
          <w:sz w:val="24"/>
          <w:szCs w:val="24"/>
          <w:highlight w:val="none"/>
        </w:rPr>
        <w:t>, and Parsimonious Primary Model (additionally adjusted for albumin, norepinephrine, and ventilation)—were constructed to examine the association between BCR trajectories and mortality risk. Subgroup analyses with interaction tests were performed to assess the robustness of the findings.</w:t>
      </w:r>
    </w:p>
    <w:p w14:paraId="4B7DD074">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Results</w:t>
      </w:r>
    </w:p>
    <w:p w14:paraId="5035D41F">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b/>
          <w:bCs/>
          <w:sz w:val="24"/>
          <w:szCs w:val="24"/>
          <w:highlight w:val="none"/>
        </w:rPr>
      </w:pPr>
      <w:r>
        <w:rPr>
          <w:rFonts w:hint="eastAsia" w:ascii="Times New Roman" w:hAnsi="Times New Roman" w:cs="Times New Roman"/>
          <w:sz w:val="24"/>
          <w:szCs w:val="24"/>
          <w:lang w:val="en-US" w:eastAsia="zh-CN"/>
        </w:rPr>
        <w:t>Among 606 eligible patients, four BCR trajectories were identified: moderate-stable (44.7%), low-stable (39.8%), descend-ascend (2.1%), and high-stable (13.4%; Class 4). Patients in Class 4 had significantly higher 28- and 90-day mortality. After multivariable adjustment, Class 4 remained independently associated with 28-day mortality (HR 3.05, 95% CI 1.58–5.89, P&lt;0.001) and 90-day mortality (HR 1.95, 95% CI 1.21–3.13, P=0.006). Subgroup analyses revealed no significant interactions (all P for interaction &gt;0.05).</w:t>
      </w:r>
    </w:p>
    <w:p w14:paraId="4C2B1821">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Conclusions</w:t>
      </w:r>
    </w:p>
    <w:p w14:paraId="0EF2C6D4">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highlight w:val="none"/>
        </w:rPr>
      </w:pPr>
      <w:r>
        <w:rPr>
          <w:rFonts w:hint="eastAsia" w:ascii="Times New Roman" w:hAnsi="Times New Roman" w:cs="Times New Roman"/>
          <w:sz w:val="24"/>
          <w:szCs w:val="24"/>
          <w:lang w:val="en-US" w:eastAsia="zh-CN"/>
        </w:rPr>
        <w:t>Dynamic BCR trajectories are independently associated with 28- and 90-day all-cause mortality in acute pancreatitis, with the high-stable trajectory (Class 4) conferring the greatest mortality risk. BCR trajectory assessment may inform early risk stratification, although its clinical utility and impact on outcomes require prospective validation.</w:t>
      </w:r>
    </w:p>
    <w:p w14:paraId="74CC299B">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highlight w:val="none"/>
        </w:rPr>
      </w:pPr>
      <w:r>
        <w:rPr>
          <w:rFonts w:ascii="Times New Roman" w:hAnsi="Times New Roman" w:cs="Times New Roman"/>
          <w:b/>
          <w:bCs/>
          <w:sz w:val="24"/>
          <w:szCs w:val="24"/>
          <w:highlight w:val="none"/>
        </w:rPr>
        <w:t>Keywords:</w:t>
      </w:r>
      <w:r>
        <w:rPr>
          <w:rFonts w:hint="eastAsia" w:ascii="Times New Roman" w:hAnsi="Times New Roman" w:cs="Times New Roman"/>
          <w:b/>
          <w:bCs/>
          <w:sz w:val="24"/>
          <w:szCs w:val="24"/>
          <w:highlight w:val="none"/>
          <w:lang w:val="en-US" w:eastAsia="zh-CN"/>
        </w:rPr>
        <w:t xml:space="preserve"> </w:t>
      </w:r>
      <w:r>
        <w:rPr>
          <w:rFonts w:ascii="Times New Roman" w:hAnsi="Times New Roman" w:cs="Times New Roman"/>
          <w:sz w:val="24"/>
          <w:szCs w:val="24"/>
        </w:rPr>
        <w:t xml:space="preserve">acute pancreatitis, BCR, </w:t>
      </w:r>
      <w:r>
        <w:rPr>
          <w:rFonts w:hint="eastAsia" w:ascii="Times New Roman" w:hAnsi="Times New Roman" w:cs="Times New Roman"/>
          <w:sz w:val="24"/>
          <w:szCs w:val="24"/>
        </w:rPr>
        <w:t xml:space="preserve">MIMIC-IV, </w:t>
      </w:r>
      <w:r>
        <w:rPr>
          <w:rFonts w:ascii="Times New Roman" w:hAnsi="Times New Roman" w:cs="Times New Roman"/>
          <w:sz w:val="24"/>
          <w:szCs w:val="24"/>
        </w:rPr>
        <w:t>trajectories analysis, ICU</w:t>
      </w:r>
    </w:p>
    <w:p w14:paraId="3A1BC24A">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rPr>
      </w:pPr>
    </w:p>
    <w:p w14:paraId="748DE5B8">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rPr>
      </w:pPr>
    </w:p>
    <w:p w14:paraId="1F3E5902">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rPr>
      </w:pPr>
    </w:p>
    <w:p w14:paraId="2E8D15DF">
      <w:pPr>
        <w:keepNext w:val="0"/>
        <w:keepLines w:val="0"/>
        <w:pageBreakBefore w:val="0"/>
        <w:widowControl/>
        <w:kinsoku/>
        <w:wordWrap/>
        <w:overflowPunct/>
        <w:topLinePunct w:val="0"/>
        <w:bidi w:val="0"/>
        <w:snapToGrid/>
        <w:spacing w:line="480" w:lineRule="auto"/>
        <w:jc w:val="left"/>
        <w:textAlignment w:val="auto"/>
        <w:rPr>
          <w:rFonts w:ascii="Times New Roman" w:hAnsi="Times New Roman" w:cs="Times New Roman"/>
        </w:rPr>
      </w:pPr>
      <w:r>
        <w:rPr>
          <w:rFonts w:ascii="Times New Roman" w:hAnsi="Times New Roman" w:cs="Times New Roman"/>
        </w:rPr>
        <w:br w:type="page"/>
      </w:r>
    </w:p>
    <w:p w14:paraId="7C74A916">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rPr>
      </w:pPr>
      <w:r>
        <w:rPr>
          <w:rFonts w:ascii="Times New Roman" w:hAnsi="Times New Roman" w:cs="Times New Roman"/>
          <w:b/>
          <w:bCs/>
          <w:sz w:val="28"/>
          <w:szCs w:val="28"/>
        </w:rPr>
        <w:t>Introduction</w:t>
      </w:r>
    </w:p>
    <w:p w14:paraId="67019719">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 xml:space="preserve">Acute Pancreatitis (AP) is a prevalent digestive condition worldwide </w:t>
      </w:r>
      <w:r>
        <w:rPr>
          <w:rFonts w:ascii="Times New Roman" w:hAnsi="Times New Roman" w:cs="Times New Roman"/>
          <w:sz w:val="24"/>
          <w:szCs w:val="24"/>
        </w:rPr>
        <w:t xml:space="preserve">characterized by the acute onset of pancreatic inflammation, which may lead to life-threatening complications. </w:t>
      </w:r>
      <w:r>
        <w:rPr>
          <w:rFonts w:hint="eastAsia" w:ascii="Times New Roman" w:hAnsi="Times New Roman" w:cs="Times New Roman"/>
          <w:sz w:val="24"/>
          <w:szCs w:val="24"/>
        </w:rPr>
        <w:t xml:space="preserve">It is estimated that the annual incidence of AP worldwide is 13-49 cases per 100,000 people. </w:t>
      </w:r>
      <w:r>
        <w:rPr>
          <w:rFonts w:ascii="Times New Roman" w:hAnsi="Times New Roman" w:cs="Times New Roman"/>
          <w:sz w:val="24"/>
          <w:szCs w:val="24"/>
        </w:rPr>
        <w:t>Over the past decade, the number of hospitalizations due to AP has increased by approximately 30%</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&lt;EndNote&gt;&lt;Cite&gt;&lt;Author&gt;Yadav&lt;/Author&gt;&lt;Year&gt;2013&lt;/Year&gt;&lt;RecNum&gt;1&lt;/RecNum&gt;&lt;DisplayText&gt;[1]&lt;/DisplayText&gt;&lt;record&gt;&lt;rec-number&gt;1&lt;/rec-number&gt;&lt;foreign-keys&gt;&lt;key app="EN" db-id="vw2sr5vvldww50et259xtp2mfpxar95s25ez" timestamp="1769919318"&gt;1&lt;/key&gt;&lt;/foreign-keys&gt;&lt;ref-type name="Journal Article"&gt;17&lt;/ref-type&gt;&lt;contributors&gt;&lt;authors&gt;&lt;author&gt;Yadav, Dhiraj&lt;/author&gt;&lt;author&gt;Lowenfels, Albert B.&lt;/author&gt;&lt;/authors&gt;&lt;/contributors&gt;&lt;titles&gt;&lt;title&gt;The Epidemiology of Pancreatitis and Pancreatic Cancer&lt;/title&gt;&lt;secondary-title&gt;Gastroenterology&lt;/secondary-title&gt;&lt;/titles&gt;&lt;pages&gt;1252-1261&lt;/pages&gt;&lt;volume&gt;144&lt;/volume&gt;&lt;number&gt;6&lt;/number&gt;&lt;section&gt;1252&lt;/section&gt;&lt;dates&gt;&lt;year&gt;2013&lt;/year&gt;&lt;/dates&gt;&lt;isbn&gt;00165085&lt;/isbn&gt;&lt;urls&gt;&lt;/urls&gt;&lt;electronic-resource-num&gt;10.1053/j.gastro.2013.01.068&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w:t>
      </w:r>
      <w:r>
        <w:rPr>
          <w:rFonts w:ascii="Times New Roman" w:hAnsi="Times New Roman" w:cs="Times New Roman"/>
          <w:sz w:val="24"/>
          <w:szCs w:val="24"/>
        </w:rPr>
        <w:fldChar w:fldCharType="end"/>
      </w:r>
      <w:r>
        <w:rPr>
          <w:rFonts w:ascii="Times New Roman" w:hAnsi="Times New Roman" w:cs="Times New Roman"/>
          <w:sz w:val="24"/>
          <w:szCs w:val="24"/>
        </w:rPr>
        <w:t xml:space="preserve">, imposing a substantial economic and disease burden on healthcare systems. </w:t>
      </w:r>
      <w:r>
        <w:rPr>
          <w:rFonts w:hint="eastAsia" w:ascii="Times New Roman" w:hAnsi="Times New Roman" w:cs="Times New Roman"/>
          <w:sz w:val="24"/>
          <w:szCs w:val="24"/>
        </w:rPr>
        <w:t xml:space="preserve">Roughly 20% to 30% of </w:t>
      </w:r>
      <w:r>
        <w:rPr>
          <w:rFonts w:ascii="Times New Roman" w:hAnsi="Times New Roman" w:cs="Times New Roman"/>
          <w:sz w:val="24"/>
          <w:szCs w:val="24"/>
        </w:rPr>
        <w:t>AP patients</w:t>
      </w:r>
      <w:r>
        <w:rPr>
          <w:rFonts w:hint="eastAsia" w:ascii="Times New Roman" w:hAnsi="Times New Roman" w:cs="Times New Roman"/>
          <w:sz w:val="24"/>
          <w:szCs w:val="24"/>
        </w:rPr>
        <w:t xml:space="preserve"> develop Severe Acute Pancreatitis (SAP), which is associated with a mortality rate as high as 20%</w:t>
      </w:r>
      <w:r>
        <w:rPr>
          <w:rFonts w:hint="eastAsia"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&lt;EndNote&gt;&lt;Cite&gt;&lt;Author&gt;Szatmary&lt;/Author&gt;&lt;Year&gt;2022&lt;/Year&gt;&lt;RecNum&gt;12&lt;/RecNum&gt;&lt;DisplayText&gt;[2, 3]&lt;/DisplayText&gt;&lt;record&gt;&lt;rec-number&gt;12&lt;/rec-number&gt;&lt;foreign-keys&gt;&lt;key app="EN" db-id="vw2sr5vvldww50et259xtp2mfpxar95s25ez" timestamp="1769919630"&gt;12&lt;/key&gt;&lt;/foreign-keys&gt;&lt;ref-type name="Journal Article"&gt;17&lt;/ref-type&gt;&lt;contributors&gt;&lt;authors&gt;&lt;author&gt;Szatmary, Peter&lt;/author&gt;&lt;author&gt;Grammatikopoulos, Tassos&lt;/author&gt;&lt;author&gt;Cai, Wenhao&lt;/author&gt;&lt;author&gt;Huang, Wei&lt;/author&gt;&lt;author&gt;Mukherjee, Rajarshi&lt;/author&gt;&lt;author&gt;Halloran, Chris&lt;/author&gt;&lt;author&gt;Beyer, Georg&lt;/author&gt;&lt;author&gt;Sutton, Robert&lt;/author&gt;&lt;/authors&gt;&lt;/contributors&gt;&lt;titles&gt;&lt;title&gt;Acute Pancreatitis: Diagnosis and Treatment&lt;/title&gt;&lt;secondary-title&gt;Drugs&lt;/secondary-title&gt;&lt;/titles&gt;&lt;pages&gt;1251-1276&lt;/pages&gt;&lt;volume&gt;82&lt;/volume&gt;&lt;number&gt;12&lt;/number&gt;&lt;section&gt;1251&lt;/section&gt;&lt;dates&gt;&lt;year&gt;2022&lt;/year&gt;&lt;/dates&gt;&lt;isbn&gt;0012-6667&amp;#xD;1179-1950&lt;/isbn&gt;&lt;urls&gt;&lt;/urls&gt;&lt;electronic-resource-num&gt;10.1007/s40265-022-01766-4&lt;/electronic-resource-num&gt;&lt;/record&gt;&lt;/Cite&gt;&lt;Cite&gt;&lt;Author&gt;Beij&lt;/Author&gt;&lt;Year&gt;2025&lt;/Year&gt;&lt;RecNum&gt;18&lt;/RecNum&gt;&lt;record&gt;&lt;rec-number&gt;18&lt;/rec-number&gt;&lt;foreign-keys&gt;&lt;key app="EN" db-id="vw2sr5vvldww50et259xtp2mfpxar95s25ez" timestamp="1769919665"&gt;18&lt;/key&gt;&lt;/foreign-keys&gt;&lt;ref-type name="Journal Article"&gt;17&lt;/ref-type&gt;&lt;contributors&gt;&lt;authors&gt;&lt;author&gt;Beij, Astrid&lt;/author&gt;&lt;author&gt;Verdonk, Robert C.&lt;/author&gt;&lt;author&gt;van Santvoort, Hjalmar C.&lt;/author&gt;&lt;author&gt;de‐Madaria, Enrique&lt;/author&gt;&lt;author&gt;Voermans, Rogier P.&lt;/author&gt;&lt;/authors&gt;&lt;/contributors&gt;&lt;titles&gt;&lt;title&gt;Acute Pancreatitis: An Update of Evidence‐Based Management and Recent Trends in Treatment Strategies&lt;/title&gt;&lt;secondary-title&gt;United European Gastroenterology Journal&lt;/secondary-title&gt;&lt;/titles&gt;&lt;pages&gt;97-106&lt;/pages&gt;&lt;volume&gt;13&lt;/volume&gt;&lt;number&gt;1&lt;/number&gt;&lt;section&gt;97&lt;/section&gt;&lt;dates&gt;&lt;year&gt;2025&lt;/year&gt;&lt;/dates&gt;&lt;isbn&gt;2050-6406&amp;#xD;2050-6414&lt;/isbn&gt;&lt;urls&gt;&lt;/urls&gt;&lt;electronic-resource-num&gt;10.1002/ueg2.12743&lt;/electronic-resource-num&gt;&lt;/record&gt;&lt;/Cite&gt;&lt;/EndNote&gt;</w:instrText>
      </w:r>
      <w:r>
        <w:rPr>
          <w:rFonts w:hint="eastAsia"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[2, 3]</w:t>
      </w:r>
      <w:r>
        <w:rPr>
          <w:rFonts w:hint="eastAsia" w:ascii="Times New Roman" w:hAnsi="Times New Roman" w:cs="Times New Roman"/>
          <w:sz w:val="24"/>
          <w:szCs w:val="24"/>
        </w:rPr>
        <w:fldChar w:fldCharType="end"/>
      </w:r>
      <w:r>
        <w:rPr>
          <w:rFonts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The high mortality of SAP underscores the urgent need for early and accurate prognostic tools. </w:t>
      </w:r>
      <w:r>
        <w:rPr>
          <w:rFonts w:hint="eastAsia" w:ascii="Times New Roman" w:hAnsi="Times New Roman" w:cs="Times New Roman"/>
          <w:sz w:val="24"/>
          <w:szCs w:val="24"/>
        </w:rPr>
        <w:t>Timely recognition of high-risk individuals with AP enables tailored measures to be implemented, such as refined fluid resuscitation strategies and proactive infection management, which in turn delay disease progression and improve patient outcomes</w:t>
      </w:r>
      <w:r>
        <w:rPr>
          <w:rFonts w:hint="eastAsia"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&lt;EndNote&gt;&lt;Cite&gt;&lt;Author&gt;Beij&lt;/Author&gt;&lt;Year&gt;2025&lt;/Year&gt;&lt;RecNum&gt;18&lt;/RecNum&gt;&lt;DisplayText&gt;[3]&lt;/DisplayText&gt;&lt;record&gt;&lt;rec-number&gt;18&lt;/rec-number&gt;&lt;foreign-keys&gt;&lt;key app="EN" db-id="vw2sr5vvldww50et259xtp2mfpxar95s25ez" timestamp="1769919665"&gt;18&lt;/key&gt;&lt;/foreign-keys&gt;&lt;ref-type name="Journal Article"&gt;17&lt;/ref-type&gt;&lt;contributors&gt;&lt;authors&gt;&lt;author&gt;Beij, Astrid&lt;/author&gt;&lt;author&gt;Verdonk, Robert C.&lt;/author&gt;&lt;author&gt;van Santvoort, Hjalmar C.&lt;/author&gt;&lt;author&gt;de‐Madaria, Enrique&lt;/author&gt;&lt;author&gt;Voermans, Rogier P.&lt;/author&gt;&lt;/authors&gt;&lt;/contributors&gt;&lt;titles&gt;&lt;title&gt;Acute Pancreatitis: An Update of Evidence‐Based Management and Recent Trends in Treatment Strategies&lt;/title&gt;&lt;secondary-title&gt;United European Gastroenterology Journal&lt;/secondary-title&gt;&lt;/titles&gt;&lt;pages&gt;97-106&lt;/pages&gt;&lt;volume&gt;13&lt;/volume&gt;&lt;number&gt;1&lt;/number&gt;&lt;section&gt;97&lt;/section&gt;&lt;dates&gt;&lt;year&gt;2025&lt;/year&gt;&lt;/dates&gt;&lt;isbn&gt;2050-6406&amp;#xD;2050-6414&lt;/isbn&gt;&lt;urls&gt;&lt;/urls&gt;&lt;electronic-resource-num&gt;10.1002/ueg2.12743&lt;/electronic-resource-num&gt;&lt;/record&gt;&lt;/Cite&gt;&lt;/EndNote&gt;</w:instrText>
      </w:r>
      <w:r>
        <w:rPr>
          <w:rFonts w:hint="eastAsia"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[3]</w:t>
      </w:r>
      <w:r>
        <w:rPr>
          <w:rFonts w:hint="eastAsia" w:ascii="Times New Roman" w:hAnsi="Times New Roman" w:cs="Times New Roman"/>
          <w:sz w:val="24"/>
          <w:szCs w:val="24"/>
        </w:rPr>
        <w:fldChar w:fldCharType="end"/>
      </w:r>
      <w:r>
        <w:rPr>
          <w:rFonts w:ascii="Times New Roman" w:hAnsi="Times New Roman" w:cs="Times New Roman"/>
          <w:sz w:val="24"/>
          <w:szCs w:val="24"/>
        </w:rPr>
        <w:t>. However, current methods for prognostic assessment in AP still have limitations.</w:t>
      </w:r>
      <w:bookmarkStart w:id="0" w:name="OLE_LINK4"/>
    </w:p>
    <w:p w14:paraId="0A52609A">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 xml:space="preserve">Existing severity assessment tools, such as the Balthazar Computed Tomography (CT) Severity Index, the Bedside Index for Severity in Acute Pancreatitis (BISAP), and the Acute Physiology and Chronic Health Evaluation II (APACHE-II), rely on the comprehensive evaluation of clinical, radiological, and laboratory parameters. </w:t>
      </w:r>
      <w:bookmarkEnd w:id="0"/>
      <w:r>
        <w:rPr>
          <w:rFonts w:ascii="Times New Roman" w:hAnsi="Times New Roman" w:cs="Times New Roman"/>
          <w:sz w:val="24"/>
          <w:szCs w:val="24"/>
        </w:rPr>
        <w:t>Although these tools can provide valuable stratification information, they have inherent drawbacks: complex data collection, delayed availability (e.g., CT-based scoring can only detect necrosis 3-5 days after onset), and susceptibility to inter-observer variability</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&lt;EndNote&gt;&lt;Cite&gt;&lt;Author&gt;Szatmary&lt;/Author&gt;&lt;Year&gt;2022&lt;/Year&gt;&lt;RecNum&gt;12&lt;/RecNum&gt;&lt;DisplayText&gt;[2, 4]&lt;/DisplayText&gt;&lt;record&gt;&lt;rec-number&gt;12&lt;/rec-number&gt;&lt;foreign-keys&gt;&lt;key app="EN" db-id="vw2sr5vvldww50et259xtp2mfpxar95s25ez" timestamp="1769919630"&gt;12&lt;/key&gt;&lt;/foreign-keys&gt;&lt;ref-type name="Journal Article"&gt;17&lt;/ref-type&gt;&lt;contributors&gt;&lt;authors&gt;&lt;author&gt;Szatmary, Peter&lt;/author&gt;&lt;author&gt;Grammatikopoulos, Tassos&lt;/author&gt;&lt;author&gt;Cai, Wenhao&lt;/author&gt;&lt;author&gt;Huang, Wei&lt;/author&gt;&lt;author&gt;Mukherjee, Rajarshi&lt;/author&gt;&lt;author&gt;Halloran, Chris&lt;/author&gt;&lt;author&gt;Beyer, Georg&lt;/author&gt;&lt;author&gt;Sutton, Robert&lt;/author&gt;&lt;/authors&gt;&lt;/contributors&gt;&lt;titles&gt;&lt;title&gt;Acute Pancreatitis: Diagnosis and Treatment&lt;/title&gt;&lt;secondary-title&gt;Drugs&lt;/secondary-title&gt;&lt;/titles&gt;&lt;pages&gt;1251-1276&lt;/pages&gt;&lt;volume&gt;82&lt;/volume&gt;&lt;number&gt;12&lt;/number&gt;&lt;section&gt;1251&lt;/section&gt;&lt;dates&gt;&lt;year&gt;2022&lt;/year&gt;&lt;/dates&gt;&lt;isbn&gt;0012-6667&amp;#xD;1179-1950&lt;/isbn&gt;&lt;urls&gt;&lt;/urls&gt;&lt;electronic-resource-num&gt;10.1007/s40265-022-01766-4&lt;/electronic-resource-num&gt;&lt;/record&gt;&lt;/Cite&gt;&lt;Cite&gt;&lt;Author&gt;Wan&lt;/Author&gt;&lt;Year&gt;2025&lt;/Year&gt;&lt;RecNum&gt;19&lt;/RecNum&gt;&lt;record&gt;&lt;rec-number&gt;19&lt;/rec-number&gt;&lt;foreign-keys&gt;&lt;key app="EN" db-id="vw2sr5vvldww50et259xtp2mfpxar95s25ez" timestamp="1769919669"&gt;19&lt;/key&gt;&lt;/foreign-keys&gt;&lt;ref-type name="Journal Article"&gt;17&lt;/ref-type&gt;&lt;contributors&gt;&lt;authors&gt;&lt;author&gt;Wan, Yu&lt;/author&gt;&lt;author&gt;Hu, Qiong&lt;/author&gt;&lt;author&gt;Shi, Jing&lt;/author&gt;&lt;author&gt;Liu, Limei&lt;/author&gt;&lt;author&gt;Zhang, Xiangsong&lt;/author&gt;&lt;author&gt;Huang, Jianjun&lt;/author&gt;&lt;author&gt;Wang, Haijiu&lt;/author&gt;&lt;/authors&gt;&lt;/contributors&gt;&lt;titles&gt;&lt;title&gt;J-shaped association between blood urea nitrogen-to-creatinine ratio and mortality in critically ill patients with acute pancreatitis: a retrospective cohort study using the MIMIC-IV database&lt;/title&gt;&lt;secondary-title&gt;European Journal of Medical Research&lt;/secondary-title&gt;&lt;/titles&gt;&lt;volume&gt;30&lt;/volume&gt;&lt;number&gt;1&lt;/number&gt;&lt;dates&gt;&lt;year&gt;2025&lt;/year&gt;&lt;/dates&gt;&lt;isbn&gt;2047-783X&lt;/isbn&gt;&lt;urls&gt;&lt;/urls&gt;&lt;electronic-resource-num&gt;10.1186/s40001-025-02430-9&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[2, 4]</w:t>
      </w:r>
      <w:r>
        <w:rPr>
          <w:rFonts w:ascii="Times New Roman" w:hAnsi="Times New Roman" w:cs="Times New Roman"/>
          <w:sz w:val="24"/>
          <w:szCs w:val="24"/>
        </w:rPr>
        <w:fldChar w:fldCharType="end"/>
      </w:r>
      <w:r>
        <w:rPr>
          <w:rFonts w:ascii="Times New Roman" w:hAnsi="Times New Roman" w:cs="Times New Roman"/>
          <w:sz w:val="24"/>
          <w:szCs w:val="24"/>
        </w:rPr>
        <w:t>. Single biomarkers, such as serum creatinine (Cr)</w:t>
      </w:r>
      <w:r>
        <w:rPr>
          <w:rFonts w:hint="eastAsia" w:ascii="Times New Roman" w:hAnsi="Times New Roman" w:cs="Times New Roman"/>
          <w:sz w:val="24"/>
          <w:szCs w:val="24"/>
        </w:rPr>
        <w:t xml:space="preserve"> or </w:t>
      </w:r>
      <w:r>
        <w:rPr>
          <w:rFonts w:ascii="Times New Roman" w:hAnsi="Times New Roman" w:cs="Times New Roman"/>
          <w:sz w:val="24"/>
          <w:szCs w:val="24"/>
        </w:rPr>
        <w:t>blood urea nitrogen (BUN), have been proposed as simpler alternatives due to their routine availability and correlation with SAP severity</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&lt;EndNote&gt;&lt;Cite&gt;&lt;Author&gt;Hong&lt;/Author&gt;&lt;Year&gt;2017&lt;/Year&gt;&lt;RecNum&gt;20&lt;/RecNum&gt;&lt;DisplayText&gt;[5]&lt;/DisplayText&gt;&lt;record&gt;&lt;rec-number&gt;20&lt;/rec-number&gt;&lt;foreign-keys&gt;&lt;key app="EN" db-id="vw2sr5vvldww50et259xtp2mfpxar95s25ez" timestamp="1769919677"&gt;20&lt;/key&gt;&lt;/foreign-keys&gt;&lt;ref-type name="Journal Article"&gt;17&lt;/ref-type&gt;&lt;contributors&gt;&lt;authors&gt;&lt;author&gt;Hong, Wandong&lt;/author&gt;&lt;author&gt;Lin, Suhan&lt;/author&gt;&lt;author&gt;Zippi, Maddalena&lt;/author&gt;&lt;author&gt;Geng, Wujun&lt;/author&gt;&lt;author&gt;Stock, Simon&lt;/author&gt;&lt;author&gt;Zimmer, Vincent&lt;/author&gt;&lt;author&gt;Xu, Chunfang&lt;/author&gt;&lt;author&gt;Zhou, Mengtao&lt;/author&gt;&lt;/authors&gt;&lt;/contributors&gt;&lt;titles&gt;&lt;title&gt;High-Density Lipoprotein Cholesterol, Blood Urea Nitrogen, and Serum Creatinine Can Predict Severe Acute Pancreatitis&lt;/title&gt;&lt;secondary-title&gt;BioMed Research International&lt;/secondary-title&gt;&lt;/titles&gt;&lt;pages&gt;1-7&lt;/pages&gt;&lt;volume&gt;2017&lt;/volume&gt;&lt;section&gt;1&lt;/section&gt;&lt;dates&gt;&lt;year&gt;2017&lt;/year&gt;&lt;/dates&gt;&lt;isbn&gt;2314-6133&amp;#xD;2314-6141&lt;/isbn&gt;&lt;urls&gt;&lt;/urls&gt;&lt;electronic-resource-num&gt;10.1155/2017/1648385&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[5]</w:t>
      </w:r>
      <w:r>
        <w:rPr>
          <w:rFonts w:ascii="Times New Roman" w:hAnsi="Times New Roman" w:cs="Times New Roman"/>
          <w:sz w:val="24"/>
          <w:szCs w:val="24"/>
        </w:rPr>
        <w:fldChar w:fldCharType="end"/>
      </w:r>
      <w:r>
        <w:rPr>
          <w:rFonts w:ascii="Times New Roman" w:hAnsi="Times New Roman" w:cs="Times New Roman"/>
          <w:sz w:val="24"/>
          <w:szCs w:val="24"/>
        </w:rPr>
        <w:t>. Nevertheless, BUN is easily affected by non-renal factors (e.g., dehydration, heart failure, gastrointestinal bleeding)</w:t>
      </w:r>
      <w:r>
        <w:rPr>
          <w:rFonts w:hint="eastAsia" w:ascii="Times New Roman" w:hAnsi="Times New Roman" w:cs="Times New Roman"/>
          <w:sz w:val="24"/>
          <w:szCs w:val="24"/>
        </w:rPr>
        <w:t xml:space="preserve"> </w:t>
      </w:r>
      <w:r>
        <w:rPr>
          <w:rFonts w:hint="eastAsia"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&lt;EndNote&gt;&lt;Cite&gt;&lt;Author&gt;Armstrong&lt;/Author&gt;&lt;Year&gt;2016&lt;/Year&gt;&lt;RecNum&gt;21&lt;/RecNum&gt;&lt;DisplayText&gt;[6, 7]&lt;/DisplayText&gt;&lt;record&gt;&lt;rec-number&gt;21&lt;/rec-number&gt;&lt;foreign-keys&gt;&lt;key app="EN" db-id="vw2sr5vvldww50et259xtp2mfpxar95s25ez" timestamp="1769919682"&gt;21&lt;/key&gt;&lt;/foreign-keys&gt;&lt;ref-type name="Journal Article"&gt;17&lt;/ref-type&gt;&lt;contributors&gt;&lt;authors&gt;&lt;author&gt;Armstrong, Lawrence E.&lt;/author&gt;&lt;author&gt;Kavouras, Stavros A.&lt;/author&gt;&lt;author&gt;Walsh, Neil P.&lt;/author&gt;&lt;author&gt;Roberts, William O.&lt;/author&gt;&lt;/authors&gt;&lt;/contributors&gt;&lt;titles&gt;&lt;title&gt;Diagnosing dehydration? Blend evidence with clinical observations&lt;/title&gt;&lt;secondary-title&gt;Current Opinion in Clinical Nutrition &amp;amp; Metabolic Care&lt;/secondary-title&gt;&lt;/titles&gt;&lt;pages&gt;434-438&lt;/pages&gt;&lt;volume&gt;19&lt;/volume&gt;&lt;number&gt;6&lt;/number&gt;&lt;section&gt;434&lt;/section&gt;&lt;dates&gt;&lt;year&gt;2016&lt;/year&gt;&lt;/dates&gt;&lt;isbn&gt;1363-1950&lt;/isbn&gt;&lt;urls&gt;&lt;/urls&gt;&lt;electronic-resource-num&gt;10.1097/mco.0000000000000320&lt;/electronic-resource-num&gt;&lt;/record&gt;&lt;/Cite&gt;&lt;Cite&gt;&lt;Author&gt;Becker&lt;/Author&gt;&lt;Year&gt;2013&lt;/Year&gt;&lt;RecNum&gt;22&lt;/RecNum&gt;&lt;record&gt;&lt;rec-number&gt;22&lt;/rec-number&gt;&lt;foreign-keys&gt;&lt;key app="EN" db-id="vw2sr5vvldww50et259xtp2mfpxar95s25ez" timestamp="1769919688"&gt;22&lt;/key&gt;&lt;/foreign-keys&gt;&lt;ref-type name="Journal Article"&gt;17&lt;/ref-type&gt;&lt;contributors&gt;&lt;authors&gt;&lt;author&gt;Becker, Joshua&lt;/author&gt;&lt;author&gt;Friedman, Eli&lt;/author&gt;&lt;/authors&gt;&lt;/contributors&gt;&lt;titles&gt;&lt;title&gt;Renal Function Status&lt;/title&gt;&lt;secondary-title&gt;American Journal of Roentgenology&lt;/secondary-title&gt;&lt;/titles&gt;&lt;pages&gt;827-829&lt;/pages&gt;&lt;volume&gt;200&lt;/volume&gt;&lt;number&gt;4&lt;/number&gt;&lt;section&gt;827&lt;/section&gt;&lt;dates&gt;&lt;year&gt;2013&lt;/year&gt;&lt;/dates&gt;&lt;isbn&gt;0361-803X&amp;#xD;1546-3141&lt;/isbn&gt;&lt;urls&gt;&lt;/urls&gt;&lt;electronic-resource-num&gt;10.2214/ajr.12.9872&lt;/electronic-resource-num&gt;&lt;/record&gt;&lt;/Cite&gt;&lt;/EndNote&gt;</w:instrText>
      </w:r>
      <w:r>
        <w:rPr>
          <w:rFonts w:hint="eastAsia" w:ascii="Times New Roman" w:hAnsi="Times New Roman" w:cs="Times New Roman"/>
          <w:sz w:val="24"/>
          <w:szCs w:val="24"/>
        </w:rPr>
        <w:fldChar w:fldCharType="separate"/>
      </w:r>
      <w:r>
        <w:rPr>
          <w:rFonts w:hint="eastAsia" w:ascii="Times New Roman" w:hAnsi="Times New Roman" w:cs="Times New Roman"/>
          <w:sz w:val="24"/>
          <w:szCs w:val="24"/>
          <w:lang w:val="en-US" w:eastAsia="zh-CN"/>
        </w:rPr>
        <w:t>[6, 7]</w:t>
      </w:r>
      <w:r>
        <w:rPr>
          <w:rFonts w:hint="eastAsia" w:ascii="Times New Roman" w:hAnsi="Times New Roman" w:cs="Times New Roman"/>
          <w:sz w:val="24"/>
          <w:szCs w:val="24"/>
        </w:rPr>
        <w:fldChar w:fldCharType="end"/>
      </w:r>
      <w:r>
        <w:rPr>
          <w:rFonts w:ascii="Times New Roman" w:hAnsi="Times New Roman" w:cs="Times New Roman"/>
          <w:sz w:val="24"/>
          <w:szCs w:val="24"/>
        </w:rPr>
        <w:t>, while Cr levels are influenced by muscle mass, medications (e.g., cimetidine), and liver function</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&lt;EndNote&gt;&lt;Cite&gt;&lt;Author&gt;Delanaye&lt;/Author&gt;&lt;Year&gt;2017&lt;/Year&gt;&lt;RecNum&gt;23&lt;/RecNum&gt;&lt;DisplayText&gt;[8]&lt;/DisplayText&gt;&lt;record&gt;&lt;rec-number&gt;23&lt;/rec-number&gt;&lt;foreign-keys&gt;&lt;key app="EN" db-id="vw2sr5vvldww50et259xtp2mfpxar95s25ez" timestamp="1769919692"&gt;23&lt;/key&gt;&lt;/foreign-keys&gt;&lt;ref-type name="Journal Article"&gt;17&lt;/ref-type&gt;&lt;contributors&gt;&lt;authors&gt;&lt;author&gt;Delanaye, Pierre&lt;/author&gt;&lt;author&gt;Cavalier, Etienne&lt;/author&gt;&lt;author&gt;Pottel, Hans&lt;/author&gt;&lt;/authors&gt;&lt;/contributors&gt;&lt;titles&gt;&lt;title&gt;Serum Creatinine: Not So Simple!&lt;/title&gt;&lt;secondary-title&gt;Nephron&lt;/secondary-title&gt;&lt;/titles&gt;&lt;pages&gt;302-308&lt;/pages&gt;&lt;volume&gt;136&lt;/volume&gt;&lt;number&gt;4&lt;/number&gt;&lt;section&gt;302&lt;/section&gt;&lt;dates&gt;&lt;year&gt;2017&lt;/year&gt;&lt;/dates&gt;&lt;isbn&gt;1660-8151&amp;#xD;2235-3186&lt;/isbn&gt;&lt;urls&gt;&lt;/urls&gt;&lt;electronic-resource-num&gt;10.1159/000469669&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[8]</w:t>
      </w:r>
      <w:r>
        <w:rPr>
          <w:rFonts w:ascii="Times New Roman" w:hAnsi="Times New Roman" w:cs="Times New Roman"/>
          <w:sz w:val="24"/>
          <w:szCs w:val="24"/>
        </w:rPr>
        <w:fldChar w:fldCharType="end"/>
      </w:r>
      <w:r>
        <w:rPr>
          <w:rFonts w:ascii="Times New Roman" w:hAnsi="Times New Roman" w:cs="Times New Roman"/>
          <w:sz w:val="24"/>
          <w:szCs w:val="24"/>
        </w:rPr>
        <w:t>. Thus, the prognostic accuracy of these single biomarkers is limited when used alone.</w:t>
      </w:r>
    </w:p>
    <w:p w14:paraId="0E700824">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highlight w:val="yellow"/>
        </w:rPr>
      </w:pPr>
      <w:r>
        <w:rPr>
          <w:rFonts w:ascii="Times New Roman" w:hAnsi="Times New Roman" w:cs="Times New Roman"/>
          <w:sz w:val="24"/>
          <w:szCs w:val="24"/>
          <w:highlight w:val="none"/>
        </w:rPr>
        <w:t>To address these limitations, the blood urea nitrogen/creatinine ratio (BCR) has emerged as a more reliable prognostic indicator in critical illness. By integrating BUN (a marker of protein catabolism and renal perfusion) and Cr (a surrogate marker of glomerular filtration function and muscle mass), BCR can reduce the individual variability of each single indicator</w:t>
      </w:r>
      <w:r>
        <w:rPr>
          <w:rFonts w:ascii="Times New Roman" w:hAnsi="Times New Roman" w:cs="Times New Roman"/>
          <w:sz w:val="24"/>
          <w:szCs w:val="24"/>
          <w:highlight w:val="none"/>
        </w:rPr>
        <w:fldChar w:fldCharType="begin"/>
      </w:r>
      <w:r>
        <w:rPr>
          <w:rFonts w:hint="eastAsia" w:ascii="Times New Roman" w:hAnsi="Times New Roman" w:cs="Times New Roman"/>
          <w:sz w:val="24"/>
          <w:szCs w:val="24"/>
          <w:highlight w:val="none"/>
          <w:lang w:eastAsia="zh-CN"/>
        </w:rPr>
        <w:instrText xml:space="preserve"> ADDIN EN.CITE &lt;EndNote&gt;&lt;Cite&gt;&lt;Author&gt;Wan&lt;/Author&gt;&lt;Year&gt;2025&lt;/Year&gt;&lt;RecNum&gt;19&lt;/RecNum&gt;&lt;DisplayText&gt;[4, 9]&lt;/DisplayText&gt;&lt;record&gt;&lt;rec-number&gt;19&lt;/rec-number&gt;&lt;foreign-keys&gt;&lt;key app="EN" db-id="vw2sr5vvldww50et259xtp2mfpxar95s25ez" timestamp="1769919669"&gt;19&lt;/key&gt;&lt;/foreign-keys&gt;&lt;ref-type name="Journal Article"&gt;17&lt;/ref-type&gt;&lt;contributors&gt;&lt;authors&gt;&lt;author&gt;Wan, Yu&lt;/author&gt;&lt;author&gt;Hu, Qiong&lt;/author&gt;&lt;author&gt;Shi, Jing&lt;/author&gt;&lt;author&gt;Liu, Limei&lt;/author&gt;&lt;author&gt;Zhang, Xiangsong&lt;/author&gt;&lt;author&gt;Huang, Jianjun&lt;/author&gt;&lt;author&gt;Wang, Haijiu&lt;/author&gt;&lt;/authors&gt;&lt;/contributors&gt;&lt;titles&gt;&lt;title&gt;J-shaped association between blood urea nitrogen-to-creatinine ratio and mortality in critically ill patients with acute pancreatitis: a retrospective cohort study using the MIMIC-IV database&lt;/title&gt;&lt;secondary-title&gt;European Journal of Medical Research&lt;/secondary-title&gt;&lt;/titles&gt;&lt;volume&gt;30&lt;/volume&gt;&lt;number&gt;1&lt;/number&gt;&lt;dates&gt;&lt;year&gt;2025&lt;/year&gt;&lt;/dates&gt;&lt;isbn&gt;2047-783X&lt;/isbn&gt;&lt;urls&gt;&lt;/urls&gt;&lt;electronic-resource-num&gt;10.1186/s40001-025-02430-9&lt;/electronic-resource-num&gt;&lt;/record&gt;&lt;/Cite&gt;&lt;Cite&gt;&lt;Author&gt;Gunst&lt;/Author&gt;&lt;Year&gt;2019&lt;/Year&gt;&lt;RecNum&gt;24&lt;/RecNum&gt;&lt;record&gt;&lt;rec-number&gt;24&lt;/rec-number&gt;&lt;foreign-keys&gt;&lt;key app="EN" db-id="vw2sr5vvldww50et259xtp2mfpxar95s25ez" timestamp="1769919698"&gt;24&lt;/key&gt;&lt;/foreign-keys&gt;&lt;ref-type name="Journal Article"&gt;17&lt;/ref-type&gt;&lt;contributors&gt;&lt;authors&gt;&lt;author&gt;Gunst, Jan&lt;/author&gt;&lt;author&gt;Kashani, Kianoush B.&lt;/author&gt;&lt;author&gt;Hermans, Greet&lt;/author&gt;&lt;/authors&gt;&lt;/contributors&gt;&lt;titles&gt;&lt;title&gt;The urea-creatinine ratio as a novel biomarker of critical illness-associated catabolism&lt;/title&gt;&lt;secondary-title&gt;Intensive Care Medicine&lt;/secondary-title&gt;&lt;/titles&gt;&lt;pages&gt;1813-1815&lt;/pages&gt;&lt;volume&gt;45&lt;/volume&gt;&lt;number&gt;12&lt;/number&gt;&lt;section&gt;1813&lt;/section&gt;&lt;dates&gt;&lt;year&gt;2019&lt;/year&gt;&lt;/dates&gt;&lt;isbn&gt;0342-4642&amp;#xD;1432-1238&lt;/isbn&gt;&lt;urls&gt;&lt;/urls&gt;&lt;electronic-resource-num&gt;10.1007/s00134-019-05810-y&lt;/electronic-resource-num&gt;&lt;/record&gt;&lt;/Cite&gt;&lt;/EndNote&gt;</w:instrText>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lang w:val="en-US" w:eastAsia="zh-CN" w:bidi="ar-SA"/>
        </w:rPr>
        <w:t>[4, 9]</w:t>
      </w:r>
      <w:r>
        <w:rPr>
          <w:rFonts w:ascii="Times New Roman" w:hAnsi="Times New Roman" w:cs="Times New Roman"/>
          <w:sz w:val="24"/>
          <w:szCs w:val="24"/>
          <w:highlight w:val="none"/>
        </w:rPr>
        <w:fldChar w:fldCharType="end"/>
      </w:r>
      <w:r>
        <w:rPr>
          <w:rFonts w:ascii="Times New Roman" w:hAnsi="Times New Roman" w:cs="Times New Roman"/>
          <w:sz w:val="24"/>
          <w:szCs w:val="24"/>
        </w:rPr>
        <w:t>.</w:t>
      </w:r>
      <w:r>
        <w:rPr>
          <w:rFonts w:ascii="Times New Roman" w:hAnsi="Times New Roman" w:cs="Times New Roman"/>
          <w:sz w:val="24"/>
          <w:szCs w:val="24"/>
          <w:highlight w:val="none"/>
        </w:rPr>
        <w:t xml:space="preserve"> The BCR has been identified as a marker of critical illness–related catabolism, reflecting progressive muscle wasting and protein breakdown. It also independently predicts adverse outcomes in patients with sepsis, stroke, and heart disease</w:t>
      </w:r>
      <w:r>
        <w:rPr>
          <w:rFonts w:hint="eastAsia"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w:instrText>
      </w:r>
      <w:r>
        <w:rPr>
          <w:rFonts w:hint="eastAsia" w:ascii="Times New Roman" w:hAnsi="Times New Roman" w:cs="Times New Roman"/>
          <w:sz w:val="24"/>
          <w:szCs w:val="24"/>
          <w:lang w:eastAsia="zh-CN"/>
        </w:rPr>
        <w:fldChar w:fldCharType="begin">
          <w:fldData xml:space="preserve">PEVuZE5vdGU+PENpdGU+PEF1dGhvcj5HdW5zdDwvQXV0aG9yPjxZZWFyPjIwMTk8L1llYXI+PFJl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</w:fldData>
        </w:fldChar>
      </w:r>
      <w:r>
        <w:rPr>
          <w:rFonts w:hint="eastAsia" w:ascii="Times New Roman" w:hAnsi="Times New Roman" w:cs="Times New Roman"/>
          <w:sz w:val="24"/>
          <w:szCs w:val="24"/>
          <w:lang w:eastAsia="zh-CN"/>
        </w:rPr>
        <w:instrText xml:space="preserve"> ADDIN EN.CITE.DATA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fldChar w:fldCharType="end"/>
      </w:r>
      <w:r>
        <w:rPr>
          <w:rFonts w:hint="eastAsia"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[9-12]</w:t>
      </w:r>
      <w:r>
        <w:rPr>
          <w:rFonts w:hint="eastAsia"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highlight w:val="none"/>
        </w:rPr>
        <w:t>A study by Wan et al.</w:t>
      </w:r>
      <w:r>
        <w:rPr>
          <w:rFonts w:hint="eastAsia"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fldChar w:fldCharType="begin"/>
      </w:r>
      <w:r>
        <w:rPr>
          <w:rFonts w:hint="eastAsia" w:ascii="Times New Roman" w:hAnsi="Times New Roman" w:cs="Times New Roman"/>
          <w:sz w:val="24"/>
          <w:szCs w:val="24"/>
          <w:highlight w:val="none"/>
          <w:lang w:eastAsia="zh-CN"/>
        </w:rPr>
        <w:instrText xml:space="preserve"> ADDIN EN.CITE &lt;EndNote&gt;&lt;Cite&gt;&lt;Author&gt;Wan&lt;/Author&gt;&lt;Year&gt;2025&lt;/Year&gt;&lt;RecNum&gt;19&lt;/RecNum&gt;&lt;DisplayText&gt;[4]&lt;/DisplayText&gt;&lt;record&gt;&lt;rec-number&gt;19&lt;/rec-number&gt;&lt;foreign-keys&gt;&lt;key app="EN" db-id="vw2sr5vvldww50et259xtp2mfpxar95s25ez" timestamp="1769919669"&gt;19&lt;/key&gt;&lt;/foreign-keys&gt;&lt;ref-type name="Journal Article"&gt;17&lt;/ref-type&gt;&lt;contributors&gt;&lt;authors&gt;&lt;author&gt;Wan, Yu&lt;/author&gt;&lt;author&gt;Hu, Qiong&lt;/author&gt;&lt;author&gt;Shi, Jing&lt;/author&gt;&lt;author&gt;Liu, Limei&lt;/author&gt;&lt;author&gt;Zhang, Xiangsong&lt;/author&gt;&lt;author&gt;Huang, Jianjun&lt;/author&gt;&lt;author&gt;Wang, Haijiu&lt;/author&gt;&lt;/authors&gt;&lt;/contributors&gt;&lt;titles&gt;&lt;title&gt;J-shaped association between blood urea nitrogen-to-creatinine ratio and mortality in critically ill patients with acute pancreatitis: a retrospective cohort study using the MIMIC-IV database&lt;/title&gt;&lt;secondary-title&gt;European Journal of Medical Research&lt;/secondary-title&gt;&lt;/titles&gt;&lt;volume&gt;30&lt;/volume&gt;&lt;number&gt;1&lt;/number&gt;&lt;dates&gt;&lt;year&gt;2025&lt;/year&gt;&lt;/dates&gt;&lt;isbn&gt;2047-783X&lt;/isbn&gt;&lt;urls&gt;&lt;/urls&gt;&lt;electronic-resource-num&gt;10.1186/s40001-025-02430-9&lt;/electronic-resource-num&gt;&lt;/record&gt;&lt;/Cite&gt;&lt;/EndNote&gt;</w:instrText>
      </w:r>
      <w:r>
        <w:rPr>
          <w:rFonts w:hint="eastAsia" w:ascii="Times New Roman" w:hAnsi="Times New Roman" w:cs="Times New Roman"/>
          <w:sz w:val="24"/>
          <w:szCs w:val="24"/>
          <w:highlight w:val="none"/>
        </w:rPr>
        <w:fldChar w:fldCharType="separate"/>
      </w:r>
      <w:r>
        <w:rPr>
          <w:rFonts w:hint="eastAsia" w:ascii="Times New Roman" w:hAnsi="Times New Roman" w:cs="Times New Roman"/>
          <w:sz w:val="24"/>
          <w:szCs w:val="24"/>
          <w:highlight w:val="none"/>
          <w:lang w:val="en-US" w:eastAsia="zh-CN"/>
        </w:rPr>
        <w:t>[4]</w:t>
      </w:r>
      <w:r>
        <w:rPr>
          <w:rFonts w:hint="eastAsia" w:ascii="Times New Roman" w:hAnsi="Times New Roman" w:cs="Times New Roman"/>
          <w:sz w:val="24"/>
          <w:szCs w:val="24"/>
          <w:highlight w:val="none"/>
        </w:rPr>
        <w:fldChar w:fldCharType="end"/>
      </w:r>
      <w:r>
        <w:rPr>
          <w:rFonts w:ascii="Times New Roman" w:hAnsi="Times New Roman" w:cs="Times New Roman"/>
          <w:sz w:val="24"/>
          <w:szCs w:val="24"/>
        </w:rPr>
        <w:t xml:space="preserve"> demonstrated a J-shaped association between the baseline </w:t>
      </w:r>
      <w:r>
        <w:rPr>
          <w:rFonts w:hint="eastAsia" w:ascii="Times New Roman" w:hAnsi="Times New Roman" w:cs="Times New Roman"/>
          <w:sz w:val="24"/>
          <w:szCs w:val="24"/>
          <w:lang w:val="en-US" w:eastAsia="zh-CN"/>
        </w:rPr>
        <w:t>BCR</w:t>
      </w:r>
      <w:r>
        <w:rPr>
          <w:rFonts w:ascii="Times New Roman" w:hAnsi="Times New Roman" w:cs="Times New Roman"/>
          <w:sz w:val="24"/>
          <w:szCs w:val="24"/>
        </w:rPr>
        <w:t xml:space="preserve"> at admission and </w:t>
      </w:r>
      <w:r>
        <w:rPr>
          <w:rFonts w:hint="eastAsia" w:ascii="Times New Roman" w:hAnsi="Times New Roman" w:cs="Times New Roman"/>
          <w:sz w:val="24"/>
          <w:szCs w:val="24"/>
        </w:rPr>
        <w:t>all-cause mortality within 365 days in severely unwell people with AP</w:t>
      </w:r>
      <w:r>
        <w:rPr>
          <w:rFonts w:ascii="Times New Roman" w:hAnsi="Times New Roman" w:cs="Times New Roman"/>
          <w:sz w:val="24"/>
          <w:szCs w:val="24"/>
        </w:rPr>
        <w:t>; when the ratio exceeded the threshold of 16.80, the risk of death increased sharply.</w:t>
      </w:r>
      <w:r>
        <w:rPr>
          <w:rFonts w:hint="eastAsia" w:ascii="Times New Roman" w:hAnsi="Times New Roman" w:cs="Times New Roman"/>
          <w:sz w:val="24"/>
          <w:szCs w:val="24"/>
        </w:rPr>
        <w:t xml:space="preserve"> </w:t>
      </w:r>
      <w:r>
        <w:rPr>
          <w:rFonts w:ascii="Times New Roman" w:hAnsi="Times New Roman" w:cs="Times New Roman"/>
          <w:sz w:val="24"/>
          <w:szCs w:val="24"/>
        </w:rPr>
        <w:t>Notably, most current studies focus on single-time-point</w:t>
      </w:r>
      <w:r>
        <w:rPr>
          <w:rFonts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t>BCR measurements</w:t>
      </w:r>
      <w:r>
        <w:rPr>
          <w:rFonts w:ascii="Times New Roman" w:hAnsi="Times New Roman" w:cs="Times New Roman"/>
          <w:sz w:val="24"/>
          <w:szCs w:val="24"/>
          <w:highlight w:val="none"/>
        </w:rPr>
        <w:t xml:space="preserve"> (e.g., baseline or 24-hour values) </w:t>
      </w:r>
      <w:r>
        <w:rPr>
          <w:rFonts w:ascii="Times New Roman" w:hAnsi="Times New Roman" w:cs="Times New Roman"/>
          <w:sz w:val="24"/>
          <w:szCs w:val="24"/>
          <w:highlight w:val="none"/>
        </w:rPr>
        <w:fldChar w:fldCharType="begin"/>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PEVuZE5vdGU+PENpdGU+PEF1dGhvcj5XYW48L0F1dGhvcj48WWVhcj4yMDI1PC9ZZWFyPjxSZWNO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lang w:val="en-US" w:eastAsia="zh-CN" w:bidi="ar-SA"/>
        </w:rPr>
        <w:t>[4, 5, 13]</w:t>
      </w:r>
      <w:r>
        <w:rPr>
          <w:rFonts w:ascii="Times New Roman" w:hAnsi="Times New Roman" w:cs="Times New Roman"/>
          <w:sz w:val="24"/>
          <w:szCs w:val="24"/>
          <w:highlight w:val="none"/>
        </w:rPr>
        <w:fldChar w:fldCharType="end"/>
      </w:r>
      <w:r>
        <w:rPr>
          <w:rFonts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t>neglecting its dynamic trajectory during AP progression.</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SAP patients in the intensive care unit (ICU) often receive aggressive interventions, including fluid resuscitation and renal replacement therapy. These interventions can alter BUN and creatinine levels over time.</w:t>
      </w:r>
      <w:r>
        <w:rPr>
          <w:rFonts w:hint="eastAsia" w:ascii="Times New Roman" w:hAnsi="Times New Roman" w:cs="Times New Roman"/>
          <w:sz w:val="24"/>
          <w:szCs w:val="24"/>
          <w:highlight w:val="none"/>
          <w:lang w:val="en-US" w:eastAsia="zh-CN"/>
        </w:rPr>
        <w:t xml:space="preserve"> </w:t>
      </w:r>
      <w:r>
        <w:rPr>
          <w:rFonts w:ascii="Times New Roman" w:hAnsi="Times New Roman" w:cs="Times New Roman"/>
          <w:sz w:val="24"/>
          <w:szCs w:val="24"/>
          <w:highlight w:val="none"/>
        </w:rPr>
        <w:t>For instance, fluid resuscitation can reduce BUN by correcting hypovolemia, whereas progressive renal injury may lead to an increase in creatinine. These changes cannot be captured by single-time-point measurements</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w:instrText>
      </w:r>
      <w:r>
        <w:rPr>
          <w:rFonts w:hint="eastAsia" w:ascii="Times New Roman" w:hAnsi="Times New Roman" w:cs="Times New Roman"/>
          <w:sz w:val="24"/>
          <w:szCs w:val="24"/>
          <w:lang w:eastAsia="zh-CN"/>
        </w:rPr>
        <w:fldChar w:fldCharType="begin">
          <w:fldData xml:space="preserve">PEVuZE5vdGU+PENpdGU+PEF1dGhvcj5Qcm93bGU8L0F1dGhvcj48WWVhcj4yMDE0PC9ZZWFyPjxS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</w:fldData>
        </w:fldChar>
      </w:r>
      <w:r>
        <w:rPr>
          <w:rFonts w:hint="eastAsia" w:ascii="Times New Roman" w:hAnsi="Times New Roman" w:cs="Times New Roman"/>
          <w:sz w:val="24"/>
          <w:szCs w:val="24"/>
          <w:lang w:eastAsia="zh-CN"/>
        </w:rPr>
        <w:instrText xml:space="preserve"> ADDIN EN.CITE.DATA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fldChar w:fldCharType="end"/>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[14-16]</w:t>
      </w:r>
      <w:r>
        <w:rPr>
          <w:rFonts w:ascii="Times New Roman" w:hAnsi="Times New Roman" w:cs="Times New Roman"/>
          <w:sz w:val="24"/>
          <w:szCs w:val="24"/>
        </w:rPr>
        <w:fldChar w:fldCharType="end"/>
      </w:r>
      <w:r>
        <w:rPr>
          <w:rFonts w:ascii="Times New Roman" w:hAnsi="Times New Roman" w:cs="Times New Roman"/>
          <w:sz w:val="24"/>
          <w:szCs w:val="24"/>
        </w:rPr>
        <w:t>. A recent study investigating the BUN trajectory in AP patients admitted to the ICU found that a persistent increase in BUN was associated with adverse outcomes</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&lt;EndNote&gt;&lt;Cite&gt;&lt;Author&gt;Wang&lt;/Author&gt;&lt;Year&gt;2024&lt;/Year&gt;&lt;RecNum&gt;6&lt;/RecNum&gt;&lt;DisplayText&gt;[15]&lt;/DisplayText&gt;&lt;record&gt;&lt;rec-number&gt;6&lt;/rec-number&gt;&lt;foreign-keys&gt;&lt;key app="EN" db-id="vw2sr5vvldww50et259xtp2mfpxar95s25ez" timestamp="1769919594"&gt;6&lt;/key&gt;&lt;/foreign-keys&gt;&lt;ref-type name="Journal Article"&gt;17&lt;/ref-type&gt;&lt;contributors&gt;&lt;authors&gt;&lt;author&gt;Wang, Zichen&lt;/author&gt;&lt;author&gt;Wang, Wen&lt;/author&gt;&lt;author&gt;Wang, Mingqi&lt;/author&gt;&lt;author&gt;He, Qiao&lt;/author&gt;&lt;author&gt;Xu, Jiayue&lt;/author&gt;&lt;author&gt;Zou, Kang&lt;/author&gt;&lt;author&gt;Kang, Yan&lt;/author&gt;&lt;author&gt;Sun, Xin&lt;/author&gt;&lt;/authors&gt;&lt;/contributors&gt;&lt;titles&gt;&lt;title&gt;Blood Urine Nitrogen Trajectories of Acute Pancreatitis Patients in Intensive Care Units&lt;/title&gt;&lt;secondary-title&gt;Journal of Inflammation Research&lt;/secondary-title&gt;&lt;/titles&gt;&lt;pages&gt;3449-3458&lt;/pages&gt;&lt;volume&gt;Volume 17&lt;/volume&gt;&lt;section&gt;3449&lt;/section&gt;&lt;dates&gt;&lt;year&gt;2024&lt;/year&gt;&lt;/dates&gt;&lt;isbn&gt;1178-7031&lt;/isbn&gt;&lt;urls&gt;&lt;/urls&gt;&lt;electronic-resource-num&gt;10.2147/jir.S460142&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[15]</w:t>
      </w:r>
      <w:r>
        <w:rPr>
          <w:rFonts w:ascii="Times New Roman" w:hAnsi="Times New Roman" w:cs="Times New Roman"/>
          <w:sz w:val="24"/>
          <w:szCs w:val="24"/>
        </w:rPr>
        <w:fldChar w:fldCharType="end"/>
      </w:r>
      <w:r>
        <w:rPr>
          <w:rFonts w:ascii="Times New Roman" w:hAnsi="Times New Roman" w:cs="Times New Roman"/>
          <w:sz w:val="24"/>
          <w:szCs w:val="24"/>
        </w:rPr>
        <w:t>; however, this study did not integrate creatinine to assess muscle mass or renal function. The change trajectory of BCR (e.g., persistent increase, transient decrease followed by increase, or stable within normal range) may more accurately reflect interactions among metabolic stress, renal function, and treatment response. These factors are key drivers of long-term mortality in patients with AP.</w:t>
      </w:r>
    </w:p>
    <w:p w14:paraId="1145B164">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Using data from the publicly available Medical Information Mart for Intensive Care IV (MIMIC-IV</w:t>
      </w:r>
      <w:r>
        <w:rPr>
          <w:rFonts w:hint="eastAsia" w:ascii="Times New Roman" w:hAnsi="Times New Roman" w:cs="Times New Roman"/>
          <w:sz w:val="24"/>
          <w:szCs w:val="24"/>
        </w:rPr>
        <w:t>, Version 3.0</w:t>
      </w:r>
      <w:r>
        <w:rPr>
          <w:rFonts w:ascii="Times New Roman" w:hAnsi="Times New Roman" w:cs="Times New Roman"/>
          <w:sz w:val="24"/>
          <w:szCs w:val="24"/>
        </w:rPr>
        <w:t>), we hypothesized that BCR trajectories provide</w:t>
      </w:r>
      <w:r>
        <w:rPr>
          <w:rFonts w:hint="eastAsia" w:ascii="Times New Roman" w:hAnsi="Times New Roman" w:cs="Times New Roman"/>
          <w:sz w:val="24"/>
          <w:szCs w:val="24"/>
          <w:lang w:val="en-US" w:eastAsia="zh-CN"/>
        </w:rPr>
        <w:t>d</w:t>
      </w:r>
      <w:r>
        <w:rPr>
          <w:rFonts w:ascii="Times New Roman" w:hAnsi="Times New Roman" w:cs="Times New Roman"/>
          <w:sz w:val="24"/>
          <w:szCs w:val="24"/>
        </w:rPr>
        <w:t xml:space="preserve"> prognostic information beyond single-time-point measurements and </w:t>
      </w:r>
      <w:r>
        <w:rPr>
          <w:rFonts w:hint="eastAsia" w:ascii="Times New Roman" w:hAnsi="Times New Roman" w:cs="Times New Roman"/>
          <w:sz w:val="24"/>
          <w:szCs w:val="24"/>
          <w:lang w:val="en-US" w:eastAsia="zh-CN"/>
        </w:rPr>
        <w:t>were</w:t>
      </w:r>
      <w:r>
        <w:rPr>
          <w:rFonts w:ascii="Times New Roman" w:hAnsi="Times New Roman" w:cs="Times New Roman"/>
          <w:sz w:val="24"/>
          <w:szCs w:val="24"/>
        </w:rPr>
        <w:t xml:space="preserve"> independently associated with mortality in AP. This study aimed to evaluate the utility of BCR trajectories for early risk stratification in patients with AP.</w:t>
      </w:r>
    </w:p>
    <w:p w14:paraId="652F3EB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p w14:paraId="7757ED42">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rPr>
      </w:pPr>
      <w:r>
        <w:rPr>
          <w:rFonts w:ascii="Times New Roman" w:hAnsi="Times New Roman" w:cs="Times New Roman"/>
          <w:b/>
          <w:bCs/>
          <w:sz w:val="28"/>
          <w:szCs w:val="28"/>
        </w:rPr>
        <w:t>Methods</w:t>
      </w:r>
    </w:p>
    <w:p w14:paraId="2F4CB1A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b/>
          <w:bCs/>
          <w:sz w:val="24"/>
          <w:szCs w:val="24"/>
        </w:rPr>
        <w:t>Data Source</w:t>
      </w:r>
    </w:p>
    <w:p w14:paraId="6AB760FC">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The data from the publicly available MIMIC-IV database was analysed in this retrospective single-centre research. detailed clinical data of individuals admitted to Beth Israel Deaconess Medical Center (BIDMC, Boston, MA, USA) was contained in the database. T</w:t>
      </w:r>
      <w:r>
        <w:rPr>
          <w:rFonts w:ascii="Times New Roman" w:hAnsi="Times New Roman" w:cs="Times New Roman"/>
          <w:sz w:val="24"/>
          <w:szCs w:val="24"/>
        </w:rPr>
        <w:t>he database include</w:t>
      </w:r>
      <w:r>
        <w:rPr>
          <w:rFonts w:hint="eastAsia" w:ascii="Times New Roman" w:hAnsi="Times New Roman" w:cs="Times New Roman"/>
          <w:sz w:val="24"/>
          <w:szCs w:val="24"/>
        </w:rPr>
        <w:t>d</w:t>
      </w:r>
      <w:r>
        <w:rPr>
          <w:rFonts w:ascii="Times New Roman" w:hAnsi="Times New Roman" w:cs="Times New Roman"/>
          <w:sz w:val="24"/>
          <w:szCs w:val="24"/>
        </w:rPr>
        <w:t xml:space="preserve"> demographic details, laboratory test results, vital signs, comorbidities, treatment strategies, and patient outcomes.</w:t>
      </w:r>
      <w:r>
        <w:rPr>
          <w:rFonts w:hint="eastAsia" w:ascii="Times New Roman" w:hAnsi="Times New Roman" w:cs="Times New Roman"/>
          <w:sz w:val="24"/>
          <w:szCs w:val="24"/>
        </w:rPr>
        <w:t xml:space="preserve"> Following the completion of the National Institutes of Health (NIH) training and examination on Protecting Human Research Participants (certification ID: 62382475), our research team secured access to the database as early as 2024. The Institutional Review Boards (IRBs) of the Massachusetts Institute of Technology (MIT; IRB protocol no. 0403000206) and BIDMC (IRB protocol no. 2001P001699) have granted approval to the MIMIC-IV database, which applied strict data anonymization protocols to protect patient confidentiality</w:t>
      </w:r>
      <w:r>
        <w:rPr>
          <w:rFonts w:hint="eastAsia"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&lt;EndNote&gt;&lt;Cite&gt;&lt;Author&gt;Johnson&lt;/Author&gt;&lt;Year&gt;2023&lt;/Year&gt;&lt;RecNum&gt;7&lt;/RecNum&gt;&lt;DisplayText&gt;[17]&lt;/DisplayText&gt;&lt;record&gt;&lt;rec-number&gt;7&lt;/rec-number&gt;&lt;foreign-keys&gt;&lt;key app="EN" db-id="vw2sr5vvldww50et259xtp2mfpxar95s25ez" timestamp="1769919600"&gt;7&lt;/key&gt;&lt;/foreign-keys&gt;&lt;ref-type name="Journal Article"&gt;17&lt;/ref-type&gt;&lt;contributors&gt;&lt;authors&gt;&lt;author&gt;Johnson, Alistair E. W.&lt;/author&gt;&lt;author&gt;Bulgarelli, Lucas&lt;/author&gt;&lt;author&gt;Shen, Lu&lt;/author&gt;&lt;author&gt;Gayles, Alvin&lt;/author&gt;&lt;author&gt;Shammout, Ayad&lt;/author&gt;&lt;author&gt;Horng, Steven&lt;/author&gt;&lt;author&gt;Pollard, Tom J.&lt;/author&gt;&lt;author&gt;Hao, Sicheng&lt;/author&gt;&lt;author&gt;Moody, Benjamin&lt;/author&gt;&lt;author&gt;Gow, Brian&lt;/author&gt;&lt;author&gt;Lehman, Li-wei H.&lt;/author&gt;&lt;author&gt;Celi, Leo A.&lt;/author&gt;&lt;author&gt;Mark, Roger G.&lt;/author&gt;&lt;/authors&gt;&lt;/contributors&gt;&lt;titles&gt;&lt;title&gt;MIMIC-IV, a freely accessible electronic health record dataset&lt;/title&gt;&lt;secondary-title&gt;Scientific Data&lt;/secondary-title&gt;&lt;/titles&gt;&lt;volume&gt;10&lt;/volume&gt;&lt;number&gt;1&lt;/number&gt;&lt;dates&gt;&lt;year&gt;2023&lt;/year&gt;&lt;/dates&gt;&lt;isbn&gt;2052-4463&lt;/isbn&gt;&lt;urls&gt;&lt;/urls&gt;&lt;electronic-resource-num&gt;10.1038/s41597-022-01899-x&lt;/electronic-resource-num&gt;&lt;/record&gt;&lt;/Cite&gt;&lt;/EndNote&gt;</w:instrText>
      </w:r>
      <w:r>
        <w:rPr>
          <w:rFonts w:hint="eastAsia"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[17]</w:t>
      </w:r>
      <w:r>
        <w:rPr>
          <w:rFonts w:hint="eastAsia" w:ascii="Times New Roman" w:hAnsi="Times New Roman" w:cs="Times New Roman"/>
          <w:sz w:val="24"/>
          <w:szCs w:val="24"/>
        </w:rPr>
        <w:fldChar w:fldCharType="end"/>
      </w:r>
      <w:r>
        <w:rPr>
          <w:rFonts w:ascii="Times New Roman" w:hAnsi="Times New Roman" w:cs="Times New Roman"/>
          <w:sz w:val="24"/>
          <w:szCs w:val="24"/>
        </w:rPr>
        <w:t>.</w:t>
      </w:r>
      <w:bookmarkStart w:id="1" w:name="OLE_LINK1"/>
      <w:r>
        <w:rPr>
          <w:rFonts w:hint="eastAsia" w:ascii="Times New Roman" w:hAnsi="Times New Roman" w:cs="Times New Roman"/>
          <w:sz w:val="24"/>
          <w:szCs w:val="24"/>
        </w:rPr>
        <w:t xml:space="preserve"> </w:t>
      </w:r>
      <w:r>
        <w:rPr>
          <w:rFonts w:ascii="Times New Roman" w:hAnsi="Times New Roman" w:cs="Times New Roman"/>
          <w:sz w:val="24"/>
          <w:szCs w:val="24"/>
        </w:rPr>
        <w:t xml:space="preserve">Informed consent was waived </w:t>
      </w:r>
      <w:r>
        <w:rPr>
          <w:rFonts w:hint="eastAsia" w:ascii="Times New Roman" w:hAnsi="Times New Roman" w:cs="Times New Roman"/>
          <w:sz w:val="24"/>
          <w:szCs w:val="24"/>
        </w:rPr>
        <w:t>for the secondary use of the anonymized dataset</w:t>
      </w:r>
      <w:r>
        <w:rPr>
          <w:rFonts w:ascii="Times New Roman" w:hAnsi="Times New Roman" w:cs="Times New Roman"/>
          <w:sz w:val="24"/>
          <w:szCs w:val="24"/>
        </w:rPr>
        <w:t>, as approved by the respective IRBs.</w:t>
      </w:r>
    </w:p>
    <w:bookmarkEnd w:id="1"/>
    <w:p w14:paraId="652E92D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b/>
          <w:bCs/>
          <w:sz w:val="24"/>
          <w:szCs w:val="24"/>
        </w:rPr>
        <w:t>Study Design and Population</w:t>
      </w:r>
    </w:p>
    <w:p w14:paraId="2B44B342">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highlight w:val="none"/>
        </w:rPr>
      </w:pPr>
      <w:r>
        <w:rPr>
          <w:rFonts w:hint="eastAsia" w:ascii="Times New Roman" w:hAnsi="Times New Roman" w:cs="Times New Roman"/>
          <w:sz w:val="24"/>
          <w:szCs w:val="24"/>
        </w:rPr>
        <w:t>The MIMIC-IV database</w:t>
      </w:r>
      <w:r>
        <w:rPr>
          <w:rFonts w:ascii="Times New Roman" w:hAnsi="Times New Roman" w:cs="Times New Roman"/>
          <w:sz w:val="24"/>
          <w:szCs w:val="24"/>
        </w:rPr>
        <w:t>’</w:t>
      </w:r>
      <w:r>
        <w:rPr>
          <w:rFonts w:hint="eastAsia" w:ascii="Times New Roman" w:hAnsi="Times New Roman" w:cs="Times New Roman"/>
          <w:sz w:val="24"/>
          <w:szCs w:val="24"/>
        </w:rPr>
        <w:t xml:space="preserve">s patients with acute pancreatitis were all identified by means of ICD-9 or ICD-10 codes </w:t>
      </w:r>
      <w:r>
        <w:rPr>
          <w:rFonts w:ascii="Times New Roman" w:hAnsi="Times New Roman" w:cs="Times New Roman"/>
          <w:sz w:val="24"/>
          <w:szCs w:val="24"/>
        </w:rPr>
        <w:t xml:space="preserve">(ICD-9: 5770; ICD-10: K85, K850, K8502, K851, K8512, K852, K8522, K853, K8532, K858, K8582, K859, K8592). </w:t>
      </w:r>
      <w:r>
        <w:rPr>
          <w:rFonts w:hint="eastAsia" w:ascii="Times New Roman" w:hAnsi="Times New Roman" w:cs="Times New Roman"/>
          <w:sz w:val="24"/>
          <w:szCs w:val="24"/>
        </w:rPr>
        <w:t xml:space="preserve">Patients were required to have an intensive care unit length of stay (LOS) over 72 hours to enable the construction of reliable dynamic BCR trajectories. </w:t>
      </w:r>
      <w:r>
        <w:rPr>
          <w:rFonts w:ascii="Times New Roman" w:hAnsi="Times New Roman" w:cs="Times New Roman"/>
          <w:sz w:val="24"/>
          <w:szCs w:val="24"/>
        </w:rPr>
        <w:t xml:space="preserve">This criterion was essential for two reasons: 1) measurements of creatinine and BUN are not typically performed multiple times daily, and 2) at least three measurement time points are required to establish valid BCR trajectories. </w:t>
      </w:r>
      <w:bookmarkStart w:id="2" w:name="OLE_LINK5"/>
      <w:r>
        <w:rPr>
          <w:rFonts w:hint="eastAsia" w:ascii="Times New Roman" w:hAnsi="Times New Roman" w:cs="Times New Roman"/>
          <w:sz w:val="24"/>
          <w:szCs w:val="24"/>
        </w:rPr>
        <w:t>Patients were ruled out if they matched any of the subsequent descriptions:</w:t>
      </w:r>
      <w:r>
        <w:rPr>
          <w:rFonts w:ascii="Times New Roman" w:hAnsi="Times New Roman" w:cs="Times New Roman"/>
          <w:sz w:val="24"/>
          <w:szCs w:val="24"/>
        </w:rPr>
        <w:t xml:space="preserve"> 1) age &lt; 18 years; 2) ICU LOS &lt; 72 hours; 3) </w:t>
      </w:r>
      <w:bookmarkEnd w:id="2"/>
      <w:r>
        <w:rPr>
          <w:rFonts w:hint="eastAsia" w:ascii="Times New Roman" w:hAnsi="Times New Roman" w:cs="Times New Roman"/>
          <w:sz w:val="24"/>
          <w:szCs w:val="24"/>
        </w:rPr>
        <w:t xml:space="preserve">repeated ICU admittance (only first admission data were included); </w:t>
      </w:r>
      <w:r>
        <w:rPr>
          <w:rFonts w:ascii="Times New Roman" w:hAnsi="Times New Roman" w:cs="Times New Roman"/>
          <w:sz w:val="24"/>
          <w:szCs w:val="24"/>
        </w:rPr>
        <w:t>4) Fewer than 3 creatinine and blood urea nitrogen measurements during hospitalization; 5) admission diagnoses of end-stage renal disease, liver cirrhosis, or malignancy; 6) missing key data (e.g., creatinine, BUN, or survival status). A total of 606 patients were finally included in the analysi</w:t>
      </w:r>
      <w:r>
        <w:rPr>
          <w:rFonts w:ascii="Times New Roman" w:hAnsi="Times New Roman" w:cs="Times New Roman"/>
          <w:sz w:val="24"/>
          <w:szCs w:val="24"/>
          <w:highlight w:val="none"/>
        </w:rPr>
        <w:t>s(Figure 1).</w:t>
      </w:r>
    </w:p>
    <w:p w14:paraId="40E8744E">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drawing>
          <wp:inline distT="0" distB="0" distL="114300" distR="114300">
            <wp:extent cx="5262880" cy="5364480"/>
            <wp:effectExtent l="0" t="0" r="7620" b="7620"/>
            <wp:docPr id="8" name="图片 8" descr="Pdf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PdfFigure1"/>
                    <pic:cNvPicPr>
                      <a:picLocks noChangeAspect="1"/>
                    </pic:cNvPicPr>
                  </pic:nvPicPr>
                  <pic:blipFill>
                    <a:blip r:embed="rId7"/>
                    <a:stretch>
                      <a:fillRect/>
                    </a:stretch>
                  </pic:blipFill>
                  <pic:spPr>
                    <a:xfrm>
                      <a:off x="0" y="0"/>
                      <a:ext cx="5262880" cy="5364480"/>
                    </a:xfrm>
                    <a:prstGeom prst="rect">
                      <a:avLst/>
                    </a:prstGeom>
                  </pic:spPr>
                </pic:pic>
              </a:graphicData>
            </a:graphic>
          </wp:inline>
        </w:drawing>
      </w:r>
    </w:p>
    <w:p w14:paraId="30E03CC2">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eastAsiaTheme="minorEastAsia"/>
          <w:sz w:val="24"/>
          <w:szCs w:val="24"/>
          <w:highlight w:val="none"/>
          <w:lang w:eastAsia="zh-CN"/>
        </w:rPr>
      </w:pPr>
    </w:p>
    <w:p w14:paraId="2D218E6C">
      <w:pPr>
        <w:pStyle w:val="16"/>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eastAsiaTheme="minorEastAsia"/>
          <w:b/>
          <w:bCs/>
          <w:kern w:val="2"/>
          <w:sz w:val="24"/>
          <w:szCs w:val="24"/>
          <w:lang w:val="en-US" w:eastAsia="zh-CN" w:bidi="ar-SA"/>
        </w:rPr>
        <w:t>Fig</w:t>
      </w:r>
      <w:r>
        <w:rPr>
          <w:rFonts w:hint="eastAsia" w:ascii="Times New Roman" w:hAnsi="Times New Roman" w:cs="Times New Roman"/>
          <w:b/>
          <w:bCs/>
          <w:kern w:val="2"/>
          <w:sz w:val="24"/>
          <w:szCs w:val="24"/>
          <w:lang w:val="en-US" w:eastAsia="zh-CN" w:bidi="ar-SA"/>
        </w:rPr>
        <w:t>.</w:t>
      </w:r>
      <w:r>
        <w:rPr>
          <w:rFonts w:hint="eastAsia" w:ascii="Times New Roman" w:hAnsi="Times New Roman" w:cs="Times New Roman" w:eastAsiaTheme="minorEastAsia"/>
          <w:b/>
          <w:bCs/>
          <w:kern w:val="2"/>
          <w:sz w:val="24"/>
          <w:szCs w:val="24"/>
          <w:lang w:val="en-US" w:eastAsia="zh-CN" w:bidi="ar-SA"/>
        </w:rPr>
        <w:t>1</w:t>
      </w:r>
      <w:r>
        <w:rPr>
          <w:rFonts w:hint="eastAsia" w:ascii="Times New Roman" w:hAnsi="Times New Roman" w:cs="Times New Roman"/>
          <w:b/>
          <w:bCs/>
          <w:kern w:val="2"/>
          <w:sz w:val="24"/>
          <w:szCs w:val="24"/>
          <w:lang w:val="en-US" w:eastAsia="zh-CN" w:bidi="ar-SA"/>
        </w:rPr>
        <w:t>.</w:t>
      </w:r>
      <w:r>
        <w:rPr>
          <w:rFonts w:hint="eastAsia" w:ascii="Times New Roman" w:hAnsi="Times New Roman" w:cs="Times New Roman" w:eastAsiaTheme="minorEastAsia"/>
          <w:kern w:val="2"/>
          <w:sz w:val="24"/>
          <w:szCs w:val="24"/>
          <w:lang w:val="en-US" w:eastAsia="zh-CN" w:bidi="ar-SA"/>
        </w:rPr>
        <w:t xml:space="preserve"> Flowchart of the selection of patients</w:t>
      </w:r>
    </w:p>
    <w:p w14:paraId="4D53BB7D">
      <w:pPr>
        <w:pStyle w:val="16"/>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eastAsiaTheme="minorEastAsia"/>
          <w:kern w:val="2"/>
          <w:sz w:val="24"/>
          <w:szCs w:val="24"/>
          <w:lang w:val="en-US" w:eastAsia="zh-CN" w:bidi="ar-SA"/>
        </w:rPr>
      </w:pPr>
    </w:p>
    <w:p w14:paraId="250C6708">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Data Extraction</w:t>
      </w:r>
    </w:p>
    <w:p w14:paraId="0E9B40D6">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 xml:space="preserve">Data were extracted using Navicat Premium (Version 16.1.12) with Structured Query Language (SQL). The following data were retrieved for </w:t>
      </w:r>
      <w:r>
        <w:rPr>
          <w:rFonts w:hint="eastAsia" w:ascii="Times New Roman" w:hAnsi="Times New Roman" w:cs="Times New Roman"/>
          <w:sz w:val="24"/>
          <w:szCs w:val="24"/>
        </w:rPr>
        <w:t>every case when admitted</w:t>
      </w:r>
      <w:r>
        <w:rPr>
          <w:rFonts w:ascii="Times New Roman" w:hAnsi="Times New Roman" w:cs="Times New Roman"/>
          <w:sz w:val="24"/>
          <w:szCs w:val="24"/>
        </w:rPr>
        <w:t xml:space="preserve">: demographic </w:t>
      </w:r>
      <w:r>
        <w:rPr>
          <w:rFonts w:hint="eastAsia" w:ascii="Times New Roman" w:hAnsi="Times New Roman" w:cs="Times New Roman"/>
          <w:sz w:val="24"/>
          <w:szCs w:val="24"/>
        </w:rPr>
        <w:t xml:space="preserve">details </w:t>
      </w:r>
      <w:r>
        <w:rPr>
          <w:rFonts w:ascii="Times New Roman" w:hAnsi="Times New Roman" w:cs="Times New Roman"/>
          <w:sz w:val="24"/>
          <w:szCs w:val="24"/>
        </w:rPr>
        <w:t>( weight</w:t>
      </w:r>
      <w:r>
        <w:rPr>
          <w:rFonts w:hint="eastAsia" w:ascii="Times New Roman" w:hAnsi="Times New Roman" w:cs="Times New Roman"/>
          <w:sz w:val="24"/>
          <w:szCs w:val="24"/>
        </w:rPr>
        <w:t xml:space="preserve">, </w:t>
      </w:r>
      <w:r>
        <w:rPr>
          <w:rFonts w:ascii="Times New Roman" w:hAnsi="Times New Roman" w:cs="Times New Roman"/>
          <w:sz w:val="24"/>
          <w:szCs w:val="24"/>
        </w:rPr>
        <w:t>age, sex</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 clinical scores( Glasgow Coma Scale [GCS], </w:t>
      </w:r>
      <w:r>
        <w:rPr>
          <w:rFonts w:hint="eastAsia" w:ascii="Times New Roman" w:hAnsi="Times New Roman" w:cs="Times New Roman"/>
          <w:sz w:val="24"/>
          <w:szCs w:val="24"/>
          <w:lang w:val="en-US" w:eastAsia="zh-CN"/>
        </w:rPr>
        <w:t>Sequential Organ Failure Assessment [</w:t>
      </w:r>
      <w:r>
        <w:rPr>
          <w:rFonts w:hint="eastAsia" w:ascii="Times New Roman" w:hAnsi="Times New Roman" w:cs="Times New Roman"/>
          <w:sz w:val="24"/>
          <w:szCs w:val="24"/>
        </w:rPr>
        <w:t>SOFA</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historical medical records ( chronic pulmonary dise</w:t>
      </w:r>
      <w:r>
        <w:rPr>
          <w:rFonts w:ascii="Times New Roman" w:hAnsi="Times New Roman" w:cs="Times New Roman"/>
          <w:sz w:val="24"/>
          <w:szCs w:val="24"/>
        </w:rPr>
        <w:t>ase</w:t>
      </w:r>
      <w:r>
        <w:rPr>
          <w:rFonts w:hint="eastAsia" w:ascii="Times New Roman" w:hAnsi="Times New Roman" w:cs="Times New Roman"/>
          <w:sz w:val="24"/>
          <w:szCs w:val="24"/>
        </w:rPr>
        <w:t xml:space="preserve">, </w:t>
      </w:r>
      <w:r>
        <w:rPr>
          <w:rFonts w:ascii="Times New Roman" w:hAnsi="Times New Roman" w:cs="Times New Roman"/>
          <w:sz w:val="24"/>
          <w:szCs w:val="24"/>
        </w:rPr>
        <w:t>congestive heart failure [CHF], diabetes mellitus, hypertension</w:t>
      </w:r>
      <w:r>
        <w:rPr>
          <w:rFonts w:hint="eastAsia" w:ascii="Times New Roman" w:hAnsi="Times New Roman" w:cs="Times New Roman"/>
          <w:sz w:val="24"/>
          <w:szCs w:val="24"/>
        </w:rPr>
        <w:t xml:space="preserve"> </w:t>
      </w:r>
      <w:r>
        <w:rPr>
          <w:rFonts w:ascii="Times New Roman" w:hAnsi="Times New Roman" w:cs="Times New Roman"/>
          <w:sz w:val="24"/>
          <w:szCs w:val="24"/>
        </w:rPr>
        <w:t>)</w:t>
      </w:r>
      <w:r>
        <w:rPr>
          <w:rFonts w:hint="eastAsia" w:ascii="Times New Roman" w:hAnsi="Times New Roman" w:cs="Times New Roman"/>
          <w:sz w:val="24"/>
          <w:szCs w:val="24"/>
        </w:rPr>
        <w:t xml:space="preserve">; laboratory measurements </w:t>
      </w:r>
      <w:r>
        <w:rPr>
          <w:rFonts w:ascii="Times New Roman" w:hAnsi="Times New Roman" w:cs="Times New Roman"/>
          <w:sz w:val="24"/>
          <w:szCs w:val="24"/>
        </w:rPr>
        <w:t>( platelet count,</w:t>
      </w:r>
      <w:r>
        <w:rPr>
          <w:rFonts w:hint="eastAsia" w:ascii="Times New Roman" w:hAnsi="Times New Roman" w:cs="Times New Roman"/>
          <w:sz w:val="24"/>
          <w:szCs w:val="24"/>
        </w:rPr>
        <w:t xml:space="preserve"> </w:t>
      </w:r>
      <w:r>
        <w:rPr>
          <w:rFonts w:ascii="Times New Roman" w:hAnsi="Times New Roman" w:cs="Times New Roman"/>
          <w:sz w:val="24"/>
          <w:szCs w:val="24"/>
        </w:rPr>
        <w:t>white blood cell [WBC] count,</w:t>
      </w:r>
      <w:r>
        <w:rPr>
          <w:rFonts w:hint="eastAsia" w:ascii="Times New Roman" w:hAnsi="Times New Roman" w:cs="Times New Roman"/>
          <w:sz w:val="24"/>
          <w:szCs w:val="24"/>
        </w:rPr>
        <w:t xml:space="preserve"> </w:t>
      </w:r>
      <w:r>
        <w:rPr>
          <w:rFonts w:ascii="Times New Roman" w:hAnsi="Times New Roman" w:cs="Times New Roman"/>
          <w:sz w:val="24"/>
          <w:szCs w:val="24"/>
        </w:rPr>
        <w:t>hematocrit, hemoglobin, aspartate transaminase [A</w:t>
      </w:r>
      <w:r>
        <w:rPr>
          <w:rFonts w:hint="eastAsia" w:ascii="Times New Roman" w:hAnsi="Times New Roman" w:cs="Times New Roman"/>
          <w:sz w:val="24"/>
          <w:szCs w:val="24"/>
          <w:lang w:val="en-US" w:eastAsia="zh-CN"/>
        </w:rPr>
        <w:t>st</w:t>
      </w:r>
      <w:r>
        <w:rPr>
          <w:rFonts w:ascii="Times New Roman" w:hAnsi="Times New Roman" w:cs="Times New Roman"/>
          <w:sz w:val="24"/>
          <w:szCs w:val="24"/>
        </w:rPr>
        <w:t>], alanine transaminase [A</w:t>
      </w:r>
      <w:r>
        <w:rPr>
          <w:rFonts w:hint="eastAsia" w:ascii="Times New Roman" w:hAnsi="Times New Roman" w:cs="Times New Roman"/>
          <w:sz w:val="24"/>
          <w:szCs w:val="24"/>
          <w:lang w:val="en-US" w:eastAsia="zh-CN"/>
        </w:rPr>
        <w:t>lt</w:t>
      </w:r>
      <w:r>
        <w:rPr>
          <w:rFonts w:ascii="Times New Roman" w:hAnsi="Times New Roman" w:cs="Times New Roman"/>
          <w:sz w:val="24"/>
          <w:szCs w:val="24"/>
        </w:rPr>
        <w:t>],</w:t>
      </w:r>
      <w:r>
        <w:rPr>
          <w:rFonts w:hint="eastAsia" w:ascii="Times New Roman" w:hAnsi="Times New Roman" w:cs="Times New Roman"/>
          <w:sz w:val="24"/>
          <w:szCs w:val="24"/>
        </w:rPr>
        <w:t xml:space="preserve"> </w:t>
      </w:r>
      <w:r>
        <w:rPr>
          <w:rFonts w:ascii="Times New Roman" w:hAnsi="Times New Roman" w:cs="Times New Roman"/>
          <w:sz w:val="24"/>
          <w:szCs w:val="24"/>
        </w:rPr>
        <w:t>total bilirubin [TBil], albumin,</w:t>
      </w:r>
      <w:r>
        <w:rPr>
          <w:rFonts w:hint="eastAsia" w:ascii="Times New Roman" w:hAnsi="Times New Roman" w:cs="Times New Roman"/>
          <w:sz w:val="24"/>
          <w:szCs w:val="24"/>
        </w:rPr>
        <w:t xml:space="preserve"> </w:t>
      </w:r>
      <w:r>
        <w:rPr>
          <w:rFonts w:ascii="Times New Roman" w:hAnsi="Times New Roman" w:cs="Times New Roman"/>
          <w:sz w:val="24"/>
          <w:szCs w:val="24"/>
        </w:rPr>
        <w:t>blood glucose</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Glu</w:t>
      </w:r>
      <w:r>
        <w:rPr>
          <w:rFonts w:hint="eastAsia" w:ascii="Times New Roman" w:hAnsi="Times New Roman" w:cs="Times New Roman"/>
          <w:sz w:val="24"/>
          <w:szCs w:val="24"/>
          <w:lang w:val="en-US" w:eastAsia="zh-CN"/>
        </w:rPr>
        <w:t>]</w:t>
      </w:r>
      <w:r>
        <w:rPr>
          <w:rFonts w:ascii="Times New Roman" w:hAnsi="Times New Roman" w:cs="Times New Roman"/>
          <w:sz w:val="24"/>
          <w:szCs w:val="24"/>
        </w:rPr>
        <w:t>, potassium, sodium, calcium, BUN, creatinine, BCR); treatments( norepinephrine, octreotide, antibiotics, anticoagulants, fluid resuscitation</w:t>
      </w:r>
      <w:r>
        <w:rPr>
          <w:rFonts w:hint="eastAsia" w:ascii="Times New Roman" w:hAnsi="Times New Roman" w:cs="Times New Roman"/>
          <w:sz w:val="24"/>
          <w:szCs w:val="24"/>
          <w:lang w:val="en-US" w:eastAsia="zh-CN"/>
        </w:rPr>
        <w:t>, C</w:t>
      </w:r>
      <w:r>
        <w:rPr>
          <w:rFonts w:ascii="Times New Roman" w:hAnsi="Times New Roman" w:cs="Times New Roman"/>
          <w:sz w:val="24"/>
          <w:szCs w:val="24"/>
        </w:rPr>
        <w:t xml:space="preserve">ontinuous </w:t>
      </w:r>
      <w:r>
        <w:rPr>
          <w:rFonts w:hint="eastAsia" w:ascii="Times New Roman" w:hAnsi="Times New Roman" w:cs="Times New Roman"/>
          <w:sz w:val="24"/>
          <w:szCs w:val="24"/>
          <w:lang w:val="en-US" w:eastAsia="zh-CN"/>
        </w:rPr>
        <w:t>R</w:t>
      </w:r>
      <w:r>
        <w:rPr>
          <w:rFonts w:ascii="Times New Roman" w:hAnsi="Times New Roman" w:cs="Times New Roman"/>
          <w:sz w:val="24"/>
          <w:szCs w:val="24"/>
        </w:rPr>
        <w:t xml:space="preserve">enal </w:t>
      </w:r>
      <w:r>
        <w:rPr>
          <w:rFonts w:hint="eastAsia" w:ascii="Times New Roman" w:hAnsi="Times New Roman" w:cs="Times New Roman"/>
          <w:sz w:val="24"/>
          <w:szCs w:val="24"/>
          <w:lang w:val="en-US" w:eastAsia="zh-CN"/>
        </w:rPr>
        <w:t>R</w:t>
      </w:r>
      <w:r>
        <w:rPr>
          <w:rFonts w:ascii="Times New Roman" w:hAnsi="Times New Roman" w:cs="Times New Roman"/>
          <w:sz w:val="24"/>
          <w:szCs w:val="24"/>
        </w:rPr>
        <w:t xml:space="preserve">eplacement </w:t>
      </w:r>
      <w:r>
        <w:rPr>
          <w:rFonts w:hint="eastAsia" w:ascii="Times New Roman" w:hAnsi="Times New Roman" w:cs="Times New Roman"/>
          <w:sz w:val="24"/>
          <w:szCs w:val="24"/>
          <w:lang w:val="en-US" w:eastAsia="zh-CN"/>
        </w:rPr>
        <w:t>T</w:t>
      </w:r>
      <w:r>
        <w:rPr>
          <w:rFonts w:ascii="Times New Roman" w:hAnsi="Times New Roman" w:cs="Times New Roman"/>
          <w:sz w:val="24"/>
          <w:szCs w:val="24"/>
        </w:rPr>
        <w:t>herapy [CRRT]</w:t>
      </w:r>
      <w:r>
        <w:rPr>
          <w:rFonts w:hint="eastAsia" w:ascii="Times New Roman" w:hAnsi="Times New Roman" w:cs="Times New Roman"/>
          <w:sz w:val="24"/>
          <w:szCs w:val="24"/>
        </w:rPr>
        <w:t xml:space="preserve"> </w:t>
      </w:r>
      <w:r>
        <w:rPr>
          <w:rFonts w:ascii="Times New Roman" w:hAnsi="Times New Roman" w:cs="Times New Roman"/>
          <w:sz w:val="24"/>
          <w:szCs w:val="24"/>
        </w:rPr>
        <w:t>); comorbidities and outcomes( renal failure, respiratory failure, sepsis, mechanical ventilation, ICU mortality,</w:t>
      </w:r>
      <w:r>
        <w:rPr>
          <w:rFonts w:hint="eastAsia" w:ascii="Times New Roman" w:hAnsi="Times New Roman" w:cs="Times New Roman"/>
          <w:sz w:val="24"/>
          <w:szCs w:val="24"/>
          <w:lang w:val="en-US" w:eastAsia="zh-CN"/>
        </w:rPr>
        <w:t xml:space="preserve"> length of stay in intensive care unit [LOS in ICU]</w:t>
      </w:r>
      <w:r>
        <w:rPr>
          <w:rFonts w:ascii="Times New Roman" w:hAnsi="Times New Roman" w:cs="Times New Roman"/>
          <w:sz w:val="24"/>
          <w:szCs w:val="24"/>
        </w:rPr>
        <w:t>, in-hospital mortality, 28-day mortality, 90-day mortality</w:t>
      </w:r>
      <w:r>
        <w:rPr>
          <w:rFonts w:hint="eastAsia" w:ascii="Times New Roman" w:hAnsi="Times New Roman" w:cs="Times New Roman"/>
          <w:sz w:val="24"/>
          <w:szCs w:val="24"/>
        </w:rPr>
        <w:t xml:space="preserve"> </w:t>
      </w:r>
      <w:r>
        <w:rPr>
          <w:rFonts w:ascii="Times New Roman" w:hAnsi="Times New Roman" w:cs="Times New Roman"/>
          <w:sz w:val="24"/>
          <w:szCs w:val="24"/>
        </w:rPr>
        <w:t>). For trajectory modeling, serum creatinine and blood urea nitrogen</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were extracted from three predefined ICU admission time windows: 0–24 h, 24–48 h, and 48–72 h post-admission. Within each window, we used the first valid paired BUN–</w:t>
      </w:r>
      <w:r>
        <w:rPr>
          <w:rFonts w:hint="eastAsia" w:ascii="Times New Roman" w:hAnsi="Times New Roman" w:cs="Times New Roman"/>
          <w:sz w:val="24"/>
          <w:szCs w:val="24"/>
          <w:lang w:val="en-US" w:eastAsia="zh-CN"/>
        </w:rPr>
        <w:t>Cr</w:t>
      </w:r>
      <w:r>
        <w:rPr>
          <w:rFonts w:ascii="Times New Roman" w:hAnsi="Times New Roman" w:cs="Times New Roman"/>
          <w:sz w:val="24"/>
          <w:szCs w:val="24"/>
        </w:rPr>
        <w:t xml:space="preserve"> laboratory result to compute BCR (BCR = BUN / </w:t>
      </w:r>
      <w:r>
        <w:rPr>
          <w:rFonts w:hint="eastAsia" w:ascii="Times New Roman" w:hAnsi="Times New Roman" w:cs="Times New Roman"/>
          <w:sz w:val="24"/>
          <w:szCs w:val="24"/>
          <w:lang w:val="en-US" w:eastAsia="zh-CN"/>
        </w:rPr>
        <w:t>Cr</w:t>
      </w:r>
      <w:r>
        <w:rPr>
          <w:rFonts w:ascii="Times New Roman" w:hAnsi="Times New Roman" w:cs="Times New Roman"/>
          <w:sz w:val="24"/>
          <w:szCs w:val="24"/>
        </w:rPr>
        <w:t>); repeated measurements in the same window were not averaged, nor were maximum or minimum values selected. Only patients with complete paired BUN–</w:t>
      </w:r>
      <w:r>
        <w:rPr>
          <w:rFonts w:hint="eastAsia" w:ascii="Times New Roman" w:hAnsi="Times New Roman" w:cs="Times New Roman"/>
          <w:sz w:val="24"/>
          <w:szCs w:val="24"/>
          <w:lang w:val="en-US" w:eastAsia="zh-CN"/>
        </w:rPr>
        <w:t>Cr</w:t>
      </w:r>
      <w:r>
        <w:rPr>
          <w:rFonts w:ascii="Times New Roman" w:hAnsi="Times New Roman" w:cs="Times New Roman"/>
          <w:sz w:val="24"/>
          <w:szCs w:val="24"/>
        </w:rPr>
        <w:t xml:space="preserve"> data across all three windows were eligible for trajectory modeling.</w:t>
      </w:r>
    </w:p>
    <w:p w14:paraId="4757F0FC">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p>
    <w:p w14:paraId="593A7F9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b/>
          <w:bCs/>
          <w:sz w:val="24"/>
          <w:szCs w:val="24"/>
        </w:rPr>
        <w:t>Study Outcomes</w:t>
      </w:r>
    </w:p>
    <w:p w14:paraId="60ECB30F">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 xml:space="preserve">The </w:t>
      </w:r>
      <w:r>
        <w:rPr>
          <w:rFonts w:hint="eastAsia" w:ascii="Times New Roman" w:hAnsi="Times New Roman" w:cs="Times New Roman"/>
          <w:sz w:val="24"/>
          <w:szCs w:val="24"/>
        </w:rPr>
        <w:t>o</w:t>
      </w:r>
      <w:r>
        <w:rPr>
          <w:rFonts w:ascii="Times New Roman" w:hAnsi="Times New Roman" w:cs="Times New Roman"/>
          <w:sz w:val="24"/>
          <w:szCs w:val="24"/>
        </w:rPr>
        <w:t xml:space="preserve">utcomes were all-cause mortality at 28 days and 90 days </w:t>
      </w:r>
      <w:r>
        <w:rPr>
          <w:rFonts w:hint="eastAsia" w:ascii="Times New Roman" w:hAnsi="Times New Roman" w:cs="Times New Roman"/>
          <w:sz w:val="24"/>
          <w:szCs w:val="24"/>
        </w:rPr>
        <w:t>following</w:t>
      </w:r>
      <w:r>
        <w:rPr>
          <w:rFonts w:ascii="Times New Roman" w:hAnsi="Times New Roman" w:cs="Times New Roman"/>
          <w:sz w:val="24"/>
          <w:szCs w:val="24"/>
        </w:rPr>
        <w:t xml:space="preserve"> admission. </w:t>
      </w:r>
    </w:p>
    <w:p w14:paraId="7355FB72">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Statistical Analysis</w:t>
      </w:r>
    </w:p>
    <w:p w14:paraId="356577C0">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 xml:space="preserve"> BCR trajectories were generated using group-based trajectory modeling (GBTM). GBTM predict</w:t>
      </w:r>
      <w:r>
        <w:rPr>
          <w:rFonts w:hint="eastAsia" w:ascii="Times New Roman" w:hAnsi="Times New Roman" w:cs="Times New Roman"/>
          <w:sz w:val="24"/>
          <w:szCs w:val="24"/>
          <w:lang w:val="en-US" w:eastAsia="zh-CN"/>
        </w:rPr>
        <w:t>ed</w:t>
      </w:r>
      <w:r>
        <w:rPr>
          <w:rFonts w:ascii="Times New Roman" w:hAnsi="Times New Roman" w:cs="Times New Roman"/>
          <w:sz w:val="24"/>
          <w:szCs w:val="24"/>
        </w:rPr>
        <w:t xml:space="preserve"> group-specific trajectories, estimate</w:t>
      </w:r>
      <w:r>
        <w:rPr>
          <w:rFonts w:hint="eastAsia" w:ascii="Times New Roman" w:hAnsi="Times New Roman" w:cs="Times New Roman"/>
          <w:sz w:val="24"/>
          <w:szCs w:val="24"/>
          <w:lang w:val="en-US" w:eastAsia="zh-CN"/>
        </w:rPr>
        <w:t>d</w:t>
      </w:r>
      <w:r>
        <w:rPr>
          <w:rFonts w:ascii="Times New Roman" w:hAnsi="Times New Roman" w:cs="Times New Roman"/>
          <w:sz w:val="24"/>
          <w:szCs w:val="24"/>
        </w:rPr>
        <w:t xml:space="preserve"> each individual's posterior probability of group membership, and assign</w:t>
      </w:r>
      <w:r>
        <w:rPr>
          <w:rFonts w:hint="eastAsia" w:ascii="Times New Roman" w:hAnsi="Times New Roman" w:cs="Times New Roman"/>
          <w:sz w:val="24"/>
          <w:szCs w:val="24"/>
          <w:lang w:val="en-US" w:eastAsia="zh-CN"/>
        </w:rPr>
        <w:t>ed</w:t>
      </w:r>
      <w:r>
        <w:rPr>
          <w:rFonts w:ascii="Times New Roman" w:hAnsi="Times New Roman" w:cs="Times New Roman"/>
          <w:sz w:val="24"/>
          <w:szCs w:val="24"/>
        </w:rPr>
        <w:t xml:space="preserve"> patients to the group with the highest probability. The model use</w:t>
      </w:r>
      <w:r>
        <w:rPr>
          <w:rFonts w:hint="eastAsia" w:ascii="Times New Roman" w:hAnsi="Times New Roman" w:cs="Times New Roman"/>
          <w:sz w:val="24"/>
          <w:szCs w:val="24"/>
          <w:lang w:val="en-US" w:eastAsia="zh-CN"/>
        </w:rPr>
        <w:t>d</w:t>
      </w:r>
      <w:r>
        <w:rPr>
          <w:rFonts w:ascii="Times New Roman" w:hAnsi="Times New Roman" w:cs="Times New Roman"/>
          <w:sz w:val="24"/>
          <w:szCs w:val="24"/>
        </w:rPr>
        <w:t xml:space="preserve"> a finite set of polynomial time functions to characterize these trajectories.</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xml:space="preserve">Three criteria were used to determine the optimal number of trajectory classes: </w:t>
      </w:r>
      <w:r>
        <w:rPr>
          <w:rFonts w:ascii="Times New Roman" w:hAnsi="Times New Roman" w:cs="Times New Roman"/>
          <w:sz w:val="24"/>
          <w:szCs w:val="24"/>
        </w:rPr>
        <w:t xml:space="preserve">1) the lowest Bayesian Information Criterion (BIC) value; 2) an average posterior probability &gt; 0.7 for group assignment; 3) a minimum class size &gt; 2% </w:t>
      </w:r>
      <w:r>
        <w:rPr>
          <w:rFonts w:hint="eastAsia" w:ascii="Times New Roman" w:hAnsi="Times New Roman" w:cs="Times New Roman"/>
          <w:sz w:val="24"/>
          <w:szCs w:val="24"/>
        </w:rPr>
        <w:t>in</w:t>
      </w:r>
      <w:r>
        <w:rPr>
          <w:rFonts w:ascii="Times New Roman" w:hAnsi="Times New Roman" w:cs="Times New Roman"/>
          <w:sz w:val="24"/>
          <w:szCs w:val="24"/>
        </w:rPr>
        <w:t xml:space="preserve"> the total </w:t>
      </w:r>
      <w:r>
        <w:rPr>
          <w:rFonts w:hint="eastAsia" w:ascii="Times New Roman" w:hAnsi="Times New Roman" w:cs="Times New Roman"/>
          <w:sz w:val="24"/>
          <w:szCs w:val="24"/>
        </w:rPr>
        <w:t>cohort</w:t>
      </w:r>
      <w:r>
        <w:rPr>
          <w:rFonts w:hint="eastAsia"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&lt;EndNote&gt;&lt;Cite&gt;&lt;Author&gt;Mirza&lt;/Author&gt;&lt;Year&gt;2016&lt;/Year&gt;&lt;RecNum&gt;8&lt;/RecNum&gt;&lt;DisplayText&gt;[18]&lt;/DisplayText&gt;&lt;record&gt;&lt;rec-number&gt;8&lt;/rec-number&gt;&lt;foreign-keys&gt;&lt;key app="EN" db-id="vw2sr5vvldww50et259xtp2mfpxar95s25ez" timestamp="1769919605"&gt;8&lt;/key&gt;&lt;/foreign-keys&gt;&lt;ref-type name="Journal Article"&gt;17&lt;/ref-type&gt;&lt;contributors&gt;&lt;authors&gt;&lt;author&gt;Mirza, Saira Saeed&lt;/author&gt;&lt;author&gt;Wolters, Frank J.&lt;/author&gt;&lt;author&gt;Swanson, Sonja A.&lt;/author&gt;&lt;author&gt;Koudstaal, Peter J.&lt;/author&gt;&lt;author&gt;Hofman, Albert&lt;/author&gt;&lt;author&gt;Tiemeier, Henning&lt;/author&gt;&lt;author&gt;Ikram, M. Arfan&lt;/author&gt;&lt;/authors&gt;&lt;/contributors&gt;&lt;titles&gt;&lt;title&gt;10-year trajectories of depressive symptoms and risk of dementia: a population-based study&lt;/title&gt;&lt;secondary-title&gt;The Lancet Psychiatry&lt;/secondary-title&gt;&lt;/titles&gt;&lt;pages&gt;628-635&lt;/pages&gt;&lt;volume&gt;3&lt;/volume&gt;&lt;number&gt;7&lt;/number&gt;&lt;section&gt;628&lt;/section&gt;&lt;dates&gt;&lt;year&gt;2016&lt;/year&gt;&lt;/dates&gt;&lt;isbn&gt;22150366&lt;/isbn&gt;&lt;urls&gt;&lt;/urls&gt;&lt;electronic-resource-num&gt;10.1016/s2215-0366(16)00097-3&lt;/electronic-resource-num&gt;&lt;/record&gt;&lt;/Cite&gt;&lt;/EndNote&gt;</w:instrText>
      </w:r>
      <w:r>
        <w:rPr>
          <w:rFonts w:hint="eastAsia"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[18]</w:t>
      </w:r>
      <w:r>
        <w:rPr>
          <w:rFonts w:hint="eastAsia" w:ascii="Times New Roman" w:hAnsi="Times New Roman" w:cs="Times New Roman"/>
          <w:sz w:val="24"/>
          <w:szCs w:val="24"/>
        </w:rPr>
        <w:fldChar w:fldCharType="end"/>
      </w:r>
      <w:r>
        <w:rPr>
          <w:rFonts w:ascii="Times New Roman" w:hAnsi="Times New Roman" w:cs="Times New Roman"/>
          <w:sz w:val="24"/>
          <w:szCs w:val="24"/>
        </w:rPr>
        <w:t>.</w:t>
      </w:r>
    </w:p>
    <w:p w14:paraId="23AE8F25">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highlight w:val="none"/>
        </w:rPr>
        <w:t>Baseline char</w:t>
      </w:r>
      <w:r>
        <w:rPr>
          <w:rFonts w:hint="eastAsia" w:ascii="Times New Roman" w:hAnsi="Times New Roman" w:cs="Times New Roman"/>
          <w:sz w:val="24"/>
          <w:szCs w:val="24"/>
        </w:rPr>
        <w:t xml:space="preserve">acteristics across the four trajectory groups were compared using descriptive statistics. Normally distributed continuous variables were shown as mean ± standard deviation (SD), and non-normally distributed continuous variables were presented as median with interquartile range (IQR); categorical variables were displayed as absolute counts (percentages). When dealing with continuous variables, one-way analysis of variance (ANOVA) was employed if the data showed normal distribution and homogeneous variance; otherwise, the Kruskal–Wallis test was adopted. </w:t>
      </w:r>
      <w:r>
        <w:rPr>
          <w:rFonts w:ascii="Times New Roman" w:hAnsi="Times New Roman" w:cs="Times New Roman"/>
          <w:sz w:val="24"/>
          <w:szCs w:val="24"/>
        </w:rPr>
        <w:t>Categorical variables were compared using the chi-square test. </w:t>
      </w:r>
      <w:r>
        <w:rPr>
          <w:rFonts w:hint="eastAsia" w:ascii="Times New Roman" w:hAnsi="Times New Roman" w:cs="Times New Roman"/>
          <w:sz w:val="24"/>
          <w:szCs w:val="24"/>
        </w:rPr>
        <w:t>Kaplan–Meier curves were generated to visualize survival differences across trajectory groups, and the log-rank test was used to compare survival distributions.</w:t>
      </w:r>
      <w:bookmarkStart w:id="3" w:name="OLE_LINK2"/>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The associations between BCR trajectory groups and 28</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day and 90</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day all</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cause mortality were assessed using Cox proportional hazards regression. Four analytical models were applied, including the original crude model, base</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adjusted Model I, parsimonious primary model</w:t>
      </w:r>
      <w:r>
        <w:rPr>
          <w:rFonts w:hint="eastAsia" w:ascii="Times New Roman" w:hAnsi="Times New Roman" w:cs="Times New Roman"/>
          <w:sz w:val="24"/>
          <w:szCs w:val="24"/>
          <w:lang w:val="en-US" w:eastAsia="zh-CN"/>
        </w:rPr>
        <w:t xml:space="preserve">, and </w:t>
      </w:r>
      <w:r>
        <w:rPr>
          <w:rFonts w:hint="eastAsia" w:ascii="Times New Roman" w:hAnsi="Times New Roman" w:cs="Times New Roman"/>
          <w:sz w:val="24"/>
          <w:szCs w:val="24"/>
        </w:rPr>
        <w:t>extended</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adjusted Model II.</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The crude model was unadjusted. Model I was adjusted for age, sex, SOFA score, ICU LOS, and CRRT. The parsimonious primary model further incorporated albumin, norepinephrine use, and mechanical ventilation based on clinical prognostic relevance. The total number of covariates was strictly limited to maintain a robust events</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per</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variable ratio.</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Model II was an extended-adjusted model that incorporated all covariates from the parsimonious primary model, major comorbidities (hypertension and diabetes), and additional laboratory and clinical variables: WBC, platelet count, hemoglobin, glucose, calcium, octreotide, and fluid resuscitation.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To quantify the risk of 28-day and 90-day mortality for each BCR trajectory group, hazard ratios with 95% confidence intervals (CIs) were presented. Covariate selection was guided by known clinical relevance and univariable screening (P &lt;0.2 as the candidate entry threshold). To avoid collinearity, data redundancy, and model inflation, several univariable</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significant candidates were not included in Model II. Given its relatively high covariate load, Model II was presented in supplementary materials for exploratory analysis only</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supplementary</w:t>
      </w:r>
      <w:r>
        <w:rPr>
          <w:rFonts w:hint="eastAsia" w:ascii="Times New Roman" w:hAnsi="Times New Roman" w:cs="Times New Roman"/>
          <w:sz w:val="24"/>
          <w:szCs w:val="24"/>
          <w:lang w:val="en-US" w:eastAsia="zh-CN"/>
        </w:rPr>
        <w:t xml:space="preserve"> Table1)</w:t>
      </w:r>
      <w:r>
        <w:rPr>
          <w:rFonts w:hint="eastAsia" w:ascii="Times New Roman" w:hAnsi="Times New Roman" w:cs="Times New Roman"/>
          <w:sz w:val="24"/>
          <w:szCs w:val="24"/>
        </w:rPr>
        <w:t xml:space="preserve">. </w:t>
      </w:r>
      <w:r>
        <w:rPr>
          <w:rFonts w:hint="eastAsia" w:ascii="Times New Roman" w:hAnsi="Times New Roman" w:cs="Times New Roman"/>
          <w:sz w:val="24"/>
          <w:szCs w:val="24"/>
          <w:highlight w:val="none"/>
        </w:rPr>
        <w:t>Additionally, subgroup analyses were conducted for sex, age (dichotomized at 65 years), anticoagulant use, pleural effusion, and renal failure to assess potential effect modification. Interaction tests were performed to evaluate whether the association between BCR trajectories and mortality differed across subgroups.</w:t>
      </w:r>
    </w:p>
    <w:bookmarkEnd w:id="3"/>
    <w:p w14:paraId="77E3C611">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All statistical analyses were conducted using R Studio (Version 4.3.1). A two-sided P-value &lt; 0.05 was considered statistically significant.</w:t>
      </w:r>
    </w:p>
    <w:p w14:paraId="3621D89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p w14:paraId="0519DCBF">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rPr>
      </w:pPr>
      <w:r>
        <w:rPr>
          <w:rFonts w:ascii="Times New Roman" w:hAnsi="Times New Roman" w:cs="Times New Roman"/>
          <w:b/>
          <w:bCs/>
          <w:sz w:val="28"/>
          <w:szCs w:val="28"/>
        </w:rPr>
        <w:t>Results</w:t>
      </w:r>
    </w:p>
    <w:p w14:paraId="5DBA59DD">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 xml:space="preserve">The MIMIC-IV database was used to initially identify 1,310 patients with acute pancreatitis, all of whom were aged ≥18 years and admitted to the intensive care unit for the first time. After application of exclusion criteria (end-stage renal disease, cirrhosis, or cancer, n = 269; ICU stay &lt; 72 h, n = 2; missing data, n = 150; missing 28/90-day survival status, n = 283), 606 patients were finally included in the study. </w:t>
      </w:r>
      <w:r>
        <w:rPr>
          <w:rFonts w:ascii="Times New Roman" w:hAnsi="Times New Roman" w:cs="Times New Roman"/>
          <w:sz w:val="24"/>
          <w:szCs w:val="24"/>
        </w:rPr>
        <w:t xml:space="preserve">Group-based trajectory modeling was </w:t>
      </w:r>
      <w:r>
        <w:rPr>
          <w:rFonts w:hint="eastAsia" w:ascii="Times New Roman" w:hAnsi="Times New Roman" w:cs="Times New Roman"/>
          <w:sz w:val="24"/>
          <w:szCs w:val="24"/>
        </w:rPr>
        <w:t xml:space="preserve">served to distinguish unique BCR trajectories during the hospital stay. </w:t>
      </w:r>
    </w:p>
    <w:p w14:paraId="19E17AAB">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 xml:space="preserve">Based on model fit indices, clinical interpretability, and minimal class size, a 4-class trajectory model was selected as optimal (Figure 2). Patients were categorized into four classes: Class 1 (moderate-stable, 44.7%, </w:t>
      </w:r>
      <w:r>
        <w:rPr>
          <w:rFonts w:hint="eastAsia" w:ascii="Times New Roman" w:hAnsi="Times New Roman" w:cs="Times New Roman"/>
          <w:sz w:val="24"/>
          <w:szCs w:val="24"/>
          <w:lang w:val="en-US" w:eastAsia="zh-CN"/>
        </w:rPr>
        <w:t>N</w:t>
      </w:r>
      <w:r>
        <w:rPr>
          <w:rFonts w:hint="eastAsia" w:ascii="Times New Roman" w:hAnsi="Times New Roman" w:cs="Times New Roman"/>
          <w:sz w:val="24"/>
          <w:szCs w:val="24"/>
        </w:rPr>
        <w:t xml:space="preserve">=271), Class 2 (low-stable, 39.8%, </w:t>
      </w:r>
      <w:r>
        <w:rPr>
          <w:rFonts w:hint="eastAsia" w:ascii="Times New Roman" w:hAnsi="Times New Roman" w:cs="Times New Roman"/>
          <w:sz w:val="24"/>
          <w:szCs w:val="24"/>
          <w:lang w:val="en-US" w:eastAsia="zh-CN"/>
        </w:rPr>
        <w:t>N</w:t>
      </w:r>
      <w:r>
        <w:rPr>
          <w:rFonts w:hint="eastAsia" w:ascii="Times New Roman" w:hAnsi="Times New Roman" w:cs="Times New Roman"/>
          <w:sz w:val="24"/>
          <w:szCs w:val="24"/>
        </w:rPr>
        <w:t xml:space="preserve">=241), Class 3 (descend-ascend, 2.1%, </w:t>
      </w:r>
      <w:r>
        <w:rPr>
          <w:rFonts w:hint="eastAsia" w:ascii="Times New Roman" w:hAnsi="Times New Roman" w:cs="Times New Roman"/>
          <w:sz w:val="24"/>
          <w:szCs w:val="24"/>
          <w:lang w:val="en-US" w:eastAsia="zh-CN"/>
        </w:rPr>
        <w:t>N</w:t>
      </w:r>
      <w:r>
        <w:rPr>
          <w:rFonts w:hint="eastAsia" w:ascii="Times New Roman" w:hAnsi="Times New Roman" w:cs="Times New Roman"/>
          <w:sz w:val="24"/>
          <w:szCs w:val="24"/>
        </w:rPr>
        <w:t xml:space="preserve">=13), and Class 4 (high-stable, 13.4%, </w:t>
      </w:r>
      <w:r>
        <w:rPr>
          <w:rFonts w:hint="eastAsia" w:ascii="Times New Roman" w:hAnsi="Times New Roman" w:cs="Times New Roman"/>
          <w:sz w:val="24"/>
          <w:szCs w:val="24"/>
          <w:lang w:val="en-US" w:eastAsia="zh-CN"/>
        </w:rPr>
        <w:t>N</w:t>
      </w:r>
      <w:r>
        <w:rPr>
          <w:rFonts w:hint="eastAsia" w:ascii="Times New Roman" w:hAnsi="Times New Roman" w:cs="Times New Roman"/>
          <w:sz w:val="24"/>
          <w:szCs w:val="24"/>
        </w:rPr>
        <w:t>=81).</w:t>
      </w:r>
    </w:p>
    <w:p w14:paraId="6ECDC393">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anchor distT="0" distB="0" distL="114300" distR="114300" simplePos="0" relativeHeight="251659264" behindDoc="1" locked="0" layoutInCell="1" allowOverlap="1">
            <wp:simplePos x="0" y="0"/>
            <wp:positionH relativeFrom="column">
              <wp:posOffset>304800</wp:posOffset>
            </wp:positionH>
            <wp:positionV relativeFrom="paragraph">
              <wp:posOffset>80010</wp:posOffset>
            </wp:positionV>
            <wp:extent cx="5262880" cy="3004820"/>
            <wp:effectExtent l="0" t="0" r="7620" b="5080"/>
            <wp:wrapTight wrapText="bothSides">
              <wp:wrapPolygon>
                <wp:start x="0" y="0"/>
                <wp:lineTo x="0" y="21545"/>
                <wp:lineTo x="21527" y="21545"/>
                <wp:lineTo x="21527" y="0"/>
                <wp:lineTo x="0" y="0"/>
              </wp:wrapPolygon>
            </wp:wrapTight>
            <wp:docPr id="9" name="图片 9" descr="Pdf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dfFigure2"/>
                    <pic:cNvPicPr>
                      <a:picLocks noChangeAspect="1"/>
                    </pic:cNvPicPr>
                  </pic:nvPicPr>
                  <pic:blipFill>
                    <a:blip r:embed="rId8"/>
                    <a:stretch>
                      <a:fillRect/>
                    </a:stretch>
                  </pic:blipFill>
                  <pic:spPr>
                    <a:xfrm>
                      <a:off x="0" y="0"/>
                      <a:ext cx="5262880" cy="3004820"/>
                    </a:xfrm>
                    <a:prstGeom prst="rect">
                      <a:avLst/>
                    </a:prstGeom>
                  </pic:spPr>
                </pic:pic>
              </a:graphicData>
            </a:graphic>
          </wp:anchor>
        </w:drawing>
      </w:r>
    </w:p>
    <w:p w14:paraId="10280ED5">
      <w:pPr>
        <w:pStyle w:val="16"/>
        <w:keepNext w:val="0"/>
        <w:keepLines w:val="0"/>
        <w:pageBreakBefore w:val="0"/>
        <w:kinsoku/>
        <w:wordWrap/>
        <w:overflowPunct/>
        <w:topLinePunct w:val="0"/>
        <w:bidi w:val="0"/>
        <w:snapToGrid/>
        <w:spacing w:line="480" w:lineRule="auto"/>
        <w:textAlignment w:val="auto"/>
      </w:pPr>
      <w:r>
        <w:rPr>
          <w:rFonts w:hint="eastAsia" w:ascii="Times New Roman" w:hAnsi="Times New Roman" w:cs="Times New Roman" w:eastAsiaTheme="minorEastAsia"/>
          <w:b/>
          <w:bCs/>
          <w:kern w:val="2"/>
          <w:sz w:val="24"/>
          <w:szCs w:val="24"/>
          <w:lang w:val="en-US" w:eastAsia="zh-CN" w:bidi="ar-SA"/>
        </w:rPr>
        <w:t>Fig.2.</w:t>
      </w:r>
      <w:r>
        <w:rPr>
          <w:rFonts w:hint="eastAsia" w:ascii="Times New Roman" w:hAnsi="Times New Roman" w:cs="Times New Roman" w:eastAsiaTheme="minorEastAsia"/>
          <w:b w:val="0"/>
          <w:bCs w:val="0"/>
          <w:kern w:val="2"/>
          <w:sz w:val="24"/>
          <w:szCs w:val="24"/>
          <w:lang w:val="en-US" w:eastAsia="zh-CN" w:bidi="ar-SA"/>
        </w:rPr>
        <w:t xml:space="preserve"> Identification of BCR trajectories. Four distinct BCR trajectories were derived: Class 1 (44.7%, moderate-stable): mildly elevated, stable BCR; Class 2 (39.8%, low-stable): persistently low, stable BCR; Class 3 (2.1%, descend-ascend): fluctuating BCR with an early decrease and subsequent rebound; Class 4 (13.4%, high-stable): persistently high and stable BCR.</w:t>
      </w:r>
    </w:p>
    <w:p w14:paraId="6AFAEBBC">
      <w:pPr>
        <w:pStyle w:val="16"/>
        <w:keepNext w:val="0"/>
        <w:keepLines w:val="0"/>
        <w:pageBreakBefore w:val="0"/>
        <w:kinsoku/>
        <w:wordWrap/>
        <w:overflowPunct/>
        <w:topLinePunct w:val="0"/>
        <w:bidi w:val="0"/>
        <w:snapToGrid/>
        <w:spacing w:line="480" w:lineRule="auto"/>
        <w:textAlignment w:val="auto"/>
      </w:pPr>
    </w:p>
    <w:p w14:paraId="2351C57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b/>
          <w:bCs/>
          <w:sz w:val="24"/>
          <w:szCs w:val="24"/>
        </w:rPr>
        <w:t>Baseline Characteristics</w:t>
      </w:r>
      <w:r>
        <w:rPr>
          <w:rFonts w:ascii="Times New Roman" w:hAnsi="Times New Roman" w:cs="Times New Roman"/>
          <w:sz w:val="24"/>
          <w:szCs w:val="24"/>
        </w:rPr>
        <w:t xml:space="preserve"> </w:t>
      </w:r>
    </w:p>
    <w:p w14:paraId="7985FD35">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 xml:space="preserve">Baseline characteristics of the </w:t>
      </w:r>
      <w:r>
        <w:rPr>
          <w:rFonts w:hint="eastAsia" w:ascii="Times New Roman" w:hAnsi="Times New Roman" w:cs="Times New Roman"/>
          <w:sz w:val="24"/>
          <w:szCs w:val="24"/>
        </w:rPr>
        <w:t>four</w:t>
      </w:r>
      <w:r>
        <w:rPr>
          <w:rFonts w:ascii="Times New Roman" w:hAnsi="Times New Roman" w:cs="Times New Roman"/>
          <w:sz w:val="24"/>
          <w:szCs w:val="24"/>
        </w:rPr>
        <w:t xml:space="preserve"> groups stratified by BCR trajectory groups were presented in Table 1.</w:t>
      </w:r>
      <w:r>
        <w:rPr>
          <w:rFonts w:hint="eastAsia" w:ascii="Times New Roman" w:hAnsi="Times New Roman" w:cs="Times New Roman"/>
          <w:sz w:val="24"/>
          <w:szCs w:val="24"/>
        </w:rPr>
        <w:t xml:space="preserve"> </w:t>
      </w:r>
      <w:r>
        <w:rPr>
          <w:rFonts w:ascii="Times New Roman" w:hAnsi="Times New Roman" w:cs="Times New Roman"/>
          <w:sz w:val="24"/>
          <w:szCs w:val="24"/>
        </w:rPr>
        <w:t>Patients in Class 1 and Class 4 were older (median age 66.0 years) compared to</w:t>
      </w:r>
      <w:r>
        <w:rPr>
          <w:rFonts w:hint="eastAsia" w:ascii="Times New Roman" w:hAnsi="Times New Roman" w:cs="Times New Roman"/>
          <w:sz w:val="24"/>
          <w:szCs w:val="24"/>
        </w:rPr>
        <w:t xml:space="preserve"> Class 2 and Class 3 (median age 54.0 and 54.0 years, respectively, P&lt;0.001)</w:t>
      </w:r>
      <w:r>
        <w:rPr>
          <w:rFonts w:ascii="Times New Roman" w:hAnsi="Times New Roman" w:cs="Times New Roman"/>
          <w:sz w:val="24"/>
          <w:szCs w:val="24"/>
        </w:rPr>
        <w:t xml:space="preserve">. The prevalence of diabetes was highest in Class 4 (58.0%) and Class 1 (52.0%), </w:t>
      </w:r>
      <w:r>
        <w:rPr>
          <w:rFonts w:hint="eastAsia" w:ascii="Times New Roman" w:hAnsi="Times New Roman" w:cs="Times New Roman"/>
          <w:sz w:val="24"/>
          <w:szCs w:val="24"/>
        </w:rPr>
        <w:t>both significantly higher than that in Class 2 (36.1%; both P&lt;0.001).</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Heart failure was more common in Class 1 (38.4%) and Class 4 (40.7%) than in Class 2 (22.0%</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P&lt;0.001). Class 4 had the highest levels of BUN (median 35.0 mg/dL), creatinine (median 1.1 mg/dL), and BCR (36.2±9.6), while Class 2 had the lowest (BUN: 13.0 mg/dL; creatinine: 0.9 mg/dL; BCR: 13.3±4.1, all P&lt;0.001). Fasting glucose was also highest in Class 4 (median 137.0 mg/dL) </w:t>
      </w:r>
      <w:r>
        <w:rPr>
          <w:rFonts w:hint="eastAsia" w:ascii="Times New Roman" w:hAnsi="Times New Roman" w:cs="Times New Roman"/>
          <w:sz w:val="24"/>
          <w:szCs w:val="24"/>
        </w:rPr>
        <w:t>when contrasted with the other groups</w:t>
      </w:r>
      <w:r>
        <w:rPr>
          <w:rFonts w:ascii="Times New Roman" w:hAnsi="Times New Roman" w:cs="Times New Roman"/>
          <w:sz w:val="24"/>
          <w:szCs w:val="24"/>
        </w:rPr>
        <w:t xml:space="preserve"> (P&lt;0.001). </w:t>
      </w:r>
      <w:r>
        <w:rPr>
          <w:rFonts w:hint="eastAsia" w:ascii="Times New Roman" w:hAnsi="Times New Roman" w:cs="Times New Roman"/>
          <w:sz w:val="24"/>
          <w:szCs w:val="24"/>
        </w:rPr>
        <w:t>Furthermore</w:t>
      </w:r>
      <w:r>
        <w:rPr>
          <w:rFonts w:ascii="Times New Roman" w:hAnsi="Times New Roman" w:cs="Times New Roman"/>
          <w:sz w:val="24"/>
          <w:szCs w:val="24"/>
        </w:rPr>
        <w:t>, the proportion of</w:t>
      </w:r>
      <w:r>
        <w:rPr>
          <w:rFonts w:hint="eastAsia" w:ascii="Times New Roman" w:hAnsi="Times New Roman" w:cs="Times New Roman"/>
          <w:sz w:val="24"/>
          <w:szCs w:val="24"/>
        </w:rPr>
        <w:t xml:space="preserve"> participants </w:t>
      </w:r>
      <w:r>
        <w:rPr>
          <w:rFonts w:ascii="Times New Roman" w:hAnsi="Times New Roman" w:cs="Times New Roman"/>
          <w:sz w:val="24"/>
          <w:szCs w:val="24"/>
        </w:rPr>
        <w:t>receiving antibiotics was highest in Class 1 (89.7%) and lowest in Class 2 (80.9%</w:t>
      </w:r>
      <w:r>
        <w:rPr>
          <w:rFonts w:hint="eastAsia" w:ascii="Times New Roman" w:hAnsi="Times New Roman" w:cs="Times New Roman"/>
          <w:sz w:val="24"/>
          <w:szCs w:val="24"/>
          <w:lang w:val="en-US" w:eastAsia="zh-CN"/>
        </w:rPr>
        <w:t>;</w:t>
      </w:r>
      <w:r>
        <w:rPr>
          <w:rFonts w:ascii="Times New Roman" w:hAnsi="Times New Roman" w:cs="Times New Roman"/>
          <w:sz w:val="24"/>
          <w:szCs w:val="24"/>
        </w:rPr>
        <w:t xml:space="preserve"> P=0.021). </w:t>
      </w:r>
    </w:p>
    <w:p w14:paraId="062AA343">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p>
    <w:p w14:paraId="2E638BE9">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Survival Analysis</w:t>
      </w:r>
    </w:p>
    <w:p w14:paraId="35796442">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eastAsiaTheme="minorEastAsia"/>
          <w:sz w:val="24"/>
          <w:szCs w:val="24"/>
          <w:lang w:eastAsia="zh-CN"/>
        </w:rPr>
      </w:pPr>
      <w:r>
        <w:rPr>
          <w:rFonts w:ascii="Times New Roman" w:hAnsi="Times New Roman" w:cs="Times New Roman"/>
          <w:sz w:val="24"/>
          <w:szCs w:val="24"/>
        </w:rPr>
        <w:t>Kaplan–Meier survival curves (Figure 3) revealed significant differences in survival across BCR trajectory groups at both 28 days (log-rank P=0.006) and 90 days (log-rank P=0.01). Cumulative mortality also differed significantly across groups at 28 days (P=0.008) and 90 days (P=0.027). At 28 days, Class 4 had the highest all-cause mortality (21.0%), followed by Class 3 (15.4%), Class 2 (10.4%), and Class 1 (7.7%). At 90 days, Class 4 remained the group with the highest mortality (33.3%), followed by Class 3 (23.1%), Class 1 (19.2%), and Class 2 (18.3%). Class 3 was not included in post-hoc pairwise comparisons due to its small sample size (n=13).</w:t>
      </w:r>
    </w:p>
    <w:p w14:paraId="2FF90F93">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2880" cy="1436370"/>
            <wp:effectExtent l="0" t="0" r="7620" b="11430"/>
            <wp:docPr id="10" name="图片 10" descr="Pdf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PdfFigure3"/>
                    <pic:cNvPicPr>
                      <a:picLocks noChangeAspect="1"/>
                    </pic:cNvPicPr>
                  </pic:nvPicPr>
                  <pic:blipFill>
                    <a:blip r:embed="rId9"/>
                    <a:stretch>
                      <a:fillRect/>
                    </a:stretch>
                  </pic:blipFill>
                  <pic:spPr>
                    <a:xfrm>
                      <a:off x="0" y="0"/>
                      <a:ext cx="5262880" cy="1436370"/>
                    </a:xfrm>
                    <a:prstGeom prst="rect">
                      <a:avLst/>
                    </a:prstGeom>
                  </pic:spPr>
                </pic:pic>
              </a:graphicData>
            </a:graphic>
          </wp:inline>
        </w:drawing>
      </w:r>
    </w:p>
    <w:p w14:paraId="6451C3CA">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eastAsiaTheme="minorEastAsia"/>
          <w:b w:val="0"/>
          <w:bCs w:val="0"/>
          <w:kern w:val="2"/>
          <w:sz w:val="24"/>
          <w:szCs w:val="24"/>
          <w:lang w:val="en-US" w:eastAsia="zh-CN" w:bidi="ar-SA"/>
        </w:rPr>
      </w:pPr>
      <w:r>
        <w:rPr>
          <w:rFonts w:hint="eastAsia" w:ascii="Times New Roman" w:hAnsi="Times New Roman" w:cs="Times New Roman" w:eastAsiaTheme="minorEastAsia"/>
          <w:b/>
          <w:bCs/>
          <w:kern w:val="2"/>
          <w:sz w:val="24"/>
          <w:szCs w:val="24"/>
          <w:lang w:val="en-US" w:eastAsia="zh-CN" w:bidi="ar-SA"/>
        </w:rPr>
        <w:t>Fig.3.</w:t>
      </w:r>
      <w:r>
        <w:rPr>
          <w:rFonts w:hint="eastAsia" w:ascii="Times New Roman" w:hAnsi="Times New Roman" w:cs="Times New Roman" w:eastAsiaTheme="minorEastAsia"/>
          <w:b w:val="0"/>
          <w:bCs w:val="0"/>
          <w:kern w:val="2"/>
          <w:sz w:val="24"/>
          <w:szCs w:val="24"/>
          <w:lang w:val="en-US" w:eastAsia="zh-CN" w:bidi="ar-SA"/>
        </w:rPr>
        <w:t xml:space="preserve"> Kaplan</w:t>
      </w:r>
      <w:r>
        <w:rPr>
          <w:rFonts w:hint="eastAsia" w:ascii="Times New Roman" w:hAnsi="Times New Roman" w:cs="Times New Roman"/>
          <w:b w:val="0"/>
          <w:bCs w:val="0"/>
          <w:kern w:val="2"/>
          <w:sz w:val="24"/>
          <w:szCs w:val="24"/>
          <w:lang w:val="en-US" w:eastAsia="zh-CN" w:bidi="ar-SA"/>
        </w:rPr>
        <w:t>-</w:t>
      </w:r>
      <w:r>
        <w:rPr>
          <w:rFonts w:hint="eastAsia" w:ascii="Times New Roman" w:hAnsi="Times New Roman" w:cs="Times New Roman" w:eastAsiaTheme="minorEastAsia"/>
          <w:b w:val="0"/>
          <w:bCs w:val="0"/>
          <w:kern w:val="2"/>
          <w:sz w:val="24"/>
          <w:szCs w:val="24"/>
          <w:lang w:val="en-US" w:eastAsia="zh-CN" w:bidi="ar-SA"/>
        </w:rPr>
        <w:t>Meier survival curves for all-cause mortality by BCR trajectory group in acute pancreatitis. Panels (A) and (B) show 28-day and 90-day survival curves for the four trajectory subgroups (moderate-stable, low-stable, descend-ascend, and high-stable groups), respectively.</w:t>
      </w:r>
    </w:p>
    <w:p w14:paraId="34EC015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p w14:paraId="27F240EC">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Relationships between BCR trajectories and clinical outcomes of patients with AP</w:t>
      </w:r>
    </w:p>
    <w:p w14:paraId="00F2370D">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highlight w:val="none"/>
        </w:rPr>
      </w:pPr>
      <w:r>
        <w:rPr>
          <w:rFonts w:hint="eastAsia" w:ascii="Times New Roman" w:hAnsi="Times New Roman" w:cs="Times New Roman"/>
          <w:sz w:val="24"/>
          <w:szCs w:val="24"/>
        </w:rPr>
        <w:t xml:space="preserve">The association between BCR trajectories and mortality was evaluated using Cox proportional hazard models, with Class 1 designated as the reference group </w:t>
      </w:r>
      <w:r>
        <w:rPr>
          <w:rFonts w:hint="eastAsia" w:ascii="Times New Roman" w:hAnsi="Times New Roman" w:cs="Times New Roman"/>
          <w:sz w:val="24"/>
          <w:szCs w:val="24"/>
          <w:highlight w:val="none"/>
        </w:rPr>
        <w:t>(Table 2).</w:t>
      </w:r>
    </w:p>
    <w:p w14:paraId="448619DD">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For 28-day all cause mortality, the high-stable BCR trajectory (Class 4) was strongly associated with elevated mortality risk in the crude model (HR = 2.95, 95% CI: 1.56–5.60, P &lt; 0.001). This association remained robust after adjustment in Model I (HR = 3.11, 95% CI: 1.63–5.95, P &lt; 0.001) and the parsimonious primary model (HR = 3.05, 95% CI: 1.58–5.89, P &lt; 0.001). Compared with Class 1 (reference), Class 2 also showed significantly higher 28-day mortality risk in Model I (HR = 2.09, 95% CI: 1.15–3.82, P = 0.016) and the parsimonious primary model (HR = 2.32, 95% CI: 1.26–4.27, P = 0.007). Class 3 yielded statistically significant elevated hazard ratios for 28-day mortality after adjustment; however, confidence intervals were extremely wide, reflecting considerable uncertainty in effect estimates due to the very small sample size of this group.</w:t>
      </w:r>
    </w:p>
    <w:p w14:paraId="771E2518">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b/>
          <w:bCs/>
          <w:sz w:val="24"/>
          <w:szCs w:val="24"/>
        </w:rPr>
      </w:pPr>
      <w:r>
        <w:rPr>
          <w:rFonts w:hint="eastAsia" w:ascii="Times New Roman" w:hAnsi="Times New Roman" w:cs="Times New Roman"/>
          <w:sz w:val="24"/>
          <w:szCs w:val="24"/>
        </w:rPr>
        <w:t>For 90-day all cause mortality, Class 4 demonstrated increased mortality risk in the crude model (HR = 1.96, 95% CI: 1.23–3.12, P = 0.005). The significant association persisted in Model I (HR = 1.98, 95% CI: 1.24–3.18, P = 0.004) and the parsimonious primary model (HR = 1.95, 95% CI: 1.21–3.13, P = 0.006). By contrast, after adjustment in both Model I and the parsimonious primary model, neither Class 2 nor Class 3 showed statistically significant associations with 90-day mortality. Results from the extended-adjusted Model II are provided in Supplementary Table 1 for exploratory reference.</w:t>
      </w:r>
    </w:p>
    <w:p w14:paraId="5F3DB82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b/>
          <w:bCs/>
          <w:sz w:val="24"/>
          <w:szCs w:val="24"/>
        </w:rPr>
        <w:t>Table2</w:t>
      </w:r>
      <w:r>
        <w:rPr>
          <w:rFonts w:ascii="Times New Roman" w:hAnsi="Times New Roman" w:cs="Times New Roman"/>
          <w:sz w:val="24"/>
          <w:szCs w:val="24"/>
        </w:rPr>
        <w:t xml:space="preserve"> Hazard ratios of 28-day and 90-day mortality risk in </w:t>
      </w:r>
      <w:r>
        <w:rPr>
          <w:rFonts w:hint="eastAsia" w:ascii="Times New Roman" w:hAnsi="Times New Roman" w:cs="Times New Roman"/>
          <w:sz w:val="24"/>
          <w:szCs w:val="24"/>
          <w:lang w:val="en-US" w:eastAsia="zh-CN"/>
        </w:rPr>
        <w:t>AP</w:t>
      </w:r>
      <w:r>
        <w:rPr>
          <w:rFonts w:ascii="Times New Roman" w:hAnsi="Times New Roman" w:cs="Times New Roman"/>
          <w:sz w:val="24"/>
          <w:szCs w:val="24"/>
        </w:rPr>
        <w:t xml:space="preserve"> by trajectory groups of BCR.</w:t>
      </w:r>
    </w:p>
    <w:tbl>
      <w:tblPr>
        <w:tblStyle w:val="9"/>
        <w:tblW w:w="9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0" w:type="dxa"/>
          <w:left w:w="64" w:type="dxa"/>
          <w:bottom w:w="40" w:type="dxa"/>
          <w:right w:w="64" w:type="dxa"/>
        </w:tblCellMar>
      </w:tblPr>
      <w:tblGrid>
        <w:gridCol w:w="932"/>
        <w:gridCol w:w="2055"/>
        <w:gridCol w:w="902"/>
        <w:gridCol w:w="2076"/>
        <w:gridCol w:w="902"/>
        <w:gridCol w:w="2076"/>
        <w:gridCol w:w="902"/>
      </w:tblGrid>
      <w:tr w14:paraId="5243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single" w:color="auto" w:sz="12" w:space="0"/>
              <w:left w:val="nil"/>
              <w:bottom w:val="nil"/>
              <w:right w:val="nil"/>
            </w:tcBorders>
            <w:vAlign w:val="center"/>
          </w:tcPr>
          <w:p w14:paraId="037F49B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2957" w:type="dxa"/>
            <w:gridSpan w:val="2"/>
            <w:tcBorders>
              <w:top w:val="single" w:color="auto" w:sz="12" w:space="0"/>
              <w:left w:val="nil"/>
              <w:bottom w:val="single" w:color="auto" w:sz="6" w:space="0"/>
              <w:right w:val="nil"/>
            </w:tcBorders>
            <w:vAlign w:val="center"/>
          </w:tcPr>
          <w:p w14:paraId="310785A4">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Crude</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Model</w:t>
            </w:r>
          </w:p>
        </w:tc>
        <w:tc>
          <w:tcPr>
            <w:tcW w:w="2978" w:type="dxa"/>
            <w:gridSpan w:val="2"/>
            <w:tcBorders>
              <w:top w:val="single" w:color="auto" w:sz="12" w:space="0"/>
              <w:left w:val="nil"/>
              <w:bottom w:val="single" w:color="auto" w:sz="6" w:space="0"/>
              <w:right w:val="nil"/>
            </w:tcBorders>
            <w:vAlign w:val="center"/>
          </w:tcPr>
          <w:p w14:paraId="43CED272">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ModelI</w:t>
            </w:r>
          </w:p>
        </w:tc>
        <w:tc>
          <w:tcPr>
            <w:tcW w:w="2978" w:type="dxa"/>
            <w:gridSpan w:val="2"/>
            <w:tcBorders>
              <w:top w:val="single" w:color="auto" w:sz="12" w:space="0"/>
              <w:left w:val="nil"/>
              <w:bottom w:val="single" w:color="auto" w:sz="6" w:space="0"/>
              <w:right w:val="nil"/>
            </w:tcBorders>
            <w:vAlign w:val="center"/>
          </w:tcPr>
          <w:p w14:paraId="1B080666">
            <w:pPr>
              <w:keepNext w:val="0"/>
              <w:keepLines w:val="0"/>
              <w:pageBreakBefore w:val="0"/>
              <w:kinsoku/>
              <w:wordWrap/>
              <w:overflowPunct/>
              <w:topLinePunct w:val="0"/>
              <w:bidi w:val="0"/>
              <w:snapToGrid/>
              <w:spacing w:line="480" w:lineRule="auto"/>
              <w:jc w:val="center"/>
              <w:textAlignment w:val="auto"/>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P</w:t>
            </w:r>
            <w:r>
              <w:rPr>
                <w:rFonts w:hint="eastAsia" w:ascii="Times New Roman" w:hAnsi="Times New Roman" w:cs="Times New Roman"/>
                <w:b/>
                <w:bCs/>
                <w:sz w:val="24"/>
                <w:szCs w:val="24"/>
              </w:rPr>
              <w:t xml:space="preserve">arsimonious </w:t>
            </w:r>
            <w:r>
              <w:rPr>
                <w:rFonts w:hint="eastAsia" w:ascii="Times New Roman" w:hAnsi="Times New Roman" w:cs="Times New Roman"/>
                <w:b/>
                <w:bCs/>
                <w:sz w:val="24"/>
                <w:szCs w:val="24"/>
                <w:lang w:val="en-US" w:eastAsia="zh-CN"/>
              </w:rPr>
              <w:t>P</w:t>
            </w:r>
            <w:r>
              <w:rPr>
                <w:rFonts w:hint="eastAsia" w:ascii="Times New Roman" w:hAnsi="Times New Roman" w:cs="Times New Roman"/>
                <w:b/>
                <w:bCs/>
                <w:sz w:val="24"/>
                <w:szCs w:val="24"/>
              </w:rPr>
              <w:t xml:space="preserve">rimary </w:t>
            </w:r>
            <w:r>
              <w:rPr>
                <w:rFonts w:hint="eastAsia" w:ascii="Times New Roman" w:hAnsi="Times New Roman" w:cs="Times New Roman"/>
                <w:b/>
                <w:bCs/>
                <w:sz w:val="24"/>
                <w:szCs w:val="24"/>
                <w:lang w:val="en-US" w:eastAsia="zh-CN"/>
              </w:rPr>
              <w:t>M</w:t>
            </w:r>
            <w:r>
              <w:rPr>
                <w:rFonts w:hint="eastAsia" w:ascii="Times New Roman" w:hAnsi="Times New Roman" w:cs="Times New Roman"/>
                <w:b/>
                <w:bCs/>
                <w:sz w:val="24"/>
                <w:szCs w:val="24"/>
              </w:rPr>
              <w:t>odel</w:t>
            </w:r>
          </w:p>
        </w:tc>
      </w:tr>
      <w:tr w14:paraId="586C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single" w:color="auto" w:sz="12" w:space="0"/>
              <w:right w:val="nil"/>
            </w:tcBorders>
            <w:vAlign w:val="center"/>
          </w:tcPr>
          <w:p w14:paraId="2C29D0B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2055" w:type="dxa"/>
            <w:tcBorders>
              <w:top w:val="single" w:color="auto" w:sz="6" w:space="0"/>
              <w:left w:val="nil"/>
              <w:bottom w:val="single" w:color="auto" w:sz="12" w:space="0"/>
              <w:right w:val="nil"/>
            </w:tcBorders>
            <w:vAlign w:val="center"/>
          </w:tcPr>
          <w:p w14:paraId="6D9668FA">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Crude</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HR(95%CI)</w:t>
            </w:r>
          </w:p>
        </w:tc>
        <w:tc>
          <w:tcPr>
            <w:tcW w:w="902" w:type="dxa"/>
            <w:tcBorders>
              <w:top w:val="single" w:color="auto" w:sz="6" w:space="0"/>
              <w:left w:val="nil"/>
              <w:bottom w:val="single" w:color="auto" w:sz="12" w:space="0"/>
              <w:right w:val="nil"/>
            </w:tcBorders>
            <w:vAlign w:val="center"/>
          </w:tcPr>
          <w:p w14:paraId="5533CAB8">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P-value</w:t>
            </w:r>
          </w:p>
        </w:tc>
        <w:tc>
          <w:tcPr>
            <w:tcW w:w="2076" w:type="dxa"/>
            <w:tcBorders>
              <w:top w:val="single" w:color="auto" w:sz="6" w:space="0"/>
              <w:left w:val="nil"/>
              <w:bottom w:val="single" w:color="auto" w:sz="12" w:space="0"/>
              <w:right w:val="nil"/>
            </w:tcBorders>
            <w:vAlign w:val="center"/>
          </w:tcPr>
          <w:p w14:paraId="09C45823">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Adjusted</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HR(95%CI)</w:t>
            </w:r>
          </w:p>
        </w:tc>
        <w:tc>
          <w:tcPr>
            <w:tcW w:w="902" w:type="dxa"/>
            <w:tcBorders>
              <w:top w:val="single" w:color="auto" w:sz="6" w:space="0"/>
              <w:left w:val="nil"/>
              <w:bottom w:val="single" w:color="auto" w:sz="12" w:space="0"/>
              <w:right w:val="nil"/>
            </w:tcBorders>
            <w:vAlign w:val="center"/>
          </w:tcPr>
          <w:p w14:paraId="17C7AC45">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P-value</w:t>
            </w:r>
          </w:p>
        </w:tc>
        <w:tc>
          <w:tcPr>
            <w:tcW w:w="2076" w:type="dxa"/>
            <w:tcBorders>
              <w:top w:val="single" w:color="auto" w:sz="6" w:space="0"/>
              <w:left w:val="nil"/>
              <w:bottom w:val="single" w:color="auto" w:sz="12" w:space="0"/>
              <w:right w:val="nil"/>
            </w:tcBorders>
            <w:vAlign w:val="center"/>
          </w:tcPr>
          <w:p w14:paraId="0F8E5468">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Adjusted</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HR(95%CI)</w:t>
            </w:r>
          </w:p>
        </w:tc>
        <w:tc>
          <w:tcPr>
            <w:tcW w:w="902" w:type="dxa"/>
            <w:tcBorders>
              <w:top w:val="single" w:color="auto" w:sz="6" w:space="0"/>
              <w:left w:val="nil"/>
              <w:bottom w:val="single" w:color="auto" w:sz="12" w:space="0"/>
              <w:right w:val="nil"/>
            </w:tcBorders>
            <w:vAlign w:val="center"/>
          </w:tcPr>
          <w:p w14:paraId="59F27DF4">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P-value</w:t>
            </w:r>
          </w:p>
        </w:tc>
      </w:tr>
      <w:tr w14:paraId="7F7E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845" w:type="dxa"/>
            <w:gridSpan w:val="7"/>
            <w:tcBorders>
              <w:top w:val="single" w:color="auto" w:sz="12" w:space="0"/>
              <w:left w:val="nil"/>
              <w:bottom w:val="nil"/>
              <w:right w:val="nil"/>
            </w:tcBorders>
            <w:vAlign w:val="center"/>
          </w:tcPr>
          <w:p w14:paraId="4290FF5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28-day mortality</w:t>
            </w:r>
          </w:p>
        </w:tc>
      </w:tr>
      <w:tr w14:paraId="527C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nil"/>
              <w:right w:val="nil"/>
            </w:tcBorders>
            <w:vAlign w:val="center"/>
          </w:tcPr>
          <w:p w14:paraId="4B898C6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Class1</w:t>
            </w:r>
          </w:p>
        </w:tc>
        <w:tc>
          <w:tcPr>
            <w:tcW w:w="2055" w:type="dxa"/>
            <w:tcBorders>
              <w:top w:val="nil"/>
              <w:left w:val="nil"/>
              <w:bottom w:val="nil"/>
              <w:right w:val="nil"/>
            </w:tcBorders>
            <w:vAlign w:val="center"/>
          </w:tcPr>
          <w:p w14:paraId="04F6739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Reference</w:t>
            </w:r>
          </w:p>
        </w:tc>
        <w:tc>
          <w:tcPr>
            <w:tcW w:w="902" w:type="dxa"/>
            <w:tcBorders>
              <w:top w:val="nil"/>
              <w:left w:val="nil"/>
              <w:bottom w:val="nil"/>
              <w:right w:val="nil"/>
            </w:tcBorders>
            <w:vAlign w:val="center"/>
          </w:tcPr>
          <w:p w14:paraId="68F8EB0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2076" w:type="dxa"/>
            <w:tcBorders>
              <w:top w:val="nil"/>
              <w:left w:val="nil"/>
              <w:bottom w:val="nil"/>
              <w:right w:val="nil"/>
            </w:tcBorders>
            <w:vAlign w:val="center"/>
          </w:tcPr>
          <w:p w14:paraId="6A14CC7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Reference</w:t>
            </w:r>
          </w:p>
        </w:tc>
        <w:tc>
          <w:tcPr>
            <w:tcW w:w="902" w:type="dxa"/>
            <w:tcBorders>
              <w:top w:val="nil"/>
              <w:left w:val="nil"/>
              <w:bottom w:val="nil"/>
              <w:right w:val="nil"/>
            </w:tcBorders>
            <w:vAlign w:val="center"/>
          </w:tcPr>
          <w:p w14:paraId="6756CFC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2076" w:type="dxa"/>
            <w:tcBorders>
              <w:top w:val="nil"/>
              <w:left w:val="nil"/>
              <w:bottom w:val="nil"/>
              <w:right w:val="nil"/>
            </w:tcBorders>
            <w:vAlign w:val="center"/>
          </w:tcPr>
          <w:p w14:paraId="6C73138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Reference</w:t>
            </w:r>
          </w:p>
        </w:tc>
        <w:tc>
          <w:tcPr>
            <w:tcW w:w="902" w:type="dxa"/>
            <w:tcBorders>
              <w:top w:val="nil"/>
              <w:left w:val="nil"/>
              <w:bottom w:val="nil"/>
              <w:right w:val="nil"/>
            </w:tcBorders>
            <w:vAlign w:val="center"/>
          </w:tcPr>
          <w:p w14:paraId="295E9FF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r>
      <w:tr w14:paraId="22D1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nil"/>
              <w:right w:val="nil"/>
            </w:tcBorders>
            <w:vAlign w:val="center"/>
          </w:tcPr>
          <w:p w14:paraId="05FC7CF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Class2</w:t>
            </w:r>
          </w:p>
        </w:tc>
        <w:tc>
          <w:tcPr>
            <w:tcW w:w="2055" w:type="dxa"/>
            <w:tcBorders>
              <w:top w:val="nil"/>
              <w:left w:val="nil"/>
              <w:bottom w:val="nil"/>
              <w:right w:val="nil"/>
            </w:tcBorders>
            <w:vAlign w:val="center"/>
          </w:tcPr>
          <w:p w14:paraId="73A4E85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1.36(0.76,2.42)</w:t>
            </w:r>
          </w:p>
        </w:tc>
        <w:tc>
          <w:tcPr>
            <w:tcW w:w="902" w:type="dxa"/>
            <w:tcBorders>
              <w:top w:val="nil"/>
              <w:left w:val="nil"/>
              <w:bottom w:val="nil"/>
              <w:right w:val="nil"/>
            </w:tcBorders>
            <w:vAlign w:val="center"/>
          </w:tcPr>
          <w:p w14:paraId="1C4764C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0.302</w:t>
            </w:r>
          </w:p>
        </w:tc>
        <w:tc>
          <w:tcPr>
            <w:tcW w:w="2076" w:type="dxa"/>
            <w:tcBorders>
              <w:top w:val="nil"/>
              <w:left w:val="nil"/>
              <w:bottom w:val="nil"/>
              <w:right w:val="nil"/>
            </w:tcBorders>
            <w:vAlign w:val="center"/>
          </w:tcPr>
          <w:p w14:paraId="2754C36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2.09(1.15,3.82)</w:t>
            </w:r>
          </w:p>
        </w:tc>
        <w:tc>
          <w:tcPr>
            <w:tcW w:w="902" w:type="dxa"/>
            <w:tcBorders>
              <w:top w:val="nil"/>
              <w:left w:val="nil"/>
              <w:bottom w:val="nil"/>
              <w:right w:val="nil"/>
            </w:tcBorders>
            <w:vAlign w:val="center"/>
          </w:tcPr>
          <w:p w14:paraId="6B2AD34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0.016</w:t>
            </w:r>
          </w:p>
        </w:tc>
        <w:tc>
          <w:tcPr>
            <w:tcW w:w="2076" w:type="dxa"/>
            <w:tcBorders>
              <w:top w:val="nil"/>
              <w:left w:val="nil"/>
              <w:bottom w:val="nil"/>
              <w:right w:val="nil"/>
            </w:tcBorders>
            <w:vAlign w:val="center"/>
          </w:tcPr>
          <w:p w14:paraId="2FED4640">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2.32(1.26,4.27)</w:t>
            </w:r>
          </w:p>
        </w:tc>
        <w:tc>
          <w:tcPr>
            <w:tcW w:w="902" w:type="dxa"/>
            <w:tcBorders>
              <w:top w:val="nil"/>
              <w:left w:val="nil"/>
              <w:bottom w:val="nil"/>
              <w:right w:val="nil"/>
            </w:tcBorders>
            <w:vAlign w:val="center"/>
          </w:tcPr>
          <w:p w14:paraId="115C8A68">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0.007</w:t>
            </w:r>
          </w:p>
        </w:tc>
      </w:tr>
      <w:tr w14:paraId="3777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nil"/>
              <w:right w:val="nil"/>
            </w:tcBorders>
            <w:vAlign w:val="center"/>
          </w:tcPr>
          <w:p w14:paraId="0AD186D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Class3</w:t>
            </w:r>
          </w:p>
        </w:tc>
        <w:tc>
          <w:tcPr>
            <w:tcW w:w="2055" w:type="dxa"/>
            <w:tcBorders>
              <w:top w:val="nil"/>
              <w:left w:val="nil"/>
              <w:bottom w:val="nil"/>
              <w:right w:val="nil"/>
            </w:tcBorders>
            <w:vAlign w:val="center"/>
          </w:tcPr>
          <w:p w14:paraId="3F9BEE5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2.02(0.47,8.64)</w:t>
            </w:r>
          </w:p>
        </w:tc>
        <w:tc>
          <w:tcPr>
            <w:tcW w:w="902" w:type="dxa"/>
            <w:tcBorders>
              <w:top w:val="nil"/>
              <w:left w:val="nil"/>
              <w:bottom w:val="nil"/>
              <w:right w:val="nil"/>
            </w:tcBorders>
            <w:vAlign w:val="center"/>
          </w:tcPr>
          <w:p w14:paraId="1BA9520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0.340</w:t>
            </w:r>
          </w:p>
        </w:tc>
        <w:tc>
          <w:tcPr>
            <w:tcW w:w="2076" w:type="dxa"/>
            <w:tcBorders>
              <w:top w:val="nil"/>
              <w:left w:val="nil"/>
              <w:bottom w:val="nil"/>
              <w:right w:val="nil"/>
            </w:tcBorders>
            <w:vAlign w:val="center"/>
          </w:tcPr>
          <w:p w14:paraId="26FCF00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4.79(1.09,21.04)</w:t>
            </w:r>
          </w:p>
        </w:tc>
        <w:tc>
          <w:tcPr>
            <w:tcW w:w="902" w:type="dxa"/>
            <w:tcBorders>
              <w:top w:val="nil"/>
              <w:left w:val="nil"/>
              <w:bottom w:val="nil"/>
              <w:right w:val="nil"/>
            </w:tcBorders>
            <w:vAlign w:val="center"/>
          </w:tcPr>
          <w:p w14:paraId="5B97CE3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0.038</w:t>
            </w:r>
          </w:p>
        </w:tc>
        <w:tc>
          <w:tcPr>
            <w:tcW w:w="2076" w:type="dxa"/>
            <w:tcBorders>
              <w:top w:val="nil"/>
              <w:left w:val="nil"/>
              <w:bottom w:val="nil"/>
              <w:right w:val="nil"/>
            </w:tcBorders>
            <w:vAlign w:val="center"/>
          </w:tcPr>
          <w:p w14:paraId="4A57E5CE">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5.37(1.22,23.69)</w:t>
            </w:r>
          </w:p>
        </w:tc>
        <w:tc>
          <w:tcPr>
            <w:tcW w:w="902" w:type="dxa"/>
            <w:tcBorders>
              <w:top w:val="nil"/>
              <w:left w:val="nil"/>
              <w:bottom w:val="nil"/>
              <w:right w:val="nil"/>
            </w:tcBorders>
            <w:vAlign w:val="center"/>
          </w:tcPr>
          <w:p w14:paraId="170BE74E">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0.026</w:t>
            </w:r>
          </w:p>
        </w:tc>
      </w:tr>
      <w:tr w14:paraId="0B52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nil"/>
              <w:right w:val="nil"/>
            </w:tcBorders>
            <w:vAlign w:val="center"/>
          </w:tcPr>
          <w:p w14:paraId="7A5319C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Class4</w:t>
            </w:r>
          </w:p>
        </w:tc>
        <w:tc>
          <w:tcPr>
            <w:tcW w:w="2055" w:type="dxa"/>
            <w:tcBorders>
              <w:top w:val="nil"/>
              <w:left w:val="nil"/>
              <w:bottom w:val="nil"/>
              <w:right w:val="nil"/>
            </w:tcBorders>
            <w:vAlign w:val="center"/>
          </w:tcPr>
          <w:p w14:paraId="1B8E2A9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2.95(1.56,5.60)</w:t>
            </w:r>
          </w:p>
        </w:tc>
        <w:tc>
          <w:tcPr>
            <w:tcW w:w="902" w:type="dxa"/>
            <w:tcBorders>
              <w:top w:val="nil"/>
              <w:left w:val="nil"/>
              <w:bottom w:val="nil"/>
              <w:right w:val="nil"/>
            </w:tcBorders>
            <w:vAlign w:val="center"/>
          </w:tcPr>
          <w:p w14:paraId="57951BD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c>
          <w:tcPr>
            <w:tcW w:w="2076" w:type="dxa"/>
            <w:tcBorders>
              <w:top w:val="nil"/>
              <w:left w:val="nil"/>
              <w:bottom w:val="nil"/>
              <w:right w:val="nil"/>
            </w:tcBorders>
            <w:vAlign w:val="center"/>
          </w:tcPr>
          <w:p w14:paraId="7909952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3.11(1.63,5.95)</w:t>
            </w:r>
          </w:p>
        </w:tc>
        <w:tc>
          <w:tcPr>
            <w:tcW w:w="902" w:type="dxa"/>
            <w:tcBorders>
              <w:top w:val="nil"/>
              <w:left w:val="nil"/>
              <w:bottom w:val="nil"/>
              <w:right w:val="nil"/>
            </w:tcBorders>
            <w:vAlign w:val="center"/>
          </w:tcPr>
          <w:p w14:paraId="7DE5AFB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c>
          <w:tcPr>
            <w:tcW w:w="2076" w:type="dxa"/>
            <w:tcBorders>
              <w:top w:val="nil"/>
              <w:left w:val="nil"/>
              <w:bottom w:val="nil"/>
              <w:right w:val="nil"/>
            </w:tcBorders>
            <w:vAlign w:val="center"/>
          </w:tcPr>
          <w:p w14:paraId="5AFF37B6">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3.05(1.58,5.89)</w:t>
            </w:r>
          </w:p>
        </w:tc>
        <w:tc>
          <w:tcPr>
            <w:tcW w:w="902" w:type="dxa"/>
            <w:tcBorders>
              <w:top w:val="nil"/>
              <w:left w:val="nil"/>
              <w:bottom w:val="nil"/>
              <w:right w:val="nil"/>
            </w:tcBorders>
            <w:vAlign w:val="center"/>
          </w:tcPr>
          <w:p w14:paraId="4A2B82F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6625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845" w:type="dxa"/>
            <w:gridSpan w:val="7"/>
            <w:tcBorders>
              <w:top w:val="nil"/>
              <w:left w:val="nil"/>
              <w:bottom w:val="nil"/>
              <w:right w:val="nil"/>
            </w:tcBorders>
            <w:vAlign w:val="center"/>
          </w:tcPr>
          <w:p w14:paraId="5C3F11A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90-day mortality</w:t>
            </w:r>
          </w:p>
        </w:tc>
      </w:tr>
      <w:tr w14:paraId="07B3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nil"/>
              <w:right w:val="nil"/>
            </w:tcBorders>
            <w:vAlign w:val="center"/>
          </w:tcPr>
          <w:p w14:paraId="59AC823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Class1</w:t>
            </w:r>
          </w:p>
        </w:tc>
        <w:tc>
          <w:tcPr>
            <w:tcW w:w="2055" w:type="dxa"/>
            <w:tcBorders>
              <w:top w:val="nil"/>
              <w:left w:val="nil"/>
              <w:bottom w:val="nil"/>
              <w:right w:val="nil"/>
            </w:tcBorders>
            <w:vAlign w:val="center"/>
          </w:tcPr>
          <w:p w14:paraId="05D31D3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Reference</w:t>
            </w:r>
          </w:p>
        </w:tc>
        <w:tc>
          <w:tcPr>
            <w:tcW w:w="902" w:type="dxa"/>
            <w:tcBorders>
              <w:top w:val="nil"/>
              <w:left w:val="nil"/>
              <w:bottom w:val="nil"/>
              <w:right w:val="nil"/>
            </w:tcBorders>
            <w:vAlign w:val="center"/>
          </w:tcPr>
          <w:p w14:paraId="177EC46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2076" w:type="dxa"/>
            <w:tcBorders>
              <w:top w:val="nil"/>
              <w:left w:val="nil"/>
              <w:bottom w:val="nil"/>
              <w:right w:val="nil"/>
            </w:tcBorders>
            <w:vAlign w:val="center"/>
          </w:tcPr>
          <w:p w14:paraId="307BB42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Reference</w:t>
            </w:r>
          </w:p>
        </w:tc>
        <w:tc>
          <w:tcPr>
            <w:tcW w:w="902" w:type="dxa"/>
            <w:tcBorders>
              <w:top w:val="nil"/>
              <w:left w:val="nil"/>
              <w:bottom w:val="nil"/>
              <w:right w:val="nil"/>
            </w:tcBorders>
            <w:vAlign w:val="center"/>
          </w:tcPr>
          <w:p w14:paraId="3F8D51C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2076" w:type="dxa"/>
            <w:tcBorders>
              <w:top w:val="nil"/>
              <w:left w:val="nil"/>
              <w:bottom w:val="nil"/>
              <w:right w:val="nil"/>
            </w:tcBorders>
            <w:vAlign w:val="center"/>
          </w:tcPr>
          <w:p w14:paraId="3C42224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Reference</w:t>
            </w:r>
          </w:p>
        </w:tc>
        <w:tc>
          <w:tcPr>
            <w:tcW w:w="902" w:type="dxa"/>
            <w:tcBorders>
              <w:top w:val="nil"/>
              <w:left w:val="nil"/>
              <w:bottom w:val="nil"/>
              <w:right w:val="nil"/>
            </w:tcBorders>
            <w:vAlign w:val="center"/>
          </w:tcPr>
          <w:p w14:paraId="3B1BB9A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r>
      <w:tr w14:paraId="755B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nil"/>
              <w:right w:val="nil"/>
            </w:tcBorders>
            <w:vAlign w:val="center"/>
          </w:tcPr>
          <w:p w14:paraId="6E5923F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Class2</w:t>
            </w:r>
          </w:p>
        </w:tc>
        <w:tc>
          <w:tcPr>
            <w:tcW w:w="2055" w:type="dxa"/>
            <w:tcBorders>
              <w:top w:val="nil"/>
              <w:left w:val="nil"/>
              <w:bottom w:val="nil"/>
              <w:right w:val="nil"/>
            </w:tcBorders>
            <w:vAlign w:val="center"/>
          </w:tcPr>
          <w:p w14:paraId="46AC18C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0.96(0.64,1.43)</w:t>
            </w:r>
          </w:p>
        </w:tc>
        <w:tc>
          <w:tcPr>
            <w:tcW w:w="902" w:type="dxa"/>
            <w:tcBorders>
              <w:top w:val="nil"/>
              <w:left w:val="nil"/>
              <w:bottom w:val="nil"/>
              <w:right w:val="nil"/>
            </w:tcBorders>
            <w:vAlign w:val="center"/>
          </w:tcPr>
          <w:p w14:paraId="5146420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0.835</w:t>
            </w:r>
          </w:p>
        </w:tc>
        <w:tc>
          <w:tcPr>
            <w:tcW w:w="2076" w:type="dxa"/>
            <w:tcBorders>
              <w:top w:val="nil"/>
              <w:left w:val="nil"/>
              <w:bottom w:val="nil"/>
              <w:right w:val="nil"/>
            </w:tcBorders>
            <w:vAlign w:val="center"/>
          </w:tcPr>
          <w:p w14:paraId="1F0AA71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1.40(0.92,2.12)</w:t>
            </w:r>
          </w:p>
        </w:tc>
        <w:tc>
          <w:tcPr>
            <w:tcW w:w="902" w:type="dxa"/>
            <w:tcBorders>
              <w:top w:val="nil"/>
              <w:left w:val="nil"/>
              <w:bottom w:val="nil"/>
              <w:right w:val="nil"/>
            </w:tcBorders>
            <w:vAlign w:val="center"/>
          </w:tcPr>
          <w:p w14:paraId="6550888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0.118</w:t>
            </w:r>
          </w:p>
        </w:tc>
        <w:tc>
          <w:tcPr>
            <w:tcW w:w="2076" w:type="dxa"/>
            <w:tcBorders>
              <w:top w:val="nil"/>
              <w:left w:val="nil"/>
              <w:bottom w:val="nil"/>
              <w:right w:val="nil"/>
            </w:tcBorders>
            <w:vAlign w:val="center"/>
          </w:tcPr>
          <w:p w14:paraId="0E04F84F">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1.49(0.97,2.28)</w:t>
            </w:r>
          </w:p>
        </w:tc>
        <w:tc>
          <w:tcPr>
            <w:tcW w:w="902" w:type="dxa"/>
            <w:tcBorders>
              <w:top w:val="nil"/>
              <w:left w:val="nil"/>
              <w:bottom w:val="nil"/>
              <w:right w:val="nil"/>
            </w:tcBorders>
            <w:vAlign w:val="center"/>
          </w:tcPr>
          <w:p w14:paraId="0B85E3CB">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0.066</w:t>
            </w:r>
          </w:p>
        </w:tc>
      </w:tr>
      <w:tr w14:paraId="0895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nil"/>
              <w:right w:val="nil"/>
            </w:tcBorders>
            <w:vAlign w:val="center"/>
          </w:tcPr>
          <w:p w14:paraId="554C2C0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Class3</w:t>
            </w:r>
          </w:p>
        </w:tc>
        <w:tc>
          <w:tcPr>
            <w:tcW w:w="2055" w:type="dxa"/>
            <w:tcBorders>
              <w:top w:val="nil"/>
              <w:left w:val="nil"/>
              <w:bottom w:val="nil"/>
              <w:right w:val="nil"/>
            </w:tcBorders>
            <w:vAlign w:val="center"/>
          </w:tcPr>
          <w:p w14:paraId="1F04047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1.24(0.39,3.97)</w:t>
            </w:r>
          </w:p>
        </w:tc>
        <w:tc>
          <w:tcPr>
            <w:tcW w:w="902" w:type="dxa"/>
            <w:tcBorders>
              <w:top w:val="nil"/>
              <w:left w:val="nil"/>
              <w:bottom w:val="nil"/>
              <w:right w:val="nil"/>
            </w:tcBorders>
            <w:vAlign w:val="center"/>
          </w:tcPr>
          <w:p w14:paraId="49AE00A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0.716</w:t>
            </w:r>
          </w:p>
        </w:tc>
        <w:tc>
          <w:tcPr>
            <w:tcW w:w="2076" w:type="dxa"/>
            <w:tcBorders>
              <w:top w:val="nil"/>
              <w:left w:val="nil"/>
              <w:bottom w:val="nil"/>
              <w:right w:val="nil"/>
            </w:tcBorders>
            <w:vAlign w:val="center"/>
          </w:tcPr>
          <w:p w14:paraId="1359255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2.13(0.66,6.93)</w:t>
            </w:r>
          </w:p>
        </w:tc>
        <w:tc>
          <w:tcPr>
            <w:tcW w:w="902" w:type="dxa"/>
            <w:tcBorders>
              <w:top w:val="nil"/>
              <w:left w:val="nil"/>
              <w:bottom w:val="nil"/>
              <w:right w:val="nil"/>
            </w:tcBorders>
            <w:vAlign w:val="center"/>
          </w:tcPr>
          <w:p w14:paraId="05B4B7B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0.208</w:t>
            </w:r>
          </w:p>
        </w:tc>
        <w:tc>
          <w:tcPr>
            <w:tcW w:w="2076" w:type="dxa"/>
            <w:tcBorders>
              <w:top w:val="nil"/>
              <w:left w:val="nil"/>
              <w:bottom w:val="nil"/>
              <w:right w:val="nil"/>
            </w:tcBorders>
            <w:vAlign w:val="center"/>
          </w:tcPr>
          <w:p w14:paraId="7D1F23EC">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2.45(0.75,7.99)</w:t>
            </w:r>
          </w:p>
        </w:tc>
        <w:tc>
          <w:tcPr>
            <w:tcW w:w="902" w:type="dxa"/>
            <w:tcBorders>
              <w:top w:val="nil"/>
              <w:left w:val="nil"/>
              <w:bottom w:val="nil"/>
              <w:right w:val="nil"/>
            </w:tcBorders>
            <w:vAlign w:val="center"/>
          </w:tcPr>
          <w:p w14:paraId="623CF78E">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0.137</w:t>
            </w:r>
          </w:p>
        </w:tc>
      </w:tr>
      <w:tr w14:paraId="640C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932" w:type="dxa"/>
            <w:tcBorders>
              <w:top w:val="nil"/>
              <w:left w:val="nil"/>
              <w:bottom w:val="single" w:color="auto" w:sz="12" w:space="0"/>
              <w:right w:val="nil"/>
            </w:tcBorders>
            <w:vAlign w:val="center"/>
          </w:tcPr>
          <w:p w14:paraId="4EC3953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Class4</w:t>
            </w:r>
          </w:p>
        </w:tc>
        <w:tc>
          <w:tcPr>
            <w:tcW w:w="2055" w:type="dxa"/>
            <w:tcBorders>
              <w:top w:val="nil"/>
              <w:left w:val="nil"/>
              <w:bottom w:val="single" w:color="auto" w:sz="12" w:space="0"/>
              <w:right w:val="nil"/>
            </w:tcBorders>
            <w:vAlign w:val="center"/>
          </w:tcPr>
          <w:p w14:paraId="423BC2D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1.96(1.23,3.12)</w:t>
            </w:r>
          </w:p>
        </w:tc>
        <w:tc>
          <w:tcPr>
            <w:tcW w:w="902" w:type="dxa"/>
            <w:tcBorders>
              <w:top w:val="nil"/>
              <w:left w:val="nil"/>
              <w:bottom w:val="single" w:color="auto" w:sz="12" w:space="0"/>
              <w:right w:val="nil"/>
            </w:tcBorders>
            <w:vAlign w:val="center"/>
          </w:tcPr>
          <w:p w14:paraId="4B651E8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0.005</w:t>
            </w:r>
          </w:p>
        </w:tc>
        <w:tc>
          <w:tcPr>
            <w:tcW w:w="2076" w:type="dxa"/>
            <w:tcBorders>
              <w:top w:val="nil"/>
              <w:left w:val="nil"/>
              <w:bottom w:val="single" w:color="auto" w:sz="12" w:space="0"/>
              <w:right w:val="nil"/>
            </w:tcBorders>
            <w:vAlign w:val="center"/>
          </w:tcPr>
          <w:p w14:paraId="639A090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1.98(1.24,3.18)</w:t>
            </w:r>
          </w:p>
        </w:tc>
        <w:tc>
          <w:tcPr>
            <w:tcW w:w="902" w:type="dxa"/>
            <w:tcBorders>
              <w:top w:val="nil"/>
              <w:left w:val="nil"/>
              <w:bottom w:val="single" w:color="auto" w:sz="12" w:space="0"/>
              <w:right w:val="nil"/>
            </w:tcBorders>
            <w:vAlign w:val="center"/>
          </w:tcPr>
          <w:p w14:paraId="36DE18C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0.004</w:t>
            </w:r>
          </w:p>
        </w:tc>
        <w:tc>
          <w:tcPr>
            <w:tcW w:w="2076" w:type="dxa"/>
            <w:tcBorders>
              <w:top w:val="nil"/>
              <w:left w:val="nil"/>
              <w:bottom w:val="single" w:color="auto" w:sz="12" w:space="0"/>
              <w:right w:val="nil"/>
            </w:tcBorders>
            <w:vAlign w:val="center"/>
          </w:tcPr>
          <w:p w14:paraId="11B316E5">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1.95(1.21,3.13)</w:t>
            </w:r>
          </w:p>
        </w:tc>
        <w:tc>
          <w:tcPr>
            <w:tcW w:w="902" w:type="dxa"/>
            <w:tcBorders>
              <w:top w:val="nil"/>
              <w:left w:val="nil"/>
              <w:bottom w:val="single" w:color="auto" w:sz="12" w:space="0"/>
              <w:right w:val="nil"/>
            </w:tcBorders>
            <w:vAlign w:val="center"/>
          </w:tcPr>
          <w:p w14:paraId="6C558582">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0.006</w:t>
            </w:r>
          </w:p>
        </w:tc>
      </w:tr>
    </w:tbl>
    <w:p w14:paraId="25B7096F">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Crude Model: unadjusted; Model I: adjusted for Age, Gender, </w:t>
      </w:r>
      <w:r>
        <w:rPr>
          <w:rFonts w:hint="eastAsia" w:ascii="Times New Roman" w:hAnsi="Times New Roman" w:cs="Times New Roman"/>
          <w:sz w:val="24"/>
          <w:szCs w:val="24"/>
          <w:lang w:val="en-US" w:eastAsia="zh-CN"/>
        </w:rPr>
        <w:t>SOFA, LOS in ICU, CRRT</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Parsimonious Primary Model</w:t>
      </w:r>
      <w:r>
        <w:rPr>
          <w:rFonts w:hint="default" w:ascii="Times New Roman" w:hAnsi="Times New Roman" w:cs="Times New Roman"/>
          <w:sz w:val="24"/>
          <w:szCs w:val="24"/>
          <w:lang w:val="en-US" w:eastAsia="zh-CN"/>
        </w:rPr>
        <w:t xml:space="preserve">: adjusted for </w:t>
      </w:r>
      <w:r>
        <w:rPr>
          <w:rFonts w:hint="eastAsia" w:ascii="Times New Roman" w:hAnsi="Times New Roman" w:cs="Times New Roman"/>
          <w:sz w:val="24"/>
          <w:szCs w:val="24"/>
          <w:lang w:val="en-US" w:eastAsia="zh-CN"/>
        </w:rPr>
        <w:t>Albumin, Norepinephrine, Ventilation</w:t>
      </w:r>
      <w:r>
        <w:rPr>
          <w:rFonts w:hint="default" w:ascii="Times New Roman" w:hAnsi="Times New Roman" w:cs="Times New Roman"/>
          <w:sz w:val="24"/>
          <w:szCs w:val="24"/>
          <w:lang w:val="en-US" w:eastAsia="zh-CN"/>
        </w:rPr>
        <w:t xml:space="preserve"> and all variables in Model I</w:t>
      </w:r>
      <w:r>
        <w:rPr>
          <w:rFonts w:hint="eastAsia" w:ascii="Times New Roman" w:hAnsi="Times New Roman" w:cs="Times New Roman"/>
          <w:sz w:val="24"/>
          <w:szCs w:val="24"/>
          <w:lang w:val="en-US" w:eastAsia="zh-CN"/>
        </w:rPr>
        <w:t>.</w:t>
      </w:r>
    </w:p>
    <w:p w14:paraId="626C624B">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sz w:val="24"/>
          <w:szCs w:val="24"/>
          <w:lang w:val="en-US" w:eastAsia="zh-CN"/>
        </w:rPr>
      </w:pPr>
    </w:p>
    <w:p w14:paraId="79DFDDF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b/>
          <w:bCs/>
          <w:sz w:val="24"/>
          <w:szCs w:val="24"/>
        </w:rPr>
        <w:t>Subgroup Analysis</w:t>
      </w:r>
    </w:p>
    <w:p w14:paraId="42C436F9">
      <w:pPr>
        <w:keepNext w:val="0"/>
        <w:keepLines w:val="0"/>
        <w:pageBreakBefore w:val="0"/>
        <w:kinsoku/>
        <w:wordWrap/>
        <w:overflowPunct/>
        <w:topLinePunct w:val="0"/>
        <w:bidi w:val="0"/>
        <w:snapToGrid/>
        <w:spacing w:line="480" w:lineRule="auto"/>
        <w:ind w:firstLine="480" w:firstLineChars="200"/>
        <w:textAlignment w:val="auto"/>
        <w:rPr>
          <w:rFonts w:hint="default"/>
          <w:lang w:val="en-US" w:eastAsia="zh-CN"/>
        </w:rPr>
      </w:pPr>
      <w:r>
        <w:rPr>
          <w:rFonts w:hint="default" w:ascii="Times New Roman" w:hAnsi="Times New Roman" w:cs="Times New Roman"/>
          <w:sz w:val="24"/>
          <w:szCs w:val="24"/>
          <w:lang w:val="en-US" w:eastAsia="zh-CN"/>
        </w:rPr>
        <w:t>Subgroup analyses across age, gender, use of anticoagulants, renal failure, and pleural effusion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revealed no significant interactions (all P for interaction&gt;0.05), indicating that the association between BCR trajectories and mortality was consistent across these strata. Detailed subgroup results are provided in Figure 4.</w:t>
      </w:r>
    </w:p>
    <w:p w14:paraId="7EF6EB13">
      <w:pPr>
        <w:pStyle w:val="16"/>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eastAsiaTheme="minorEastAsia"/>
          <w:b/>
          <w:bCs/>
          <w:kern w:val="2"/>
          <w:sz w:val="24"/>
          <w:szCs w:val="24"/>
          <w:lang w:val="en-US" w:eastAsia="zh-CN" w:bidi="ar-SA"/>
        </w:rPr>
      </w:pPr>
      <w:r>
        <w:rPr>
          <w:rFonts w:hint="eastAsia" w:ascii="Times New Roman" w:hAnsi="Times New Roman" w:cs="Times New Roman" w:eastAsiaTheme="minorEastAsia"/>
          <w:b/>
          <w:bCs/>
          <w:kern w:val="2"/>
          <w:sz w:val="24"/>
          <w:szCs w:val="24"/>
          <w:lang w:val="en-US" w:eastAsia="zh-CN" w:bidi="ar-SA"/>
        </w:rPr>
        <w:drawing>
          <wp:inline distT="0" distB="0" distL="114300" distR="114300">
            <wp:extent cx="5262880" cy="7441565"/>
            <wp:effectExtent l="0" t="0" r="7620" b="635"/>
            <wp:docPr id="11" name="图片 11" descr="Pdf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PdfFigure4"/>
                    <pic:cNvPicPr>
                      <a:picLocks noChangeAspect="1"/>
                    </pic:cNvPicPr>
                  </pic:nvPicPr>
                  <pic:blipFill>
                    <a:blip r:embed="rId10"/>
                    <a:stretch>
                      <a:fillRect/>
                    </a:stretch>
                  </pic:blipFill>
                  <pic:spPr>
                    <a:xfrm>
                      <a:off x="0" y="0"/>
                      <a:ext cx="5262880" cy="7441565"/>
                    </a:xfrm>
                    <a:prstGeom prst="rect">
                      <a:avLst/>
                    </a:prstGeom>
                  </pic:spPr>
                </pic:pic>
              </a:graphicData>
            </a:graphic>
          </wp:inline>
        </w:drawing>
      </w:r>
    </w:p>
    <w:p w14:paraId="47798762">
      <w:pPr>
        <w:pStyle w:val="16"/>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eastAsiaTheme="minorEastAsia"/>
          <w:b/>
          <w:bCs/>
          <w:kern w:val="2"/>
          <w:sz w:val="24"/>
          <w:szCs w:val="24"/>
          <w:lang w:val="en-US" w:eastAsia="zh-CN" w:bidi="ar-SA"/>
        </w:rPr>
        <w:t>Fig</w:t>
      </w:r>
      <w:r>
        <w:rPr>
          <w:rFonts w:hint="eastAsia" w:ascii="Times New Roman" w:hAnsi="Times New Roman" w:cs="Times New Roman"/>
          <w:b/>
          <w:bCs/>
          <w:kern w:val="2"/>
          <w:sz w:val="24"/>
          <w:szCs w:val="24"/>
          <w:lang w:val="en-US" w:eastAsia="zh-CN" w:bidi="ar-SA"/>
        </w:rPr>
        <w:t>.</w:t>
      </w:r>
      <w:r>
        <w:rPr>
          <w:rFonts w:hint="eastAsia" w:ascii="Times New Roman" w:hAnsi="Times New Roman" w:cs="Times New Roman" w:eastAsiaTheme="minorEastAsia"/>
          <w:b/>
          <w:bCs/>
          <w:kern w:val="2"/>
          <w:sz w:val="24"/>
          <w:szCs w:val="24"/>
          <w:lang w:val="en-US" w:eastAsia="zh-CN" w:bidi="ar-SA"/>
        </w:rPr>
        <w:t>4</w:t>
      </w:r>
      <w:r>
        <w:rPr>
          <w:rFonts w:hint="eastAsia" w:ascii="Times New Roman" w:hAnsi="Times New Roman" w:cs="Times New Roman"/>
          <w:b/>
          <w:bCs/>
          <w:kern w:val="2"/>
          <w:sz w:val="24"/>
          <w:szCs w:val="24"/>
          <w:lang w:val="en-US" w:eastAsia="zh-CN" w:bidi="ar-SA"/>
        </w:rPr>
        <w:t>.</w:t>
      </w:r>
      <w:r>
        <w:rPr>
          <w:rFonts w:hint="eastAsia" w:ascii="Times New Roman" w:hAnsi="Times New Roman" w:cs="Times New Roman" w:eastAsiaTheme="minorEastAsia"/>
          <w:kern w:val="2"/>
          <w:sz w:val="24"/>
          <w:szCs w:val="24"/>
          <w:lang w:val="en-US" w:eastAsia="zh-CN" w:bidi="ar-SA"/>
        </w:rPr>
        <w:t xml:space="preserve"> </w:t>
      </w:r>
      <w:r>
        <w:rPr>
          <w:rFonts w:hint="eastAsia" w:ascii="Times New Roman" w:hAnsi="Times New Roman" w:cs="Times New Roman" w:eastAsiaTheme="minorEastAsia"/>
          <w:kern w:val="2"/>
          <w:sz w:val="24"/>
          <w:szCs w:val="24"/>
          <w:highlight w:val="none"/>
          <w:lang w:val="en-US" w:eastAsia="zh-CN" w:bidi="ar-SA"/>
        </w:rPr>
        <w:t xml:space="preserve">Subgroup analyses of BCR trajectories and mortality in AP. Forest </w:t>
      </w:r>
      <w:r>
        <w:rPr>
          <w:rFonts w:hint="eastAsia" w:ascii="Times New Roman" w:hAnsi="Times New Roman" w:cs="Times New Roman" w:eastAsiaTheme="minorEastAsia"/>
          <w:kern w:val="2"/>
          <w:sz w:val="24"/>
          <w:szCs w:val="24"/>
          <w:lang w:val="en-US" w:eastAsia="zh-CN" w:bidi="ar-SA"/>
        </w:rPr>
        <w:t>plots display hazard ratios with 95% confidence intervals for 28</w:t>
      </w:r>
      <w:r>
        <w:rPr>
          <w:rFonts w:hint="eastAsia" w:ascii="Times New Roman" w:hAnsi="Times New Roman" w:cs="Times New Roman" w:eastAsiaTheme="minorEastAsia"/>
          <w:kern w:val="2"/>
          <w:sz w:val="24"/>
          <w:szCs w:val="24"/>
          <w:lang w:val="en-US" w:eastAsia="zh-CN" w:bidi="ar-SA"/>
        </w:rPr>
        <w:noBreakHyphen/>
      </w:r>
      <w:r>
        <w:rPr>
          <w:rFonts w:hint="eastAsia" w:ascii="Times New Roman" w:hAnsi="Times New Roman" w:cs="Times New Roman" w:eastAsiaTheme="minorEastAsia"/>
          <w:kern w:val="2"/>
          <w:sz w:val="24"/>
          <w:szCs w:val="24"/>
          <w:lang w:val="en-US" w:eastAsia="zh-CN" w:bidi="ar-SA"/>
        </w:rPr>
        <w:t>day and 90</w:t>
      </w:r>
      <w:r>
        <w:rPr>
          <w:rFonts w:hint="eastAsia" w:ascii="Times New Roman" w:hAnsi="Times New Roman" w:cs="Times New Roman" w:eastAsiaTheme="minorEastAsia"/>
          <w:kern w:val="2"/>
          <w:sz w:val="24"/>
          <w:szCs w:val="24"/>
          <w:lang w:val="en-US" w:eastAsia="zh-CN" w:bidi="ar-SA"/>
        </w:rPr>
        <w:noBreakHyphen/>
      </w:r>
      <w:r>
        <w:rPr>
          <w:rFonts w:hint="eastAsia" w:ascii="Times New Roman" w:hAnsi="Times New Roman" w:cs="Times New Roman" w:eastAsiaTheme="minorEastAsia"/>
          <w:kern w:val="2"/>
          <w:sz w:val="24"/>
          <w:szCs w:val="24"/>
          <w:lang w:val="en-US" w:eastAsia="zh-CN" w:bidi="ar-SA"/>
        </w:rPr>
        <w:t>day all</w:t>
      </w:r>
      <w:r>
        <w:rPr>
          <w:rFonts w:hint="eastAsia" w:ascii="Times New Roman" w:hAnsi="Times New Roman" w:cs="Times New Roman" w:eastAsiaTheme="minorEastAsia"/>
          <w:kern w:val="2"/>
          <w:sz w:val="24"/>
          <w:szCs w:val="24"/>
          <w:lang w:val="en-US" w:eastAsia="zh-CN" w:bidi="ar-SA"/>
        </w:rPr>
        <w:noBreakHyphen/>
      </w:r>
      <w:r>
        <w:rPr>
          <w:rFonts w:hint="eastAsia" w:ascii="Times New Roman" w:hAnsi="Times New Roman" w:cs="Times New Roman" w:eastAsiaTheme="minorEastAsia"/>
          <w:kern w:val="2"/>
          <w:sz w:val="24"/>
          <w:szCs w:val="24"/>
          <w:lang w:val="en-US" w:eastAsia="zh-CN" w:bidi="ar-SA"/>
        </w:rPr>
        <w:t>cause mortality across pre</w:t>
      </w:r>
      <w:r>
        <w:rPr>
          <w:rFonts w:hint="eastAsia" w:ascii="Times New Roman" w:hAnsi="Times New Roman" w:cs="Times New Roman" w:eastAsiaTheme="minorEastAsia"/>
          <w:kern w:val="2"/>
          <w:sz w:val="24"/>
          <w:szCs w:val="24"/>
          <w:lang w:val="en-US" w:eastAsia="zh-CN" w:bidi="ar-SA"/>
        </w:rPr>
        <w:noBreakHyphen/>
      </w:r>
      <w:r>
        <w:rPr>
          <w:rFonts w:hint="eastAsia" w:ascii="Times New Roman" w:hAnsi="Times New Roman" w:cs="Times New Roman" w:eastAsiaTheme="minorEastAsia"/>
          <w:kern w:val="2"/>
          <w:sz w:val="24"/>
          <w:szCs w:val="24"/>
          <w:lang w:val="en-US" w:eastAsia="zh-CN" w:bidi="ar-SA"/>
        </w:rPr>
        <w:t>specified subgroups; Class 1 (moderate</w:t>
      </w:r>
      <w:r>
        <w:rPr>
          <w:rFonts w:hint="eastAsia" w:ascii="Times New Roman" w:hAnsi="Times New Roman" w:cs="Times New Roman" w:eastAsiaTheme="minorEastAsia"/>
          <w:kern w:val="2"/>
          <w:sz w:val="24"/>
          <w:szCs w:val="24"/>
          <w:lang w:val="en-US" w:eastAsia="zh-CN" w:bidi="ar-SA"/>
        </w:rPr>
        <w:noBreakHyphen/>
      </w:r>
      <w:r>
        <w:rPr>
          <w:rFonts w:hint="eastAsia" w:ascii="Times New Roman" w:hAnsi="Times New Roman" w:cs="Times New Roman" w:eastAsiaTheme="minorEastAsia"/>
          <w:kern w:val="2"/>
          <w:sz w:val="24"/>
          <w:szCs w:val="24"/>
          <w:lang w:val="en-US" w:eastAsia="zh-CN" w:bidi="ar-SA"/>
        </w:rPr>
        <w:t>stable group) served as the reference group.</w:t>
      </w:r>
    </w:p>
    <w:p w14:paraId="1ED36C55">
      <w:pPr>
        <w:keepNext w:val="0"/>
        <w:keepLines w:val="0"/>
        <w:pageBreakBefore w:val="0"/>
        <w:kinsoku/>
        <w:wordWrap/>
        <w:overflowPunct/>
        <w:topLinePunct w:val="0"/>
        <w:bidi w:val="0"/>
        <w:snapToGrid/>
        <w:spacing w:line="480" w:lineRule="auto"/>
        <w:textAlignment w:val="auto"/>
        <w:rPr>
          <w:rFonts w:ascii="Times New Roman" w:hAnsi="Times New Roman" w:cs="Times New Roman"/>
        </w:rPr>
      </w:pPr>
    </w:p>
    <w:p w14:paraId="64FFD0B8">
      <w:pPr>
        <w:keepNext w:val="0"/>
        <w:keepLines w:val="0"/>
        <w:pageBreakBefore w:val="0"/>
        <w:kinsoku/>
        <w:wordWrap/>
        <w:overflowPunct/>
        <w:topLinePunct w:val="0"/>
        <w:bidi w:val="0"/>
        <w:snapToGrid/>
        <w:spacing w:line="480" w:lineRule="auto"/>
        <w:textAlignment w:val="auto"/>
        <w:rPr>
          <w:rFonts w:ascii="Times New Roman" w:hAnsi="Times New Roman" w:cs="Times New Roman"/>
        </w:rPr>
      </w:pPr>
      <w:r>
        <w:rPr>
          <w:rFonts w:ascii="Times New Roman" w:hAnsi="Times New Roman" w:cs="Times New Roman"/>
          <w:b/>
          <w:bCs/>
          <w:sz w:val="28"/>
          <w:szCs w:val="28"/>
        </w:rPr>
        <w:t>Discussion</w:t>
      </w:r>
    </w:p>
    <w:p w14:paraId="02B9AC48">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 xml:space="preserve">This study used the Medical Information Mart for Intensive Care IV database to comprehensively explore the association between blood urea nitrogen/creatinine ratio trajectories and all-cause mortality in critically ill participants with AP. </w:t>
      </w:r>
      <w:r>
        <w:rPr>
          <w:rFonts w:ascii="Times New Roman" w:hAnsi="Times New Roman" w:cs="Times New Roman"/>
          <w:sz w:val="24"/>
          <w:szCs w:val="24"/>
        </w:rPr>
        <w:t xml:space="preserve">Via group-based trajectory modeling, we identified four distinct BCR trajectories during hospitalization among AP patients: moderate-stable group (Class 1, 44.7%), low-stable group (Class 2, 39.8%), descend-ascend group (Class 3, 2.1%), and high-stable group (Class 4, 13.4%). </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This trajectory classification reflects dynamic renal and systemic pathophysiological changes in AP patients, consistent with clinical observations of progressive renal dysfunction and metabolic disturbances in AP</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&lt;EndNote&gt;&lt;Cite&gt;&lt;Author&gt;Banks&lt;/Author&gt;&lt;Year&gt;2013&lt;/Year&gt;&lt;RecNum&gt;9&lt;/RecNum&gt;&lt;DisplayText&gt;[19, 20]&lt;/DisplayText&gt;&lt;record&gt;&lt;rec-number&gt;9&lt;/rec-number&gt;&lt;foreign-keys&gt;&lt;key app="EN" db-id="vw2sr5vvldww50et259xtp2mfpxar95s25ez" timestamp="1769919614"&gt;9&lt;/key&gt;&lt;/foreign-keys&gt;&lt;ref-type name="Journal Article"&gt;17&lt;/ref-type&gt;&lt;contributors&gt;&lt;authors&gt;&lt;author&gt;Banks, Peter A.&lt;/author&gt;&lt;author&gt;Bollen, Thomas L.&lt;/author&gt;&lt;author&gt;Dervenis, Christos&lt;/author&gt;&lt;author&gt;Gooszen, Hein G.&lt;/author&gt;&lt;author&gt;Johnson, Colin D.&lt;/author&gt;&lt;author&gt;Sarr, Michael G.&lt;/author&gt;&lt;author&gt;Tsiotos, Gregory G.&lt;/author&gt;&lt;author&gt;Vege, Santhi Swaroop&lt;/author&gt;&lt;/authors&gt;&lt;/contributors&gt;&lt;titles&gt;&lt;title&gt;Classification of acute pancreatitis—2012: revision of the Atlanta classification and definitions by international consensus&lt;/title&gt;&lt;secondary-title&gt;Gut&lt;/secondary-title&gt;&lt;/titles&gt;&lt;pages&gt;102-111&lt;/pages&gt;&lt;volume&gt;62&lt;/volume&gt;&lt;number&gt;1&lt;/number&gt;&lt;section&gt;102&lt;/section&gt;&lt;dates&gt;&lt;year&gt;2013&lt;/year&gt;&lt;/dates&gt;&lt;isbn&gt;0017-5749&amp;#xD;1468-3288&lt;/isbn&gt;&lt;urls&gt;&lt;/urls&gt;&lt;electronic-resource-num&gt;10.1136/gutjnl-2012-302779&lt;/electronic-resource-num&gt;&lt;/record&gt;&lt;/Cite&gt;&lt;Cite&gt;&lt;Author&gt;Nassar&lt;/Author&gt;&lt;Year&gt;2019&lt;/Year&gt;&lt;RecNum&gt;10&lt;/RecNum&gt;&lt;record&gt;&lt;rec-number&gt;10&lt;/rec-number&gt;&lt;foreign-keys&gt;&lt;key app="EN" db-id="vw2sr5vvldww50et259xtp2mfpxar95s25ez" timestamp="1769919623"&gt;10&lt;/key&gt;&lt;/foreign-keys&gt;&lt;ref-type name="Journal Article"&gt;17&lt;/ref-type&gt;&lt;contributors&gt;&lt;authors&gt;&lt;author&gt;Nassar, Tareq I.&lt;/author&gt;&lt;author&gt;Qunibi, Wajeh Y.&lt;/author&gt;&lt;/authors&gt;&lt;/contributors&gt;&lt;titles&gt;&lt;title&gt;AKI Associated with Acute Pancreatitis&lt;/title&gt;&lt;secondary-title&gt;Clinical Journal of the American Society of Nephrology&lt;/secondary-title&gt;&lt;/titles&gt;&lt;pages&gt;1106-1115&lt;/pages&gt;&lt;volume&gt;14&lt;/volume&gt;&lt;number&gt;7&lt;/number&gt;&lt;section&gt;1106&lt;/section&gt;&lt;dates&gt;&lt;year&gt;2019&lt;/year&gt;&lt;/dates&gt;&lt;isbn&gt;1555-9041&amp;#xD;1555-905X&lt;/isbn&gt;&lt;urls&gt;&lt;/urls&gt;&lt;electronic-resource-num&gt;10.2215/cjn.13191118&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sz w:val="24"/>
          <w:szCs w:val="24"/>
          <w:lang w:val="en-US" w:eastAsia="zh-CN"/>
        </w:rPr>
        <w:t>[19, 20]</w:t>
      </w:r>
      <w:r>
        <w:rPr>
          <w:rFonts w:ascii="Times New Roman" w:hAnsi="Times New Roman" w:cs="Times New Roman"/>
          <w:sz w:val="24"/>
          <w:szCs w:val="24"/>
        </w:rPr>
        <w:fldChar w:fldCharType="end"/>
      </w:r>
      <w:r>
        <w:rPr>
          <w:rFonts w:ascii="Times New Roman" w:hAnsi="Times New Roman" w:cs="Times New Roman"/>
          <w:sz w:val="24"/>
          <w:szCs w:val="24"/>
        </w:rPr>
        <w:t>.</w:t>
      </w:r>
    </w:p>
    <w:p w14:paraId="354FFE40">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highlight w:val="green"/>
        </w:rPr>
      </w:pPr>
      <w:r>
        <w:rPr>
          <w:rFonts w:ascii="Times New Roman" w:hAnsi="Times New Roman" w:cs="Times New Roman"/>
          <w:sz w:val="24"/>
          <w:szCs w:val="24"/>
        </w:rPr>
        <w:t>The results of this study highlight the value of monitoring BCR trajectories for risk stratification in AP patients. Unlike single-point BCR measurement, trajectory analysis captures dynamic changes in renal metabolism and systemic status, facilitating earlier identification of high-risk patients. For patients with a high-stable BCR trajectory, proactive interventions (e.g., optimizing fluid resuscitation to improve renal perfusion, targeted anti-inflammatory therapy, and early renal support therapy) may reduce mortality risk</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&lt;EndNote&gt;&lt;Cite&gt;&lt;Author&gt;Szatmary&lt;/Author&gt;&lt;Year&gt;2022&lt;/Year&gt;&lt;RecNum&gt;12&lt;/RecNum&gt;&lt;DisplayText&gt;[2, 19]&lt;/DisplayText&gt;&lt;record&gt;&lt;rec-number&gt;12&lt;/rec-number&gt;&lt;foreign-keys&gt;&lt;key app="EN" db-id="vw2sr5vvldww50et259xtp2mfpxar95s25ez" timestamp="1769919630"&gt;12&lt;/key&gt;&lt;/foreign-keys&gt;&lt;ref-type name="Journal Article"&gt;17&lt;/ref-type&gt;&lt;contributors&gt;&lt;authors&gt;&lt;author&gt;Szatmary, Peter&lt;/author&gt;&lt;author&gt;Grammatikopoulos, Tassos&lt;/author&gt;&lt;author&gt;Cai, Wenhao&lt;/author&gt;&lt;author&gt;Huang, Wei&lt;/author&gt;&lt;author&gt;Mukherjee, Rajarshi&lt;/author&gt;&lt;author&gt;Halloran, Chris&lt;/author&gt;&lt;author&gt;Beyer, Georg&lt;/author&gt;&lt;author&gt;Sutton, Robert&lt;/author&gt;&lt;/authors&gt;&lt;/contributors&gt;&lt;titles&gt;&lt;title&gt;Acute Pancreatitis: Diagnosis and Treatment&lt;/title&gt;&lt;secondary-title&gt;Drugs&lt;/secondary-title&gt;&lt;/titles&gt;&lt;pages&gt;1251-1276&lt;/pages&gt;&lt;volume&gt;82&lt;/volume&gt;&lt;number&gt;12&lt;/number&gt;&lt;section&gt;1251&lt;/section&gt;&lt;dates&gt;&lt;year&gt;2022&lt;/year&gt;&lt;/dates&gt;&lt;isbn&gt;0012-6667&amp;#xD;1179-1950&lt;/isbn&gt;&lt;urls&gt;&lt;/urls&gt;&lt;electronic-resource-num&gt;10.1007/s40265-022-01766-4&lt;/electronic-resource-num&gt;&lt;/record&gt;&lt;/Cite&gt;&lt;Cite&gt;&lt;Author&gt;Banks&lt;/Author&gt;&lt;Year&gt;2013&lt;/Year&gt;&lt;RecNum&gt;9&lt;/RecNum&gt;&lt;record&gt;&lt;rec-number&gt;9&lt;/rec-number&gt;&lt;foreign-keys&gt;&lt;key app="EN" db-id="vw2sr5vvldww50et259xtp2mfpxar95s25ez" timestamp="1769919614"&gt;9&lt;/key&gt;&lt;/foreign-keys&gt;&lt;ref-type name="Journal Article"&gt;17&lt;/ref-type&gt;&lt;contributors&gt;&lt;authors&gt;&lt;author&gt;Banks, Peter A.&lt;/author&gt;&lt;author&gt;Bollen, Thomas L.&lt;/author&gt;&lt;author&gt;Dervenis, Christos&lt;/author&gt;&lt;author&gt;Gooszen, Hein G.&lt;/author&gt;&lt;author&gt;Johnson, Colin D.&lt;/author&gt;&lt;author&gt;Sarr, Michael G.&lt;/author&gt;&lt;author&gt;Tsiotos, Gregory G.&lt;/author&gt;&lt;author&gt;Vege, Santhi Swaroop&lt;/author&gt;&lt;/authors&gt;&lt;/contributors&gt;&lt;titles&gt;&lt;title&gt;Classification of acute pancreatitis—2012: revision of the Atlanta classification and definitions by international consensus&lt;/title&gt;&lt;secondary-title&gt;Gut&lt;/secondary-title&gt;&lt;/titles&gt;&lt;pages&gt;102-111&lt;/pages&gt;&lt;volume&gt;62&lt;/volume&gt;&lt;number&gt;1&lt;/number&gt;&lt;section&gt;102&lt;/section&gt;&lt;dates&gt;&lt;year&gt;2013&lt;/year&gt;&lt;/dates&gt;&lt;isbn&gt;0017-5749&amp;#xD;1468-3288&lt;/isbn&gt;&lt;urls&gt;&lt;/urls&gt;&lt;electronic-resource-num&gt;10.1136/gutjnl-2012-302779&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[2, 19]</w:t>
      </w:r>
      <w:r>
        <w:rPr>
          <w:rFonts w:ascii="Times New Roman" w:hAnsi="Times New Roman" w:cs="Times New Roman"/>
          <w:sz w:val="24"/>
          <w:szCs w:val="24"/>
        </w:rPr>
        <w:fldChar w:fldCharType="end"/>
      </w:r>
      <w:r>
        <w:rPr>
          <w:rFonts w:ascii="Times New Roman" w:hAnsi="Times New Roman" w:cs="Times New Roman"/>
          <w:sz w:val="24"/>
          <w:szCs w:val="24"/>
        </w:rPr>
        <w:t>. Additionally, existing studies mostly focus on stable BCR patterns, such as persistently elevated or decreased ratios. The fluctuating descend-ascend trajectory (Class 3) identified in the present study complements the overlooked dynamic phenotype in previous literature. Notably, given the extremely small sample size of Class 3 (n=13, 2.1%), the interpretation of “early improvement followed by late deterioration” in this subgroup remains exploratory and speculative.</w:t>
      </w:r>
    </w:p>
    <w:p w14:paraId="7F9F9031">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highlight w:val="yellow"/>
        </w:rPr>
      </w:pPr>
      <w:r>
        <w:rPr>
          <w:rFonts w:hint="eastAsia" w:ascii="Times New Roman" w:hAnsi="Times New Roman" w:cs="Times New Roman"/>
          <w:sz w:val="24"/>
          <w:szCs w:val="24"/>
          <w:highlight w:val="none"/>
          <w:lang w:val="en-US" w:eastAsia="zh-CN"/>
        </w:rPr>
        <w:t xml:space="preserve">In our study, the high-stable trajectory (Class 4) was characterized by persistently elevated BCR levels (36.2±9.6) and had the highest 28-day and 90-day mortality (21.0% and 33.3%, respectively). In the parsimonious primary model, Class 4 was independently associated with the highest mortality risk. </w:t>
      </w:r>
      <w:r>
        <w:rPr>
          <w:rFonts w:ascii="Times New Roman" w:hAnsi="Times New Roman" w:cs="Times New Roman"/>
          <w:sz w:val="24"/>
          <w:szCs w:val="24"/>
        </w:rPr>
        <w:t xml:space="preserve">This finding can be explained by the following mechanisms. First, renal hypoperfusion and toxin accumulation. In the early stage of AP, activation of pancreatic enzymes increases vascular permeability, leading to leakage of </w:t>
      </w:r>
      <w:r>
        <w:rPr>
          <w:rFonts w:hint="eastAsia" w:ascii="Times New Roman" w:hAnsi="Times New Roman" w:cs="Times New Roman"/>
          <w:sz w:val="24"/>
          <w:szCs w:val="24"/>
        </w:rPr>
        <w:t>protein-dense</w:t>
      </w:r>
      <w:r>
        <w:rPr>
          <w:rFonts w:ascii="Times New Roman" w:hAnsi="Times New Roman" w:cs="Times New Roman"/>
          <w:sz w:val="24"/>
          <w:szCs w:val="24"/>
        </w:rPr>
        <w:t xml:space="preserve"> fluid into the interstitial compartment. This causes </w:t>
      </w:r>
      <w:r>
        <w:rPr>
          <w:rFonts w:hint="eastAsia" w:ascii="Times New Roman" w:hAnsi="Times New Roman" w:cs="Times New Roman"/>
          <w:sz w:val="24"/>
          <w:szCs w:val="24"/>
        </w:rPr>
        <w:t>circulatory volume deficit</w:t>
      </w:r>
      <w:r>
        <w:rPr>
          <w:rFonts w:ascii="Times New Roman" w:hAnsi="Times New Roman" w:cs="Times New Roman"/>
          <w:sz w:val="24"/>
          <w:szCs w:val="24"/>
        </w:rPr>
        <w:t xml:space="preserve"> and reduced renal perfusion. In the late stage, when complicated with infection or pancreatic necrosis, substances released by necrotic pancreas (including histamine, prostaglandin E,</w:t>
      </w:r>
      <w:r>
        <w:rPr>
          <w:rFonts w:hint="eastAsia" w:ascii="Times New Roman" w:hAnsi="Times New Roman" w:cs="Times New Roman"/>
          <w:sz w:val="24"/>
          <w:szCs w:val="24"/>
        </w:rPr>
        <w:t xml:space="preserve"> </w:t>
      </w:r>
      <w:r>
        <w:rPr>
          <w:rFonts w:ascii="Times New Roman" w:hAnsi="Times New Roman" w:cs="Times New Roman"/>
          <w:sz w:val="24"/>
          <w:szCs w:val="24"/>
        </w:rPr>
        <w:t>trypsin, chymotrypsin, bradykinin, as well as bacteria and endotoxins)</w:t>
      </w:r>
      <w:r>
        <w:rPr>
          <w:rFonts w:hint="eastAsia" w:ascii="Times New Roman" w:hAnsi="Times New Roman" w:cs="Times New Roman"/>
          <w:sz w:val="24"/>
          <w:szCs w:val="24"/>
        </w:rPr>
        <w:t xml:space="preserve"> </w:t>
      </w:r>
      <w:r>
        <w:rPr>
          <w:rFonts w:ascii="Times New Roman" w:hAnsi="Times New Roman" w:cs="Times New Roman"/>
          <w:sz w:val="24"/>
          <w:szCs w:val="24"/>
        </w:rPr>
        <w:t>may also induce acute kidney injury</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&lt;EndNote&gt;&lt;Cite&gt;&lt;Author&gt;Nassar&lt;/Author&gt;&lt;Year&gt;2019&lt;/Year&gt;&lt;RecNum&gt;10&lt;/RecNum&gt;&lt;DisplayText&gt;[20-22]&lt;/DisplayText&gt;&lt;record&gt;&lt;rec-number&gt;10&lt;/rec-number&gt;&lt;foreign-keys&gt;&lt;key app="EN" db-id="vw2sr5vvldww50et259xtp2mfpxar95s25ez" timestamp="1769919623"&gt;10&lt;/key&gt;&lt;/foreign-keys&gt;&lt;ref-type name="Journal Article"&gt;17&lt;/ref-type&gt;&lt;contributors&gt;&lt;authors&gt;&lt;author&gt;Nassar, Tareq I.&lt;/author&gt;&lt;author&gt;Qunibi, Wajeh Y.&lt;/author&gt;&lt;/authors&gt;&lt;/contributors&gt;&lt;titles&gt;&lt;title&gt;AKI Associated with Acute Pancreatitis&lt;/title&gt;&lt;secondary-title&gt;Clinical Journal of the American Society of Nephrology&lt;/secondary-title&gt;&lt;/titles&gt;&lt;pages&gt;1106-1115&lt;/pages&gt;&lt;volume&gt;14&lt;/volume&gt;&lt;number&gt;7&lt;/number&gt;&lt;section&gt;1106&lt;/section&gt;&lt;dates&gt;&lt;year&gt;2019&lt;/year&gt;&lt;/dates&gt;&lt;isbn&gt;1555-9041&amp;#xD;1555-905X&lt;/isbn&gt;&lt;urls&gt;&lt;/urls&gt;&lt;electronic-resource-num&gt;10.2215/cjn.13191118&lt;/electronic-resource-num&gt;&lt;/record&gt;&lt;/Cite&gt;&lt;Cite&gt;&lt;RecNum&gt;11&lt;/RecNum&gt;&lt;record&gt;&lt;rec-number&gt;11&lt;/rec-number&gt;&lt;foreign-keys&gt;&lt;key app="EN" db-id="vw2sr5vvldww50et259xtp2mfpxar95s25ez" timestamp="1769919625"&gt;11&lt;/key&gt;&lt;/foreign-keys&gt;&lt;ref-type name="Journal Article"&gt;17&lt;/ref-type&gt;&lt;contributors&gt;&lt;/contributors&gt;&lt;titles&gt;&lt;title&gt;&amp;lt;19)患有实验性急性胰腺炎的狗的肾功能衰竭：低血容量的作用.pdf&amp;gt;&lt;/title&gt;&lt;/titles&gt;&lt;dates&gt;&lt;/dates&gt;&lt;urls&gt;&lt;/urls&gt;&lt;/record&gt;&lt;/Cite&gt;&lt;Cite&gt;&lt;RecNum&gt;13&lt;/RecNum&gt;&lt;record&gt;&lt;rec-number&gt;13&lt;/rec-number&gt;&lt;foreign-keys&gt;&lt;key app="EN" db-id="vw2sr5vvldww50et259xtp2mfpxar95s25ez" timestamp="1769919632"&gt;13&lt;/key&gt;&lt;/foreign-keys&gt;&lt;ref-type name="Journal Article"&gt;17&lt;/ref-type&gt;&lt;contributors&gt;&lt;/contributors&gt;&lt;titles&gt;&lt;title&gt;&amp;lt;20)实验诱发的狗急性胰腺炎的肾功能：腹水胰腺渗出液中肾毒性物质如何影响它.pdf&amp;gt;&lt;/title&gt;&lt;/titles&gt;&lt;dates&gt;&lt;/dates&gt;&lt;urls&gt;&lt;/urls&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[20-22]</w:t>
      </w:r>
      <w:r>
        <w:rPr>
          <w:rFonts w:ascii="Times New Roman" w:hAnsi="Times New Roman" w:cs="Times New Roman"/>
          <w:sz w:val="24"/>
          <w:szCs w:val="24"/>
        </w:rPr>
        <w:fldChar w:fldCharType="end"/>
      </w:r>
      <w:r>
        <w:rPr>
          <w:rFonts w:ascii="Times New Roman" w:hAnsi="Times New Roman" w:cs="Times New Roman"/>
          <w:sz w:val="24"/>
          <w:szCs w:val="24"/>
        </w:rPr>
        <w:t>. In Class 4 patients, baseline BUN (35.0 mg/dL) and creatinine (1.1 mg/dL) were significantly elevated, confirming persistent renal injury. This is fully consistent with the "J-shaped association between persistently elevated BUN/Cr ratio and mortality risk in SAP patients" reported by Wan et al.</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&lt;EndNote&gt;&lt;Cite&gt;&lt;Author&gt;Wan&lt;/Author&gt;&lt;Year&gt;2025&lt;/Year&gt;&lt;RecNum&gt;19&lt;/RecNum&gt;&lt;DisplayText&gt;[4]&lt;/DisplayText&gt;&lt;record&gt;&lt;rec-number&gt;19&lt;/rec-number&gt;&lt;foreign-keys&gt;&lt;key app="EN" db-id="vw2sr5vvldww50et259xtp2mfpxar95s25ez" timestamp="1769919669"&gt;19&lt;/key&gt;&lt;/foreign-keys&gt;&lt;ref-type name="Journal Article"&gt;17&lt;/ref-type&gt;&lt;contributors&gt;&lt;authors&gt;&lt;author&gt;Wan, Yu&lt;/author&gt;&lt;author&gt;Hu, Qiong&lt;/author&gt;&lt;author&gt;Shi, Jing&lt;/author&gt;&lt;author&gt;Liu, Limei&lt;/author&gt;&lt;author&gt;Zhang, Xiangsong&lt;/author&gt;&lt;author&gt;Huang, Jianjun&lt;/author&gt;&lt;author&gt;Wang, Haijiu&lt;/author&gt;&lt;/authors&gt;&lt;/contributors&gt;&lt;titles&gt;&lt;title&gt;J-shaped association between blood urea nitrogen-to-creatinine ratio and mortality in critically ill patients with acute pancreatitis: a retrospective cohort study using the MIMIC-IV database&lt;/title&gt;&lt;secondary-title&gt;European Journal of Medical Research&lt;/secondary-title&gt;&lt;/titles&gt;&lt;volume&gt;30&lt;/volume&gt;&lt;number&gt;1&lt;/number&gt;&lt;dates&gt;&lt;year&gt;2025&lt;/year&gt;&lt;/dates&gt;&lt;isbn&gt;2047-783X&lt;/isbn&gt;&lt;urls&gt;&lt;/urls&gt;&lt;electronic-resource-num&gt;10.1186/s40001-025-02430-9&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[4]</w:t>
      </w:r>
      <w:r>
        <w:rPr>
          <w:rFonts w:ascii="Times New Roman" w:hAnsi="Times New Roman" w:cs="Times New Roman"/>
          <w:sz w:val="24"/>
          <w:szCs w:val="24"/>
        </w:rPr>
        <w:fldChar w:fldCharType="end"/>
      </w:r>
      <w:r>
        <w:rPr>
          <w:rFonts w:ascii="Times New Roman" w:hAnsi="Times New Roman" w:cs="Times New Roman"/>
          <w:sz w:val="24"/>
          <w:szCs w:val="24"/>
        </w:rPr>
        <w:t>, where mortality risk increased exponentially when the ratio exceeded 16.8. Second, hypercatabolism and uncontrolled inflammation. Both Gunst et al.</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&lt;EndNote&gt;&lt;Cite&gt;&lt;Author&gt;Gunst&lt;/Author&gt;&lt;Year&gt;2019&lt;/Year&gt;&lt;RecNum&gt;24&lt;/RecNum&gt;&lt;DisplayText&gt;[9]&lt;/DisplayText&gt;&lt;record&gt;&lt;rec-number&gt;24&lt;/rec-number&gt;&lt;foreign-keys&gt;&lt;key app="EN" db-id="vw2sr5vvldww50et259xtp2mfpxar95s25ez" timestamp="1769919698"&gt;24&lt;/key&gt;&lt;/foreign-keys&gt;&lt;ref-type name="Journal Article"&gt;17&lt;/ref-type&gt;&lt;contributors&gt;&lt;authors&gt;&lt;author&gt;Gunst, Jan&lt;/author&gt;&lt;author&gt;Kashani, Kianoush B.&lt;/author&gt;&lt;author&gt;Hermans, Greet&lt;/author&gt;&lt;/authors&gt;&lt;/contributors&gt;&lt;titles&gt;&lt;title&gt;The urea-creatinine ratio as a novel biomarker of critical illness-associated catabolism&lt;/title&gt;&lt;secondary-title&gt;Intensive Care Medicine&lt;/secondary-title&gt;&lt;/titles&gt;&lt;pages&gt;1813-1815&lt;/pages&gt;&lt;volume&gt;45&lt;/volume&gt;&lt;number&gt;12&lt;/number&gt;&lt;section&gt;1813&lt;/section&gt;&lt;dates&gt;&lt;year&gt;2019&lt;/year&gt;&lt;/dates&gt;&lt;isbn&gt;0342-4642&amp;#xD;1432-1238&lt;/isbn&gt;&lt;urls&gt;&lt;/urls&gt;&lt;electronic-resource-num&gt;10.1007/s00134-019-05810-y&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[9]</w:t>
      </w:r>
      <w:r>
        <w:rPr>
          <w:rFonts w:ascii="Times New Roman" w:hAnsi="Times New Roman" w:cs="Times New Roman"/>
          <w:sz w:val="24"/>
          <w:szCs w:val="24"/>
        </w:rPr>
        <w:fldChar w:fldCharType="end"/>
      </w:r>
      <w:r>
        <w:rPr>
          <w:rFonts w:ascii="Times New Roman" w:hAnsi="Times New Roman" w:cs="Times New Roman"/>
          <w:sz w:val="24"/>
          <w:szCs w:val="24"/>
        </w:rPr>
        <w:t xml:space="preserve"> and Haines et al.</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&lt;EndNote&gt;&lt;Cite&gt;&lt;Author&gt;Haines&lt;/Author&gt;&lt;Year&gt;2019&lt;/Year&gt;&lt;RecNum&gt;14&lt;/RecNum&gt;&lt;DisplayText&gt;[23]&lt;/DisplayText&gt;&lt;record&gt;&lt;rec-number&gt;14&lt;/rec-number&gt;&lt;foreign-keys&gt;&lt;key app="EN" db-id="vw2sr5vvldww50et259xtp2mfpxar95s25ez" timestamp="1769919639"&gt;14&lt;/key&gt;&lt;/foreign-keys&gt;&lt;ref-type name="Journal Article"&gt;17&lt;/ref-type&gt;&lt;contributors&gt;&lt;authors&gt;&lt;author&gt;Haines, Ryan W.&lt;/author&gt;&lt;author&gt;Zolfaghari, Parjam&lt;/author&gt;&lt;author&gt;Wan, Yize&lt;/author&gt;&lt;author&gt;Pearse, Rupert M.&lt;/author&gt;&lt;author&gt;Puthucheary, Zudin&lt;/author&gt;&lt;author&gt;Prowle, John R.&lt;/author&gt;&lt;/authors&gt;&lt;/contributors&gt;&lt;titles&gt;&lt;title&gt;Elevated urea-to-creatinine ratio provides a biochemical signature of muscle catabolism and persistent critical illness after major trauma&lt;/title&gt;&lt;secondary-title&gt;Intensive Care Medicine&lt;/secondary-title&gt;&lt;/titles&gt;&lt;pages&gt;1718-1731&lt;/pages&gt;&lt;volume&gt;45&lt;/volume&gt;&lt;number&gt;12&lt;/number&gt;&lt;section&gt;1718&lt;/section&gt;&lt;dates&gt;&lt;year&gt;2019&lt;/year&gt;&lt;/dates&gt;&lt;isbn&gt;0342-4642&amp;#xD;1432-1238&lt;/isbn&gt;&lt;urls&gt;&lt;/urls&gt;&lt;electronic-resource-num&gt;10.1007/s00134-019-05760-5&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[23]</w:t>
      </w:r>
      <w:r>
        <w:rPr>
          <w:rFonts w:ascii="Times New Roman" w:hAnsi="Times New Roman" w:cs="Times New Roman"/>
          <w:sz w:val="24"/>
          <w:szCs w:val="24"/>
        </w:rPr>
        <w:fldChar w:fldCharType="end"/>
      </w:r>
      <w:r>
        <w:rPr>
          <w:rFonts w:hint="eastAsia" w:ascii="Times New Roman" w:hAnsi="Times New Roman" w:cs="Times New Roman"/>
          <w:sz w:val="24"/>
          <w:szCs w:val="24"/>
        </w:rPr>
        <w:t xml:space="preserve"> </w:t>
      </w:r>
      <w:r>
        <w:rPr>
          <w:rFonts w:ascii="Times New Roman" w:hAnsi="Times New Roman" w:cs="Times New Roman"/>
          <w:sz w:val="24"/>
          <w:szCs w:val="24"/>
        </w:rPr>
        <w:t>proposed that urea-creatinine ratio (UCR) is a potential biomarker of critical illness-associated catabolism. Class 4 patients exhibited enhanced muscle catabolism, characterized by relatively stable creatinine production but elevated urea levels due to increased protein breakdown. This metabolic state, combined with sustained activation of proinflammatory cytokines such as IL-6 and TNF-α2, maintained persistently high BCR levels</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&lt;EndNote&gt;&lt;Cite&gt;&lt;Author&gt;Paulus&lt;/Author&gt;&lt;Year&gt;2025&lt;/Year&gt;&lt;RecNum&gt;26&lt;/RecNum&gt;&lt;DisplayText&gt;[13]&lt;/DisplayText&gt;&lt;record&gt;&lt;rec-number&gt;26&lt;/rec-number&gt;&lt;foreign-keys&gt;&lt;key app="EN" db-id="vw2sr5vvldww50et259xtp2mfpxar95s25ez" timestamp="1786893546"&gt;26&lt;/key&gt;&lt;/foreign-keys&gt;&lt;ref-type name="Journal Article"&gt;17&lt;/ref-type&gt;&lt;contributors&gt;&lt;authors&gt;&lt;author&gt;Paulus, Michelle Carmen&lt;/author&gt;&lt;author&gt;Melchers, Max&lt;/author&gt;&lt;author&gt;van Es, Anouck&lt;/author&gt;&lt;author&gt;Kouw, Imre Willemijn Kehinde&lt;/author&gt;&lt;author&gt;van Zanten, Arthur Raymond Hubert&lt;/author&gt;&lt;/authors&gt;&lt;/contributors&gt;&lt;titles&gt;&lt;title&gt;The urea-to-creatinine ratio as an emerging biomarker in critical care: a scoping review and meta-analysis&lt;/title&gt;&lt;secondary-title&gt;Critical Care&lt;/secondary-title&gt;&lt;/titles&gt;&lt;periodical&gt;&lt;full-title&gt;Critical Care&lt;/full-title&gt;&lt;/periodical&gt;&lt;volume&gt;29&lt;/volume&gt;&lt;number&gt;1&lt;/number&gt;&lt;dates&gt;&lt;year&gt;2025&lt;/year&gt;&lt;/dates&gt;&lt;isbn&gt;1364-8535&lt;/isbn&gt;&lt;urls&gt;&lt;/urls&gt;&lt;electronic-resource-num&gt;10.1186/s13054-025-05396-6&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[13]</w:t>
      </w:r>
      <w:r>
        <w:rPr>
          <w:rFonts w:ascii="Times New Roman" w:hAnsi="Times New Roman" w:cs="Times New Roman"/>
          <w:sz w:val="24"/>
          <w:szCs w:val="24"/>
        </w:rPr>
        <w:fldChar w:fldCharType="end"/>
      </w:r>
      <w:r>
        <w:rPr>
          <w:rFonts w:ascii="Times New Roman" w:hAnsi="Times New Roman" w:cs="Times New Roman"/>
          <w:sz w:val="24"/>
          <w:szCs w:val="24"/>
        </w:rPr>
        <w:t>. Clinically, these patients were often accompanied by hyperglycemia (137.0 mg/dL) and hypoalbuminemia (2.9 g/dL), further confirming the synergistic effects of metabolic disorders and inflammation. Lastly,</w:t>
      </w:r>
      <w:r>
        <w:rPr>
          <w:rFonts w:ascii="Times New Roman" w:hAnsi="Times New Roman" w:cs="Times New Roman"/>
          <w:sz w:val="24"/>
          <w:szCs w:val="24"/>
          <w:highlight w:val="none"/>
        </w:rPr>
        <w:t xml:space="preserve"> activation of the renin-angiotensin system (RAS). Roca-Ho et al.</w:t>
      </w:r>
      <w:r>
        <w:rPr>
          <w:rFonts w:ascii="Times New Roman" w:hAnsi="Times New Roman" w:cs="Times New Roman"/>
          <w:sz w:val="24"/>
          <w:szCs w:val="24"/>
          <w:highlight w:val="none"/>
        </w:rPr>
        <w:fldChar w:fldCharType="begin"/>
      </w:r>
      <w:r>
        <w:rPr>
          <w:rFonts w:hint="eastAsia" w:ascii="Times New Roman" w:hAnsi="Times New Roman" w:cs="Times New Roman"/>
          <w:sz w:val="24"/>
          <w:szCs w:val="24"/>
          <w:highlight w:val="none"/>
          <w:lang w:eastAsia="zh-CN"/>
        </w:rPr>
        <w:instrText xml:space="preserve"> ADDIN EN.CITE &lt;EndNote&gt;&lt;Cite&gt;&lt;Author&gt;Roca-Ho&lt;/Author&gt;&lt;Year&gt;2020&lt;/Year&gt;&lt;RecNum&gt;15&lt;/RecNum&gt;&lt;DisplayText&gt;[24]&lt;/DisplayText&gt;&lt;record&gt;&lt;rec-number&gt;15&lt;/rec-number&gt;&lt;foreign-keys&gt;&lt;key app="EN" db-id="vw2sr5vvldww50et259xtp2mfpxar95s25ez" timestamp="1769919652"&gt;15&lt;/key&gt;&lt;/foreign-keys&gt;&lt;ref-type name="Journal Article"&gt;17&lt;/ref-type&gt;&lt;contributors&gt;&lt;authors&gt;&lt;author&gt;Roca-Ho, Heleia&lt;/author&gt;&lt;author&gt;Palau, Vanesa&lt;/author&gt;&lt;author&gt;Gimeno, Javier&lt;/author&gt;&lt;author&gt;Pascual, Julio&lt;/author&gt;&lt;author&gt;Soler, María José&lt;/author&gt;&lt;author&gt;Riera, Marta&lt;/author&gt;&lt;/authors&gt;&lt;/contributors&gt;&lt;titles&gt;&lt;title&gt;Angiotensin-converting enzyme 2 influences pancreatic and renal function in diabetic mice&lt;/title&gt;&lt;secondary-title&gt;Laboratory Investigation&lt;/secondary-title&gt;&lt;/titles&gt;&lt;pages&gt;1169-1183&lt;/pages&gt;&lt;volume&gt;100&lt;/volume&gt;&lt;number&gt;9&lt;/number&gt;&lt;section&gt;1169&lt;/section&gt;&lt;dates&gt;&lt;year&gt;2020&lt;/year&gt;&lt;/dates&gt;&lt;isbn&gt;00236837&lt;/isbn&gt;&lt;urls&gt;&lt;/urls&gt;&lt;electronic-resource-num&gt;10.1038/s41374-020-0440-5&lt;/electronic-resource-num&gt;&lt;/record&gt;&lt;/Cite&gt;&lt;/EndNote&gt;</w:instrText>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lang w:val="en-US" w:eastAsia="zh-CN" w:bidi="ar-SA"/>
        </w:rPr>
        <w:t>[24]</w:t>
      </w:r>
      <w:r>
        <w:rPr>
          <w:rFonts w:ascii="Times New Roman" w:hAnsi="Times New Roman" w:cs="Times New Roman"/>
          <w:sz w:val="24"/>
          <w:szCs w:val="24"/>
          <w:highlight w:val="none"/>
        </w:rPr>
        <w:fldChar w:fldCharType="end"/>
      </w:r>
      <w:r>
        <w:rPr>
          <w:rFonts w:ascii="Times New Roman" w:hAnsi="Times New Roman" w:cs="Times New Roman"/>
          <w:sz w:val="24"/>
          <w:szCs w:val="24"/>
          <w:highlight w:val="none"/>
        </w:rPr>
        <w:t xml:space="preserve"> found that downregulated ACE2 expression in SAP patients enhances Ang II/AT1R axis activity, promoting renal interstitial fibrosis and pancreatic ischemia. Class 4 patients had significantly higher prevalence of heart failure (40.7%) and renal failure (56.8%) than other groups</w:t>
      </w:r>
      <w:r>
        <w:rPr>
          <w:rFonts w:hint="eastAsia" w:ascii="Times New Roman" w:hAnsi="Times New Roman" w:cs="Times New Roman"/>
          <w:sz w:val="24"/>
          <w:szCs w:val="24"/>
          <w:highlight w:val="none"/>
          <w:lang w:val="en-US" w:eastAsia="zh-CN"/>
        </w:rPr>
        <w:t xml:space="preserve">. Notably, a persistently elevated BCR may reflect not only renal dysfunction but also systemic endothelial dysfunction and enhanced vasoconstriction, which aligns with the higher prevalence of heart failure and renal failure observed in Class 4. These findings suggest that </w:t>
      </w:r>
      <w:r>
        <w:rPr>
          <w:rFonts w:ascii="Times New Roman" w:hAnsi="Times New Roman" w:cs="Times New Roman"/>
          <w:sz w:val="24"/>
          <w:szCs w:val="24"/>
          <w:highlight w:val="none"/>
        </w:rPr>
        <w:t>RAS activation may be a potential mechanism underlying the persistent elevation of BCR. This is highly consistent with the research conclusion that "abnormal RAS exacerbates pancreatic-renal crosstalk injury".</w:t>
      </w:r>
    </w:p>
    <w:p w14:paraId="1E6315BE">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highlight w:val="none"/>
        </w:rPr>
        <w:t>The low-stable group (Class 2) maintained a persistently low BCR (13.3±4.1) and had the lowest 28-day/90-day mortality rates (10.4% and 18.3%, respectively). Additionally, this group showed the most favorable baseline inflammatory indicators (WBC 10.0 K/μL) and organ failure rates (respiratory failure 25.7%), representing an ideal phenotype with early compensation and effective intervention. Szatmary et al.</w:t>
      </w:r>
      <w:r>
        <w:rPr>
          <w:rFonts w:ascii="Times New Roman" w:hAnsi="Times New Roman" w:cs="Times New Roman"/>
          <w:sz w:val="24"/>
          <w:szCs w:val="24"/>
          <w:highlight w:val="none"/>
        </w:rPr>
        <w:fldChar w:fldCharType="begin"/>
      </w:r>
      <w:r>
        <w:rPr>
          <w:rFonts w:hint="eastAsia" w:ascii="Times New Roman" w:hAnsi="Times New Roman" w:cs="Times New Roman"/>
          <w:sz w:val="24"/>
          <w:szCs w:val="24"/>
          <w:highlight w:val="none"/>
          <w:lang w:eastAsia="zh-CN"/>
        </w:rPr>
        <w:instrText xml:space="preserve"> ADDIN EN.CITE &lt;EndNote&gt;&lt;Cite&gt;&lt;Author&gt;Szatmary&lt;/Author&gt;&lt;Year&gt;2022&lt;/Year&gt;&lt;RecNum&gt;12&lt;/RecNum&gt;&lt;DisplayText&gt;[2]&lt;/DisplayText&gt;&lt;record&gt;&lt;rec-number&gt;12&lt;/rec-number&gt;&lt;foreign-keys&gt;&lt;key app="EN" db-id="vw2sr5vvldww50et259xtp2mfpxar95s25ez" timestamp="1769919630"&gt;12&lt;/key&gt;&lt;/foreign-keys&gt;&lt;ref-type name="Journal Article"&gt;17&lt;/ref-type&gt;&lt;contributors&gt;&lt;authors&gt;&lt;author&gt;Szatmary, Peter&lt;/author&gt;&lt;author&gt;Grammatikopoulos, Tassos&lt;/author&gt;&lt;author&gt;Cai, Wenhao&lt;/author&gt;&lt;author&gt;Huang, Wei&lt;/author&gt;&lt;author&gt;Mukherjee, Rajarshi&lt;/author&gt;&lt;author&gt;Halloran, Chris&lt;/author&gt;&lt;author&gt;Beyer, Georg&lt;/author&gt;&lt;author&gt;Sutton, Robert&lt;/author&gt;&lt;/authors&gt;&lt;/contributors&gt;&lt;titles&gt;&lt;title&gt;Acute Pancreatitis: Diagnosis and Treatment&lt;/title&gt;&lt;secondary-title&gt;Drugs&lt;/secondary-title&gt;&lt;/titles&gt;&lt;pages&gt;1251-1276&lt;/pages&gt;&lt;volume&gt;82&lt;/volume&gt;&lt;number&gt;12&lt;/number&gt;&lt;section&gt;1251&lt;/section&gt;&lt;dates&gt;&lt;year&gt;2022&lt;/year&gt;&lt;/dates&gt;&lt;isbn&gt;0012-6667&amp;#xD;1179-1950&lt;/isbn&gt;&lt;urls&gt;&lt;/urls&gt;&lt;electronic-resource-num&gt;10.1007/s40265-022-01766-4&lt;/electronic-resource-num&gt;&lt;/record&gt;&lt;/Cite&gt;&lt;/EndNote&gt;</w:instrText>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lang w:val="en-US" w:eastAsia="zh-CN" w:bidi="ar-SA"/>
        </w:rPr>
        <w:t>[2]</w:t>
      </w:r>
      <w:r>
        <w:rPr>
          <w:rFonts w:ascii="Times New Roman" w:hAnsi="Times New Roman" w:cs="Times New Roman"/>
          <w:sz w:val="24"/>
          <w:szCs w:val="24"/>
          <w:highlight w:val="none"/>
        </w:rPr>
        <w:fldChar w:fldCharType="end"/>
      </w:r>
      <w:r>
        <w:rPr>
          <w:rFonts w:hint="eastAsia" w:ascii="Times New Roman" w:hAnsi="Times New Roman" w:cs="Times New Roman"/>
          <w:sz w:val="24"/>
          <w:szCs w:val="24"/>
          <w:highlight w:val="none"/>
          <w:lang w:val="en-US" w:eastAsia="zh-CN"/>
        </w:rPr>
        <w:t xml:space="preserve"> </w:t>
      </w:r>
      <w:r>
        <w:rPr>
          <w:rFonts w:ascii="Times New Roman" w:hAnsi="Times New Roman" w:cs="Times New Roman"/>
          <w:sz w:val="24"/>
          <w:szCs w:val="24"/>
          <w:highlight w:val="none"/>
        </w:rPr>
        <w:t>emphasized that goal-directed fluid resuscitation (e.g., lactated Ringer's solution) within 24 hours of AP onset improves renal perfusion and reduces the release of inflammatory factors.</w:t>
      </w:r>
      <w:r>
        <w:rPr>
          <w:rFonts w:hint="eastAsia" w:ascii="Times New Roman" w:hAnsi="Times New Roman" w:cs="Times New Roman"/>
          <w:sz w:val="24"/>
          <w:szCs w:val="24"/>
          <w:highlight w:val="none"/>
          <w:lang w:val="en-US" w:eastAsia="zh-CN"/>
        </w:rPr>
        <w:t xml:space="preserve"> </w:t>
      </w:r>
      <w:r>
        <w:rPr>
          <w:rFonts w:ascii="Times New Roman" w:hAnsi="Times New Roman" w:cs="Times New Roman"/>
          <w:sz w:val="24"/>
          <w:szCs w:val="24"/>
          <w:highlight w:val="none"/>
        </w:rPr>
        <w:t>In our study, 93.4% of Class 2 patients received fluid resuscitation during hospitalization, and their BUN (13.0 mg/dL) and creatinine (0.9 mg/dL) levels were near normal. These findings are consistent with the clinical consensus that effective fluid replacement helps maintain renal compensatory function.</w:t>
      </w:r>
      <w:r>
        <w:rPr>
          <w:rFonts w:hint="eastAsia" w:ascii="Times New Roman" w:hAnsi="Times New Roman" w:cs="Times New Roman"/>
          <w:sz w:val="24"/>
          <w:szCs w:val="24"/>
          <w:highlight w:val="none"/>
          <w:lang w:val="en-US" w:eastAsia="zh-CN"/>
        </w:rPr>
        <w:t xml:space="preserve"> </w:t>
      </w:r>
      <w:r>
        <w:rPr>
          <w:rFonts w:ascii="Times New Roman" w:hAnsi="Times New Roman" w:cs="Times New Roman"/>
          <w:sz w:val="24"/>
          <w:szCs w:val="24"/>
          <w:highlight w:val="none"/>
        </w:rPr>
        <w:t>This aligns with the findings</w:t>
      </w:r>
      <w:r>
        <w:rPr>
          <w:rFonts w:hint="eastAsia" w:ascii="Times New Roman" w:hAnsi="Times New Roman" w:cs="Times New Roman"/>
          <w:sz w:val="24"/>
          <w:szCs w:val="24"/>
          <w:highlight w:val="none"/>
          <w:lang w:val="en-US" w:eastAsia="zh-CN"/>
        </w:rPr>
        <w:t xml:space="preserve"> </w:t>
      </w:r>
      <w:r>
        <w:rPr>
          <w:rFonts w:ascii="Times New Roman" w:hAnsi="Times New Roman" w:cs="Times New Roman"/>
          <w:sz w:val="24"/>
          <w:szCs w:val="24"/>
          <w:highlight w:val="none"/>
        </w:rPr>
        <w:t>of Beij et al.</w:t>
      </w:r>
      <w:r>
        <w:rPr>
          <w:rFonts w:ascii="Times New Roman" w:hAnsi="Times New Roman" w:cs="Times New Roman"/>
          <w:sz w:val="24"/>
          <w:szCs w:val="24"/>
          <w:highlight w:val="none"/>
        </w:rPr>
        <w:fldChar w:fldCharType="begin"/>
      </w:r>
      <w:r>
        <w:rPr>
          <w:rFonts w:hint="eastAsia" w:ascii="Times New Roman" w:hAnsi="Times New Roman" w:cs="Times New Roman"/>
          <w:sz w:val="24"/>
          <w:szCs w:val="24"/>
          <w:highlight w:val="none"/>
          <w:lang w:eastAsia="zh-CN"/>
        </w:rPr>
        <w:instrText xml:space="preserve"> ADDIN EN.CITE &lt;EndNote&gt;&lt;Cite&gt;&lt;Author&gt;Beij&lt;/Author&gt;&lt;Year&gt;2025&lt;/Year&gt;&lt;RecNum&gt;18&lt;/RecNum&gt;&lt;DisplayText&gt;[3]&lt;/DisplayText&gt;&lt;record&gt;&lt;rec-number&gt;18&lt;/rec-number&gt;&lt;foreign-keys&gt;&lt;key app="EN" db-id="vw2sr5vvldww50et259xtp2mfpxar95s25ez" timestamp="1769919665"&gt;18&lt;/key&gt;&lt;/foreign-keys&gt;&lt;ref-type name="Journal Article"&gt;17&lt;/ref-type&gt;&lt;contributors&gt;&lt;authors&gt;&lt;author&gt;Beij, Astrid&lt;/author&gt;&lt;author&gt;Verdonk, Robert C.&lt;/author&gt;&lt;author&gt;van Santvoort, Hjalmar C.&lt;/author&gt;&lt;author&gt;de‐Madaria, Enrique&lt;/author&gt;&lt;author&gt;Voermans, Rogier P.&lt;/author&gt;&lt;/authors&gt;&lt;/contributors&gt;&lt;titles&gt;&lt;title&gt;Acute Pancreatitis: An Update of Evidence‐Based Management and Recent Trends in Treatment Strategies&lt;/title&gt;&lt;secondary-title&gt;United European Gastroenterology Journal&lt;/secondary-title&gt;&lt;/titles&gt;&lt;pages&gt;97-106&lt;/pages&gt;&lt;volume&gt;13&lt;/volume&gt;&lt;number&gt;1&lt;/number&gt;&lt;section&gt;97&lt;/section&gt;&lt;dates&gt;&lt;year&gt;2025&lt;/year&gt;&lt;/dates&gt;&lt;isbn&gt;2050-6406&amp;#xD;2050-6414&lt;/isbn&gt;&lt;urls&gt;&lt;/urls&gt;&lt;electronic-resource-num&gt;10.1002/ueg2.12743&lt;/electronic-resource-num&gt;&lt;/record&gt;&lt;/Cite&gt;&lt;/EndNote&gt;</w:instrText>
      </w:r>
      <w:r>
        <w:rPr>
          <w:rFonts w:ascii="Times New Roman" w:hAnsi="Times New Roman" w:cs="Times New Roman"/>
          <w:sz w:val="24"/>
          <w:szCs w:val="24"/>
          <w:highlight w:val="none"/>
        </w:rPr>
        <w:fldChar w:fldCharType="separate"/>
      </w:r>
      <w:r>
        <w:rPr>
          <w:rFonts w:hint="eastAsia" w:ascii="Times New Roman" w:hAnsi="Times New Roman" w:cs="Times New Roman"/>
          <w:sz w:val="24"/>
          <w:szCs w:val="24"/>
          <w:highlight w:val="none"/>
          <w:lang w:val="en-US" w:eastAsia="zh-CN"/>
        </w:rPr>
        <w:t>[3]</w:t>
      </w:r>
      <w:r>
        <w:rPr>
          <w:rFonts w:ascii="Times New Roman" w:hAnsi="Times New Roman" w:cs="Times New Roman"/>
          <w:sz w:val="24"/>
          <w:szCs w:val="24"/>
          <w:highlight w:val="none"/>
        </w:rPr>
        <w:fldChar w:fldCharType="end"/>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that early fluid resuscitation is associated with reduced mortality in AP patients.</w:t>
      </w:r>
      <w:r>
        <w:rPr>
          <w:rFonts w:hint="eastAsia" w:ascii="Times New Roman" w:hAnsi="Times New Roman" w:cs="Times New Roman"/>
          <w:sz w:val="24"/>
          <w:szCs w:val="24"/>
          <w:highlight w:val="none"/>
          <w:lang w:val="en-US" w:eastAsia="zh-CN"/>
        </w:rPr>
        <w:t xml:space="preserve"> </w:t>
      </w:r>
      <w:r>
        <w:rPr>
          <w:rFonts w:ascii="Times New Roman" w:hAnsi="Times New Roman" w:cs="Times New Roman"/>
          <w:sz w:val="24"/>
          <w:szCs w:val="24"/>
        </w:rPr>
        <w:t>Furthermore, Class 2 patients had the lowest prevalence of underlying diabetes (36.1%) and hypertension (58.9%), with a baseline SOFA score of 4, which matched the "mild inflammatory phenotype" of AP</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&lt;EndNote&gt;&lt;Cite&gt;&lt;Author&gt;Banks&lt;/Author&gt;&lt;Year&gt;2013&lt;/Year&gt;&lt;RecNum&gt;9&lt;/RecNum&gt;&lt;DisplayText&gt;[19]&lt;/DisplayText&gt;&lt;record&gt;&lt;rec-number&gt;9&lt;/rec-number&gt;&lt;foreign-keys&gt;&lt;key app="EN" db-id="vw2sr5vvldww50et259xtp2mfpxar95s25ez" timestamp="1769919614"&gt;9&lt;/key&gt;&lt;/foreign-keys&gt;&lt;ref-type name="Journal Article"&gt;17&lt;/ref-type&gt;&lt;contributors&gt;&lt;authors&gt;&lt;author&gt;Banks, Peter A.&lt;/author&gt;&lt;author&gt;Bollen, Thomas L.&lt;/author&gt;&lt;author&gt;Dervenis, Christos&lt;/author&gt;&lt;author&gt;Gooszen, Hein G.&lt;/author&gt;&lt;author&gt;Johnson, Colin D.&lt;/author&gt;&lt;author&gt;Sarr, Michael G.&lt;/author&gt;&lt;author&gt;Tsiotos, Gregory G.&lt;/author&gt;&lt;author&gt;Vege, Santhi Swaroop&lt;/author&gt;&lt;/authors&gt;&lt;/contributors&gt;&lt;titles&gt;&lt;title&gt;Classification of acute pancreatitis—2012: revision of the Atlanta classification and definitions by international consensus&lt;/title&gt;&lt;secondary-title&gt;Gut&lt;/secondary-title&gt;&lt;/titles&gt;&lt;pages&gt;102-111&lt;/pages&gt;&lt;volume&gt;62&lt;/volume&gt;&lt;number&gt;1&lt;/number&gt;&lt;section&gt;102&lt;/section&gt;&lt;dates&gt;&lt;year&gt;2013&lt;/year&gt;&lt;/dates&gt;&lt;isbn&gt;0017-5749&amp;#xD;1468-3288&lt;/isbn&gt;&lt;urls&gt;&lt;/urls&gt;&lt;electronic-resource-num&gt;10.1136/gutjnl-2012-302779&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[19]</w:t>
      </w:r>
      <w:r>
        <w:rPr>
          <w:rFonts w:ascii="Times New Roman" w:hAnsi="Times New Roman" w:cs="Times New Roman"/>
          <w:sz w:val="24"/>
          <w:szCs w:val="24"/>
        </w:rPr>
        <w:fldChar w:fldCharType="end"/>
      </w:r>
      <w:r>
        <w:rPr>
          <w:rFonts w:ascii="Times New Roman" w:hAnsi="Times New Roman" w:cs="Times New Roman"/>
          <w:sz w:val="24"/>
          <w:szCs w:val="24"/>
        </w:rPr>
        <w:t>. At this stage, local pancreatic inflammation has not progressed to systemic inflammatory response syndrome (SIRS).</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Consequently, the balance between urea production (driven by protein catabolism) and creatinine excretion (reflecting glomerular filtration) is maintained, resulting in a stable BCR.</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BCR is stabilized within the physiological range, consistent with the clinical feature of "self-limiting course in mild AP".</w:t>
      </w:r>
    </w:p>
    <w:p w14:paraId="670F41B5">
      <w:pPr>
        <w:keepNext w:val="0"/>
        <w:keepLines w:val="0"/>
        <w:pageBreakBefore w:val="0"/>
        <w:kinsoku/>
        <w:wordWrap/>
        <w:overflowPunct/>
        <w:topLinePunct w:val="0"/>
        <w:bidi w:val="0"/>
        <w:snapToGrid/>
        <w:spacing w:line="480" w:lineRule="auto"/>
        <w:ind w:firstLine="480" w:firstLineChars="200"/>
        <w:textAlignment w:val="auto"/>
      </w:pPr>
      <w:r>
        <w:rPr>
          <w:rFonts w:ascii="Times New Roman" w:hAnsi="Times New Roman" w:cs="Times New Roman"/>
          <w:sz w:val="24"/>
          <w:szCs w:val="24"/>
        </w:rPr>
        <w:t>The moderate-stable group (Class 1) is a typical manifestation of intermediate disease status and the most common trajectory type in this study. According to the Atlanta classification</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&lt;EndNote&gt;&lt;Cite&gt;&lt;Author&gt;Banks&lt;/Author&gt;&lt;Year&gt;2013&lt;/Year&gt;&lt;RecNum&gt;9&lt;/RecNum&gt;&lt;DisplayText&gt;[19]&lt;/DisplayText&gt;&lt;record&gt;&lt;rec-number&gt;9&lt;/rec-number&gt;&lt;foreign-keys&gt;&lt;key app="EN" db-id="vw2sr5vvldww50et259xtp2mfpxar95s25ez" timestamp="1769919614"&gt;9&lt;/key&gt;&lt;/foreign-keys&gt;&lt;ref-type name="Journal Article"&gt;17&lt;/ref-type&gt;&lt;contributors&gt;&lt;authors&gt;&lt;author&gt;Banks, Peter A.&lt;/author&gt;&lt;author&gt;Bollen, Thomas L.&lt;/author&gt;&lt;author&gt;Dervenis, Christos&lt;/author&gt;&lt;author&gt;Gooszen, Hein G.&lt;/author&gt;&lt;author&gt;Johnson, Colin D.&lt;/author&gt;&lt;author&gt;Sarr, Michael G.&lt;/author&gt;&lt;author&gt;Tsiotos, Gregory G.&lt;/author&gt;&lt;author&gt;Vege, Santhi Swaroop&lt;/author&gt;&lt;/authors&gt;&lt;/contributors&gt;&lt;titles&gt;&lt;title&gt;Classification of acute pancreatitis—2012: revision of the Atlanta classification and definitions by international consensus&lt;/title&gt;&lt;secondary-title&gt;Gut&lt;/secondary-title&gt;&lt;/titles&gt;&lt;pages&gt;102-111&lt;/pages&gt;&lt;volume&gt;62&lt;/volume&gt;&lt;number&gt;1&lt;/number&gt;&lt;section&gt;102&lt;/section&gt;&lt;dates&gt;&lt;year&gt;2013&lt;/year&gt;&lt;/dates&gt;&lt;isbn&gt;0017-5749&amp;#xD;1468-3288&lt;/isbn&gt;&lt;urls&gt;&lt;/urls&gt;&lt;electronic-resource-num&gt;10.1136/gutjnl-2012-302779&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[19]</w:t>
      </w:r>
      <w:r>
        <w:rPr>
          <w:rFonts w:ascii="Times New Roman" w:hAnsi="Times New Roman" w:cs="Times New Roman"/>
          <w:sz w:val="24"/>
          <w:szCs w:val="24"/>
        </w:rPr>
        <w:fldChar w:fldCharType="end"/>
      </w:r>
      <w:r>
        <w:rPr>
          <w:rFonts w:ascii="Times New Roman" w:hAnsi="Times New Roman" w:cs="Times New Roman"/>
          <w:sz w:val="24"/>
          <w:szCs w:val="24"/>
        </w:rPr>
        <w:t>, "moderate SAP" is defined as "transient organ failure (&lt;48 h) or local complications"—a definition that exactly matches Class 1 patients. These patients exhibited mild and reversible renal metabolic abnormalities (mean BUN 20.0 mg/dL) secondary to pancreatic inflammation, without progression to persistent or irreversible renal injury. The intermediate inflammatory burden, suboptimal but compensated organ function, and moderate 28-day mortality (19.2%) further support that Class 1 corresponds to the classic MSAP clinical subtype.</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Meanwhile, preexisting comorbidities</w:t>
      </w:r>
      <w:r>
        <w:rPr>
          <w:rFonts w:hint="eastAsia" w:ascii="Times New Roman" w:hAnsi="Times New Roman" w:cs="Times New Roman"/>
          <w:sz w:val="24"/>
          <w:szCs w:val="24"/>
          <w:lang w:val="en-US" w:eastAsia="zh-CN"/>
        </w:rPr>
        <w:t xml:space="preserve"> i</w:t>
      </w:r>
      <w:r>
        <w:rPr>
          <w:rFonts w:ascii="Times New Roman" w:hAnsi="Times New Roman" w:cs="Times New Roman"/>
          <w:sz w:val="24"/>
          <w:szCs w:val="24"/>
        </w:rPr>
        <w:t>ncluding diabetes (52.0%) and hypertension (71.6%)</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were associated with failure of BCR levels to decline to the near</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normal range observed in Class 2. This resulted in a stable, moderate BCR trajectory throughout hospitalization</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&lt;EndNote&gt;&lt;Cite&gt;&lt;Author&gt;Nusshag&lt;/Author&gt;&lt;Year&gt;2017&lt;/Year&gt;&lt;RecNum&gt;25&lt;/RecNum&gt;&lt;DisplayText&gt;[16]&lt;/DisplayText&gt;&lt;record&gt;&lt;rec-number&gt;25&lt;/rec-number&gt;&lt;foreign-keys&gt;&lt;key app="EN" db-id="vw2sr5vvldww50et259xtp2mfpxar95s25ez" timestamp="1786893288"&gt;25&lt;/key&gt;&lt;/foreign-keys&gt;&lt;ref-type name="Journal Article"&gt;17&lt;/ref-type&gt;&lt;contributors&gt;&lt;authors&gt;&lt;author&gt;Nusshag, Christian&lt;/author&gt;&lt;author&gt;Weigand, Markus&lt;/author&gt;&lt;author&gt;Zeier, Martin&lt;/author&gt;&lt;author&gt;Morath, Christian&lt;/author&gt;&lt;author&gt;Brenner, Thorsten&lt;/author&gt;&lt;/authors&gt;&lt;/contributors&gt;&lt;titles&gt;&lt;title&gt;Issues of Acute Kidney Injury Staging and Management in Sepsis and Critical Illness: A Narrative Review&lt;/title&gt;&lt;secondary-title&gt;International Journal of Molecular Sciences&lt;/secondary-title&gt;&lt;/titles&gt;&lt;periodical&gt;&lt;full-title&gt;International Journal of Molecular Sciences&lt;/full-title&gt;&lt;/periodical&gt;&lt;volume&gt;18&lt;/volume&gt;&lt;number&gt;7&lt;/number&gt;&lt;section&gt;1387&lt;/section&gt;&lt;dates&gt;&lt;year&gt;2017&lt;/year&gt;&lt;/dates&gt;&lt;isbn&gt;1422-0067&lt;/isbn&gt;&lt;urls&gt;&lt;/urls&gt;&lt;electronic-resource-num&gt;10.3390/ijms18071387&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[16]</w:t>
      </w:r>
      <w:r>
        <w:rPr>
          <w:rFonts w:ascii="Times New Roman" w:hAnsi="Times New Roman" w:cs="Times New Roman"/>
          <w:sz w:val="24"/>
          <w:szCs w:val="24"/>
        </w:rPr>
        <w:fldChar w:fldCharType="end"/>
      </w:r>
      <w:r>
        <w:rPr>
          <w:rFonts w:ascii="Times New Roman" w:hAnsi="Times New Roman" w:cs="Times New Roman"/>
          <w:sz w:val="24"/>
          <w:szCs w:val="24"/>
        </w:rPr>
        <w:t>. In addition, Gunst et al.</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&lt;EndNote&gt;&lt;Cite&gt;&lt;Author&gt;Gunst&lt;/Author&gt;&lt;Year&gt;2019&lt;/Year&gt;&lt;RecNum&gt;24&lt;/RecNum&gt;&lt;DisplayText&gt;[9]&lt;/DisplayText&gt;&lt;record&gt;&lt;rec-number&gt;24&lt;/rec-number&gt;&lt;foreign-keys&gt;&lt;key app="EN" db-id="vw2sr5vvldww50et259xtp2mfpxar95s25ez" timestamp="1769919698"&gt;24&lt;/key&gt;&lt;/foreign-keys&gt;&lt;ref-type name="Journal Article"&gt;17&lt;/ref-type&gt;&lt;contributors&gt;&lt;authors&gt;&lt;author&gt;Gunst, Jan&lt;/author&gt;&lt;author&gt;Kashani, Kianoush B.&lt;/author&gt;&lt;author&gt;Hermans, Greet&lt;/author&gt;&lt;/authors&gt;&lt;/contributors&gt;&lt;titles&gt;&lt;title&gt;The urea-creatinine ratio as a novel biomarker of critical illness-associated catabolism&lt;/title&gt;&lt;secondary-title&gt;Intensive Care Medicine&lt;/secondary-title&gt;&lt;/titles&gt;&lt;pages&gt;1813-1815&lt;/pages&gt;&lt;volume&gt;45&lt;/volume&gt;&lt;number&gt;12&lt;/number&gt;&lt;section&gt;1813&lt;/section&gt;&lt;dates&gt;&lt;year&gt;2019&lt;/year&gt;&lt;/dates&gt;&lt;isbn&gt;0342-4642&amp;#xD;1432-1238&lt;/isbn&gt;&lt;urls&gt;&lt;/urls&gt;&lt;electronic-resource-num&gt;10.1007/s00134-019-05810-y&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sz w:val="24"/>
          <w:szCs w:val="24"/>
          <w:lang w:val="en-US" w:eastAsia="zh-CN"/>
        </w:rPr>
        <w:t>[9]</w:t>
      </w:r>
      <w:r>
        <w:rPr>
          <w:rFonts w:ascii="Times New Roman" w:hAnsi="Times New Roman" w:cs="Times New Roman"/>
          <w:sz w:val="24"/>
          <w:szCs w:val="24"/>
        </w:rPr>
        <w:fldChar w:fldCharType="end"/>
      </w:r>
      <w:r>
        <w:rPr>
          <w:rFonts w:ascii="Times New Roman" w:hAnsi="Times New Roman" w:cs="Times New Roman"/>
          <w:sz w:val="24"/>
          <w:szCs w:val="24"/>
        </w:rPr>
        <w:t xml:space="preserve"> noted that critically ill patients can avoid uncontrolled catabolism if they initiate a compensatory anti-inflammatory response. Albumin (3.1 g/dL) and hemoglobin (11.3 g/dL) levels in Class 1 were intermediate between those of Class 2 and Class 4. These findings are consistent with moderate protein catabolism in Class 1, without the excessive catabolism observed in Class 4.</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This is consistent with the scientific mechanism of "metabolic compensation under moderate stress".</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Clinically, this intermediate phenotype accounts for the largest proportion of hospitalized AP patients. Patients with this phenotype require close monitoring and individualized supportive care rather than aggressive intervention, which further supports the clinical applicability and rational classification of our trajectory model.</w:t>
      </w:r>
    </w:p>
    <w:p w14:paraId="0DE7BF24">
      <w:pPr>
        <w:keepNext w:val="0"/>
        <w:keepLines w:val="0"/>
        <w:widowControl/>
        <w:suppressLineNumbers w:val="0"/>
        <w:spacing w:line="480" w:lineRule="auto"/>
        <w:ind w:firstLine="480" w:firstLineChars="200"/>
        <w:jc w:val="both"/>
        <w:rPr>
          <w:rFonts w:ascii="Times New Roman" w:hAnsi="Times New Roman" w:cs="Times New Roman"/>
          <w:sz w:val="24"/>
          <w:szCs w:val="24"/>
          <w:highlight w:val="green"/>
        </w:rPr>
      </w:pPr>
      <w:r>
        <w:rPr>
          <w:rFonts w:ascii="Times New Roman" w:hAnsi="Times New Roman" w:cs="Times New Roman"/>
          <w:sz w:val="24"/>
          <w:szCs w:val="24"/>
        </w:rPr>
        <w:t>For the descend-ascend group (Class 3), the fluctuating BCR pattern may be attributable to effective early intervention followed by rebound of late complications, and low body weight with insufficient metabolic reserves</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&lt;EndNote&gt;&lt;Cite&gt;&lt;Author&gt;Zuo&lt;/Author&gt;&lt;Year&gt;2025&lt;/Year&gt;&lt;RecNum&gt;16&lt;/RecNum&gt;&lt;DisplayText&gt;[25]&lt;/DisplayText&gt;&lt;record&gt;&lt;rec-number&gt;16&lt;/rec-number&gt;&lt;foreign-keys&gt;&lt;key app="EN" db-id="vw2sr5vvldww50et259xtp2mfpxar95s25ez" timestamp="1769919657"&gt;16&lt;/key&gt;&lt;/foreign-keys&gt;&lt;ref-type name="Journal Article"&gt;17&lt;/ref-type&gt;&lt;contributors&gt;&lt;authors&gt;&lt;author&gt;Zuo, Yingting&lt;/author&gt;&lt;author&gt;Xia, Zhang&lt;/author&gt;&lt;author&gt;Chen, Shuohua&lt;/author&gt;&lt;author&gt;Chu, Lulu&lt;/author&gt;&lt;author&gt;Zhang, Yijun&lt;/author&gt;&lt;author&gt;Li, Yuhao&lt;/author&gt;&lt;author&gt;Zheng, Manqi&lt;/author&gt;&lt;author&gt;Xu, Guozheng&lt;/author&gt;&lt;author&gt;He, Yan&lt;/author&gt;&lt;author&gt;Wu, Shouling&lt;/author&gt;&lt;author&gt;Wang, Anxin&lt;/author&gt;&lt;/authors&gt;&lt;/contributors&gt;&lt;titles&gt;&lt;title&gt;Sex- and metabolic-specific association between cumulative body mass index and incident chronic kidney disease: A prospective community-based cohort study&lt;/title&gt;&lt;secondary-title&gt;Nutrition, Metabolism and Cardiovascular Diseases&lt;/secondary-title&gt;&lt;/titles&gt;&lt;volume&gt;35&lt;/volume&gt;&lt;number&gt;3&lt;/number&gt;&lt;section&gt;103790&lt;/section&gt;&lt;dates&gt;&lt;year&gt;2025&lt;/year&gt;&lt;/dates&gt;&lt;isbn&gt;09394753&lt;/isbn&gt;&lt;urls&gt;&lt;/urls&gt;&lt;electronic-resource-num&gt;10.1016/j.numecd.2024.103790&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[25]</w:t>
      </w:r>
      <w:r>
        <w:rPr>
          <w:rFonts w:ascii="Times New Roman" w:hAnsi="Times New Roman" w:cs="Times New Roman"/>
          <w:sz w:val="24"/>
          <w:szCs w:val="24"/>
        </w:rPr>
        <w:fldChar w:fldCharType="end"/>
      </w:r>
      <w:r>
        <w:rPr>
          <w:rFonts w:ascii="Times New Roman" w:hAnsi="Times New Roman" w:cs="Times New Roman"/>
          <w:sz w:val="24"/>
          <w:szCs w:val="24"/>
        </w:rPr>
        <w:t>. Class 3 patients had a significantly lower baseline body weight (63.2 kg) than other groups, with reduced muscle mass leading to a low baseline of creatinine production.</w:t>
      </w:r>
      <w:r>
        <w:rPr>
          <w:rFonts w:ascii="Times New Roman" w:hAnsi="Times New Roman" w:cs="Times New Roman"/>
          <w:sz w:val="24"/>
          <w:szCs w:val="24"/>
          <w:lang w:val="en-US" w:eastAsia="zh-CN"/>
        </w:rPr>
        <w:t>As the denominator of the BCR, low creatinine renders BCR highly sensitive to urea nitrogen fluctuations.</w:t>
      </w:r>
      <w:r>
        <w:rPr>
          <w:rFonts w:ascii="Times New Roman" w:hAnsi="Times New Roman" w:cs="Times New Roman"/>
          <w:sz w:val="24"/>
          <w:szCs w:val="24"/>
        </w:rPr>
        <w:t xml:space="preserve"> Early standardized fluid resuscitation may transiently improve renal perfusion and reduce BCR values, whereas secondary infection and subsequent hypermetabolism may elevate urea levels and cause BCR rebound</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&lt;EndNote&gt;&lt;Cite&gt;&lt;Author&gt;Nusshag&lt;/Author&gt;&lt;Year&gt;2017&lt;/Year&gt;&lt;RecNum&gt;25&lt;/RecNum&gt;&lt;DisplayText&gt;[16]&lt;/DisplayText&gt;&lt;record&gt;&lt;rec-number&gt;25&lt;/rec-number&gt;&lt;foreign-keys&gt;&lt;key app="EN" db-id="vw2sr5vvldww50et259xtp2mfpxar95s25ez" timestamp="1786893288"&gt;25&lt;/key&gt;&lt;/foreign-keys&gt;&lt;ref-type name="Journal Article"&gt;17&lt;/ref-type&gt;&lt;contributors&gt;&lt;authors&gt;&lt;author&gt;Nusshag, Christian&lt;/author&gt;&lt;author&gt;Weigand, Markus&lt;/author&gt;&lt;author&gt;Zeier, Martin&lt;/author&gt;&lt;author&gt;Morath, Christian&lt;/author&gt;&lt;author&gt;Brenner, Thorsten&lt;/author&gt;&lt;/authors&gt;&lt;/contributors&gt;&lt;titles&gt;&lt;title&gt;Issues of Acute Kidney Injury Staging and Management in Sepsis and Critical Illness: A Narrative Review&lt;/title&gt;&lt;secondary-title&gt;International Journal of Molecular Sciences&lt;/secondary-title&gt;&lt;/titles&gt;&lt;periodical&gt;&lt;full-title&gt;International Journal of Molecular Sciences&lt;/full-title&gt;&lt;/periodical&gt;&lt;volume&gt;18&lt;/volume&gt;&lt;number&gt;7&lt;/number&gt;&lt;section&gt;1387&lt;/section&gt;&lt;dates&gt;&lt;year&gt;2017&lt;/year&gt;&lt;/dates&gt;&lt;isbn&gt;1422-0067&lt;/isbn&gt;&lt;urls&gt;&lt;/urls&gt;&lt;electronic-resource-num&gt;10.3390/ijms18071387&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[16]</w:t>
      </w:r>
      <w:r>
        <w:rPr>
          <w:rFonts w:ascii="Times New Roman" w:hAnsi="Times New Roman" w:cs="Times New Roman"/>
          <w:sz w:val="24"/>
          <w:szCs w:val="24"/>
        </w:rPr>
        <w:fldChar w:fldCharType="end"/>
      </w:r>
      <w:r>
        <w:rPr>
          <w:rFonts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highlight w:val="none"/>
        </w:rPr>
        <w:t>Notably, these mechanistic inferences are highly speculative given the limited sample size of this subgroup. Among the 13 patients in Class 3, only 2 died within 28</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rPr>
        <w:t>days (15.4%) and 3 died within 90</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rPr>
        <w:t>days (23.1%). Although the crude mortality percentages appear numerically elevated, these estimates are based on very few outcome events and are prone to substantial random variation. Dedicated, larger‑sample studies are urgently needed to validate this unique fluctuating trajectory and clarify its underlying clinical mechanisms and prognostic value.</w:t>
      </w:r>
    </w:p>
    <w:p w14:paraId="2D76AAFD">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 xml:space="preserve">Furthermore, Cox proportional-hazards analysis confirmed that BCR trajectories were independently associated with 28-day and 90-day all-cause mortality in AP. In the parsimonious primary model, the high-stable trajectory (Class 4) was associated with a 3.05-fold higher risk of 28-day mortality and a 1.95-fold higher risk of 90-day mortality relative to the moderate-stable reference group (Class 1). These findings align with previous reports linking persistently elevated BCR to poor prognosis in critically ill patients </w:t>
      </w:r>
      <w:r>
        <w:rPr>
          <w:rFonts w:hint="eastAsia"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&lt;EndNote&gt;&lt;Cite&gt;&lt;Author&gt;Wan&lt;/Author&gt;&lt;Year&gt;2025&lt;/Year&gt;&lt;RecNum&gt;19&lt;/RecNum&gt;&lt;DisplayText&gt;[4, 9]&lt;/DisplayText&gt;&lt;record&gt;&lt;rec-number&gt;19&lt;/rec-number&gt;&lt;foreign-keys&gt;&lt;key app="EN" db-id="vw2sr5vvldww50et259xtp2mfpxar95s25ez" timestamp="1769919669"&gt;19&lt;/key&gt;&lt;/foreign-keys&gt;&lt;ref-type name="Journal Article"&gt;17&lt;/ref-type&gt;&lt;contributors&gt;&lt;authors&gt;&lt;author&gt;Wan, Yu&lt;/author&gt;&lt;author&gt;Hu, Qiong&lt;/author&gt;&lt;author&gt;Shi, Jing&lt;/author&gt;&lt;author&gt;Liu, Limei&lt;/author&gt;&lt;author&gt;Zhang, Xiangsong&lt;/author&gt;&lt;author&gt;Huang, Jianjun&lt;/author&gt;&lt;author&gt;Wang, Haijiu&lt;/author&gt;&lt;/authors&gt;&lt;/contributors&gt;&lt;titles&gt;&lt;title&gt;J-shaped association between blood urea nitrogen-to-creatinine ratio and mortality in critically ill patients with acute pancreatitis: a retrospective cohort study using the MIMIC-IV database&lt;/title&gt;&lt;secondary-title&gt;European Journal of Medical Research&lt;/secondary-title&gt;&lt;/titles&gt;&lt;volume&gt;30&lt;/volume&gt;&lt;number&gt;1&lt;/number&gt;&lt;dates&gt;&lt;year&gt;2025&lt;/year&gt;&lt;/dates&gt;&lt;isbn&gt;2047-783X&lt;/isbn&gt;&lt;urls&gt;&lt;/urls&gt;&lt;electronic-resource-num&gt;10.1186/s40001-025-02430-9&lt;/electronic-resource-num&gt;&lt;/record&gt;&lt;/Cite&gt;&lt;Cite&gt;&lt;Author&gt;Gunst&lt;/Author&gt;&lt;Year&gt;2019&lt;/Year&gt;&lt;RecNum&gt;24&lt;/RecNum&gt;&lt;record&gt;&lt;rec-number&gt;24&lt;/rec-number&gt;&lt;foreign-keys&gt;&lt;key app="EN" db-id="vw2sr5vvldww50et259xtp2mfpxar95s25ez" timestamp="1769919698"&gt;24&lt;/key&gt;&lt;/foreign-keys&gt;&lt;ref-type name="Journal Article"&gt;17&lt;/ref-type&gt;&lt;contributors&gt;&lt;authors&gt;&lt;author&gt;Gunst, Jan&lt;/author&gt;&lt;author&gt;Kashani, Kianoush B.&lt;/author&gt;&lt;author&gt;Hermans, Greet&lt;/author&gt;&lt;/authors&gt;&lt;/contributors&gt;&lt;titles&gt;&lt;title&gt;The urea-creatinine ratio as a novel biomarker of critical illness-associated catabolism&lt;/title&gt;&lt;secondary-title&gt;Intensive Care Medicine&lt;/secondary-title&gt;&lt;/titles&gt;&lt;pages&gt;1813-1815&lt;/pages&gt;&lt;volume&gt;45&lt;/volume&gt;&lt;number&gt;12&lt;/number&gt;&lt;section&gt;1813&lt;/section&gt;&lt;dates&gt;&lt;year&gt;2019&lt;/year&gt;&lt;/dates&gt;&lt;isbn&gt;0342-4642&amp;#xD;1432-1238&lt;/isbn&gt;&lt;urls&gt;&lt;/urls&gt;&lt;electronic-resource-num&gt;10.1007/s00134-019-05810-y&lt;/electronic-resource-num&gt;&lt;/record&gt;&lt;/Cite&gt;&lt;/EndNote&gt;</w:instrText>
      </w:r>
      <w:r>
        <w:rPr>
          <w:rFonts w:hint="eastAsia" w:ascii="Times New Roman" w:hAnsi="Times New Roman" w:cs="Times New Roman"/>
          <w:sz w:val="24"/>
          <w:szCs w:val="24"/>
        </w:rPr>
        <w:fldChar w:fldCharType="separate"/>
      </w:r>
      <w:r>
        <w:rPr>
          <w:rFonts w:hint="eastAsia" w:ascii="Times New Roman" w:hAnsi="Times New Roman" w:cs="Times New Roman"/>
          <w:sz w:val="24"/>
          <w:szCs w:val="24"/>
          <w:lang w:val="en-US" w:eastAsia="zh-CN"/>
        </w:rPr>
        <w:t>[4, 9]</w:t>
      </w:r>
      <w:r>
        <w:rPr>
          <w:rFonts w:hint="eastAsia" w:ascii="Times New Roman" w:hAnsi="Times New Roman" w:cs="Times New Roman"/>
          <w:sz w:val="24"/>
          <w:szCs w:val="24"/>
        </w:rPr>
        <w:fldChar w:fldCharType="end"/>
      </w:r>
      <w:r>
        <w:rPr>
          <w:rFonts w:hint="eastAsia"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Notably, the low-stable BCR trajectory (Class 2) was also linked to elevated 28-day mortality risk, although this association was no longer evident for 90-day outcomes. </w:t>
      </w:r>
      <w:r>
        <w:rPr>
          <w:rFonts w:hint="eastAsia" w:ascii="Times New Roman" w:hAnsi="Times New Roman" w:cs="Times New Roman"/>
          <w:sz w:val="24"/>
          <w:szCs w:val="24"/>
        </w:rPr>
        <w:t>Such time</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dependent discrepancy may reflect early</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phase physiological stress that partially resolves during critical</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illness recovery.</w:t>
      </w:r>
    </w:p>
    <w:p w14:paraId="690312F4">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Subgroup analyses confirmed that the association between BCR trajectories and mortality was consistent across age, sex, and renal failure status, with no statistically significant interaction detected.</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This robustness supports the generalizability of our findings and suggests that BCR trajectory-based risk stratification may be applicable to diverse AP patient populations. Although numerically higher risk estimates for Class 4 were seen in some subgroups (e.g., older adults, males, patients with renal failure), these should be regarded as descriptive trends rather than definitive evidence of stronger effects in vulnerable populations.</w:t>
      </w:r>
    </w:p>
    <w:p w14:paraId="63166D12">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Limitations</w:t>
      </w:r>
    </w:p>
    <w:p w14:paraId="75F83B65">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First, as a retrospective cohort study, this work is subject to inherent selection bias and residual confounding attributable to unmeasured clinical variables, including detailed nutritional status, severity of pancreatic necrosis, precise fluid balance, and dynamic nutritional support strategies. In-ICU CRRT may alter serial BCR levels by reducing circulating urea and regulating creatinine clearance, two core components of the BCR metric. Although we adjusted for CRRT use in both Model I and the primary parsimonious model, subtle residual confounding effects cannot be completely eliminated. Of note, CRRT exposure was rare across all BCR trajectory groups (maximum 5.8%), rendering substantial confounding effects statistically unlikely.</w:t>
      </w:r>
      <w:r>
        <w:rPr>
          <w:rFonts w:hint="eastAsia"/>
          <w:lang w:val="en-US" w:eastAsia="zh-CN"/>
        </w:rPr>
        <w:t xml:space="preserve"> </w:t>
      </w:r>
      <w:r>
        <w:rPr>
          <w:rFonts w:hint="eastAsia" w:ascii="Times New Roman" w:hAnsi="Times New Roman" w:cs="Times New Roman"/>
          <w:sz w:val="24"/>
          <w:szCs w:val="24"/>
          <w:lang w:val="en-US" w:eastAsia="zh-CN"/>
        </w:rPr>
        <w:t>Given the limited sample size of individual trajectory subgroups, additional sensitivity analyses excluding CRRT-treated patients were not performed to avoid model instability. Future prospective studies with granular clinical data are warranted to validate our findings. Second, the MIMIC-IV database originates from a single tertiary medical center, which may restrict the generalizability of our results to community hospital populations and diverse ethnic cohorts. Third, the 72-hour ICU stay inclusion criterion may introduce mild survival selection bias. Patients who die within the first 72 hours of ICU admission were excluded, who represent the most critically ill subgroup with the highest mortality risk. This exclusion may lead to slight underestimation of overall critical illness mortality and limit external generalizability. Importantly, this bias only affects cross-population extrapolation and does not undermine the internal validity or core prognostic findings of the BCR trajectory analysis. Additionally, the relatively small sample size of the Class 3 trajectory group may reduce statistical power for outcome assessment, requiring large-scale prospective cohorts to validate the prognostic value of fluctuating BCR phenotypes. Finally, this study primarily focused on the prognostic performance of BCR trajectories and did not explore the underlying molecular and inflammatory mechanisms of distinct trajectory phenotypes, which provides a key direction for future translational research.</w:t>
      </w:r>
    </w:p>
    <w:p w14:paraId="6CB00567">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sz w:val="24"/>
          <w:szCs w:val="24"/>
        </w:rPr>
      </w:pPr>
    </w:p>
    <w:p w14:paraId="39F6141A">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8"/>
          <w:szCs w:val="28"/>
        </w:rPr>
      </w:pPr>
      <w:r>
        <w:rPr>
          <w:rFonts w:ascii="Times New Roman" w:hAnsi="Times New Roman" w:cs="Times New Roman"/>
          <w:b/>
          <w:bCs/>
          <w:sz w:val="28"/>
          <w:szCs w:val="28"/>
        </w:rPr>
        <w:t>Conclusions</w:t>
      </w:r>
    </w:p>
    <w:p w14:paraId="2B9C5E41">
      <w:pPr>
        <w:keepNext w:val="0"/>
        <w:keepLines w:val="0"/>
        <w:pageBreakBefore w:val="0"/>
        <w:kinsoku/>
        <w:wordWrap/>
        <w:overflowPunct/>
        <w:topLinePunct w:val="0"/>
        <w:bidi w:val="0"/>
        <w:snapToGrid/>
        <w:spacing w:line="480" w:lineRule="auto"/>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In summary, BCR trajectories are independently associated with 28- and 90-day all-cause mortality in critically ill AP patients, with the high-stable trajectory (Class 4) carrying the highest risk. Trajectory-based stratification offers a dynamic alternative to single-point biochemical measurements and may provide a simple, cost-effective tool for early risk evaluation. Prospective validation is warranted to confirm clinical utility and inform personalized management strategies.</w:t>
      </w:r>
    </w:p>
    <w:p w14:paraId="49465B7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p w14:paraId="2EE4B218">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Acknowledgements</w:t>
      </w:r>
    </w:p>
    <w:p w14:paraId="21C0AA89">
      <w:pPr>
        <w:pStyle w:val="16"/>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eastAsiaTheme="minorEastAsia"/>
          <w:kern w:val="2"/>
          <w:sz w:val="24"/>
          <w:szCs w:val="24"/>
          <w:lang w:val="en-US" w:eastAsia="zh-CN" w:bidi="ar-SA"/>
        </w:rPr>
        <w:t>We obtained access rights and downloaded the relevant data as early as 2024. We acknowledge the staff and administrators of the MIMIC database for granting us access to their priceless dataset, which allowed us to conduct this research.</w:t>
      </w:r>
    </w:p>
    <w:p w14:paraId="542271A2">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eastAsiaTheme="minorEastAsia"/>
          <w:kern w:val="2"/>
          <w:sz w:val="24"/>
          <w:szCs w:val="24"/>
          <w:lang w:val="en-US" w:eastAsia="zh-CN" w:bidi="ar-SA"/>
        </w:rPr>
      </w:pPr>
    </w:p>
    <w:p w14:paraId="76AEEC16">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Author contributions</w:t>
      </w:r>
    </w:p>
    <w:p w14:paraId="638E80FB">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sz w:val="24"/>
          <w:szCs w:val="24"/>
          <w:highlight w:val="green"/>
        </w:rPr>
      </w:pPr>
      <w:r>
        <w:rPr>
          <w:rFonts w:hint="eastAsia" w:ascii="Times New Roman" w:hAnsi="Times New Roman" w:cs="Times New Roman" w:eastAsiaTheme="minorEastAsia"/>
          <w:kern w:val="2"/>
          <w:sz w:val="24"/>
          <w:szCs w:val="24"/>
          <w:lang w:val="en-US" w:eastAsia="zh-CN" w:bidi="ar-SA"/>
        </w:rPr>
        <w:t xml:space="preserve">QG: Data curation, Investigation, Writing-original draft. DK: Data curation, Software, Writing -original draft. HC: Data curation, Writing-original draft. SL: Supervision, Validation, Visualization-review &amp; editing. FC: Supervision, Validation, Visualization-review &amp; editing. </w:t>
      </w:r>
    </w:p>
    <w:p w14:paraId="3B215AD8">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highlight w:val="green"/>
        </w:rPr>
      </w:pPr>
    </w:p>
    <w:p w14:paraId="1FBA628E">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Funding</w:t>
      </w:r>
    </w:p>
    <w:p w14:paraId="6F875334">
      <w:pPr>
        <w:pStyle w:val="16"/>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 xml:space="preserve">The research did not receive </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 xml:space="preserve">any </w:t>
      </w:r>
      <w:r>
        <w:rPr>
          <w:rFonts w:hint="eastAsia"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funding</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w:t>
      </w:r>
    </w:p>
    <w:p w14:paraId="3AA004DF">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p>
    <w:p w14:paraId="213B0FE9">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Availability of data and materials</w:t>
      </w:r>
    </w:p>
    <w:p w14:paraId="59E2C148">
      <w:pPr>
        <w:keepNext w:val="0"/>
        <w:keepLines w:val="0"/>
        <w:pageBreakBefore w:val="0"/>
        <w:kinsoku/>
        <w:wordWrap/>
        <w:overflowPunct/>
        <w:topLinePunct w:val="0"/>
        <w:bidi w:val="0"/>
        <w:snapToGrid/>
        <w:spacing w:line="480" w:lineRule="auto"/>
        <w:jc w:val="both"/>
        <w:textAlignment w:val="auto"/>
        <w:rPr>
          <w:rFonts w:hint="eastAsia" w:ascii="Times New Roman" w:hAnsi="Times New Roman" w:cs="Times New Roman"/>
          <w:sz w:val="24"/>
          <w:szCs w:val="24"/>
        </w:rPr>
      </w:pPr>
      <w:r>
        <w:rPr>
          <w:rFonts w:ascii="Times New Roman" w:hAnsi="Times New Roman" w:cs="Times New Roman"/>
          <w:sz w:val="24"/>
          <w:szCs w:val="24"/>
        </w:rPr>
        <w:t>Data are available from the MIMIC-IV database (https://physionet.org/content/mimiciv/) under restricted acces s for credentialed researchers. Derived results can be obtained by contacting the corresponding author.</w:t>
      </w:r>
    </w:p>
    <w:p w14:paraId="0BB25DFE">
      <w:pPr>
        <w:keepNext w:val="0"/>
        <w:keepLines w:val="0"/>
        <w:pageBreakBefore w:val="0"/>
        <w:kinsoku/>
        <w:wordWrap/>
        <w:overflowPunct/>
        <w:topLinePunct w:val="0"/>
        <w:bidi w:val="0"/>
        <w:snapToGrid/>
        <w:spacing w:line="480" w:lineRule="auto"/>
        <w:ind w:firstLine="480" w:firstLineChars="200"/>
        <w:textAlignment w:val="auto"/>
        <w:rPr>
          <w:rFonts w:hint="eastAsia" w:ascii="Times New Roman" w:hAnsi="Times New Roman" w:cs="Times New Roman"/>
          <w:sz w:val="24"/>
          <w:szCs w:val="24"/>
        </w:rPr>
      </w:pPr>
    </w:p>
    <w:p w14:paraId="29B72FE6">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Declarations</w:t>
      </w:r>
    </w:p>
    <w:p w14:paraId="5EC5BE90">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4"/>
          <w:szCs w:val="24"/>
          <w:highlight w:val="none"/>
        </w:rPr>
      </w:pPr>
      <w:r>
        <w:rPr>
          <w:rFonts w:hint="eastAsia" w:ascii="Times New Roman" w:hAnsi="Times New Roman" w:cs="Times New Roman"/>
          <w:b/>
          <w:bCs/>
          <w:sz w:val="24"/>
          <w:szCs w:val="24"/>
          <w:highlight w:val="none"/>
        </w:rPr>
        <w:t>Ethics approval and consent to participate</w:t>
      </w:r>
    </w:p>
    <w:p w14:paraId="280053E6">
      <w:pPr>
        <w:pStyle w:val="7"/>
        <w:keepNext w:val="0"/>
        <w:keepLines w:val="0"/>
        <w:widowControl/>
        <w:suppressLineNumbers w:val="0"/>
        <w:spacing w:line="480" w:lineRule="auto"/>
        <w:jc w:val="both"/>
        <w:rPr>
          <w:rFonts w:hint="eastAsia" w:ascii="Times New Roman" w:hAnsi="Times New Roman" w:cs="Times New Roman"/>
          <w:sz w:val="24"/>
          <w:szCs w:val="24"/>
        </w:rPr>
      </w:pPr>
      <w:commentRangeStart w:id="0"/>
      <w:r>
        <w:rPr>
          <w:rFonts w:hint="eastAsia" w:ascii="Times New Roman" w:hAnsi="Times New Roman" w:cs="Times New Roman" w:eastAsiaTheme="minorEastAsia"/>
          <w:kern w:val="2"/>
          <w:sz w:val="24"/>
          <w:szCs w:val="24"/>
          <w:lang w:val="en-US" w:eastAsia="zh-CN" w:bidi="ar-SA"/>
        </w:rPr>
        <w:t>This retrospective study was based on the publicly available MIMIC</w:t>
      </w:r>
      <w:r>
        <w:rPr>
          <w:rFonts w:hint="eastAsia" w:ascii="Times New Roman" w:hAnsi="Times New Roman" w:cs="Times New Roman" w:eastAsiaTheme="minorEastAsia"/>
          <w:kern w:val="2"/>
          <w:sz w:val="24"/>
          <w:szCs w:val="24"/>
          <w:lang w:val="en-US" w:eastAsia="zh-CN" w:bidi="ar-SA"/>
        </w:rPr>
        <w:noBreakHyphen/>
      </w:r>
      <w:r>
        <w:rPr>
          <w:rFonts w:hint="eastAsia" w:ascii="Times New Roman" w:hAnsi="Times New Roman" w:cs="Times New Roman" w:eastAsiaTheme="minorEastAsia"/>
          <w:kern w:val="2"/>
          <w:sz w:val="24"/>
          <w:szCs w:val="24"/>
          <w:lang w:val="en-US" w:eastAsia="zh-CN" w:bidi="ar-SA"/>
        </w:rPr>
        <w:t xml:space="preserve">IV version </w:t>
      </w:r>
      <w:r>
        <w:rPr>
          <w:rFonts w:hint="eastAsia" w:ascii="Times New Roman" w:hAnsi="Times New Roman" w:cs="Times New Roman"/>
          <w:kern w:val="2"/>
          <w:sz w:val="24"/>
          <w:szCs w:val="24"/>
          <w:lang w:val="en-US" w:eastAsia="zh-CN" w:bidi="ar-SA"/>
        </w:rPr>
        <w:t>3.0</w:t>
      </w:r>
      <w:r>
        <w:rPr>
          <w:rFonts w:hint="eastAsia" w:ascii="Times New Roman" w:hAnsi="Times New Roman" w:cs="Times New Roman" w:eastAsiaTheme="minorEastAsia"/>
          <w:kern w:val="2"/>
          <w:sz w:val="24"/>
          <w:szCs w:val="24"/>
          <w:lang w:val="en-US" w:eastAsia="zh-CN" w:bidi="ar-SA"/>
        </w:rPr>
        <w:t xml:space="preserve"> database. The establishment and data sharing of the MIMIC</w:t>
      </w:r>
      <w:r>
        <w:rPr>
          <w:rFonts w:hint="eastAsia" w:ascii="Times New Roman" w:hAnsi="Times New Roman" w:cs="Times New Roman" w:eastAsiaTheme="minorEastAsia"/>
          <w:kern w:val="2"/>
          <w:sz w:val="24"/>
          <w:szCs w:val="24"/>
          <w:lang w:val="en-US" w:eastAsia="zh-CN" w:bidi="ar-SA"/>
        </w:rPr>
        <w:noBreakHyphen/>
      </w:r>
      <w:r>
        <w:rPr>
          <w:rFonts w:hint="eastAsia" w:ascii="Times New Roman" w:hAnsi="Times New Roman" w:cs="Times New Roman" w:eastAsiaTheme="minorEastAsia"/>
          <w:kern w:val="2"/>
          <w:sz w:val="24"/>
          <w:szCs w:val="24"/>
          <w:lang w:val="en-US" w:eastAsia="zh-CN" w:bidi="ar-SA"/>
        </w:rPr>
        <w:t xml:space="preserve">IV database were approved by the Institutional Review Boards of Beth Israel Deaconess Medical Center (IRB protocol no. 2001P001699) and Massachusetts Institute of Technology (IRB protocol no. 0403000206). A waiver of informed consent was granted for secondary </w:t>
      </w:r>
      <w:bookmarkStart w:id="4" w:name="_GoBack"/>
      <w:bookmarkEnd w:id="4"/>
      <w:r>
        <w:rPr>
          <w:rFonts w:hint="eastAsia" w:ascii="Times New Roman" w:hAnsi="Times New Roman" w:cs="Times New Roman" w:eastAsiaTheme="minorEastAsia"/>
          <w:kern w:val="2"/>
          <w:sz w:val="24"/>
          <w:szCs w:val="24"/>
          <w:lang w:val="en-US" w:eastAsia="zh-CN" w:bidi="ar-SA"/>
        </w:rPr>
        <w:t>analysis of fully anonymized, de-identified clinical data, as no individually identifiable patient information was included in the dataset. This study was conducted in strict accordance with the principles stated in the Declaration of Helsinki.</w:t>
      </w:r>
      <w:commentRangeEnd w:id="0"/>
      <w:r>
        <w:commentReference w:id="0"/>
      </w:r>
    </w:p>
    <w:p w14:paraId="7BBDB970">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Consent for publication</w:t>
      </w:r>
    </w:p>
    <w:p w14:paraId="297BF750">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Not applicable.</w:t>
      </w:r>
    </w:p>
    <w:p w14:paraId="2DC1376C">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eastAsia" w:ascii="Times New Roman" w:hAnsi="Times New Roman" w:cs="Times New Roman"/>
          <w:sz w:val="24"/>
          <w:szCs w:val="24"/>
        </w:rPr>
      </w:pPr>
    </w:p>
    <w:p w14:paraId="11323066">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Competing interests</w:t>
      </w:r>
    </w:p>
    <w:p w14:paraId="682CDE88">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The authors declare no competing interests.</w:t>
      </w:r>
    </w:p>
    <w:p w14:paraId="5906A3FD">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eastAsia" w:ascii="Times New Roman" w:hAnsi="Times New Roman" w:cs="Times New Roman"/>
          <w:sz w:val="24"/>
          <w:szCs w:val="24"/>
        </w:rPr>
      </w:pPr>
    </w:p>
    <w:p w14:paraId="52115B2E">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b/>
          <w:bCs/>
          <w:color w:val="000000" w:themeColor="text1"/>
          <w:sz w:val="28"/>
          <w:szCs w:val="28"/>
          <w:highlight w:val="none"/>
          <w:lang w:val="en-US" w:eastAsia="zh-CN"/>
          <w14:textFill>
            <w14:solidFill>
              <w14:schemeClr w14:val="tx1"/>
            </w14:solidFill>
          </w14:textFill>
        </w:rPr>
      </w:pPr>
      <w:r>
        <w:rPr>
          <w:rFonts w:hint="eastAsia" w:ascii="Times New Roman" w:hAnsi="Times New Roman" w:cs="Times New Roman"/>
          <w:b/>
          <w:bCs/>
          <w:color w:val="000000" w:themeColor="text1"/>
          <w:sz w:val="28"/>
          <w:szCs w:val="28"/>
          <w:highlight w:val="none"/>
          <w:lang w:val="en-US" w:eastAsia="zh-CN"/>
          <w14:textFill>
            <w14:solidFill>
              <w14:schemeClr w14:val="tx1"/>
            </w14:solidFill>
          </w14:textFill>
        </w:rPr>
        <w:t>Clinical trial number</w:t>
      </w:r>
    </w:p>
    <w:p w14:paraId="4E4E8A1E">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Not applicable.</w:t>
      </w:r>
    </w:p>
    <w:p w14:paraId="78F622B1">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eastAsia" w:ascii="Times New Roman" w:hAnsi="Times New Roman" w:cs="Times New Roman"/>
          <w:sz w:val="24"/>
          <w:szCs w:val="24"/>
        </w:rPr>
      </w:pPr>
    </w:p>
    <w:p w14:paraId="3005A7CC">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Author details</w:t>
      </w:r>
    </w:p>
    <w:p w14:paraId="54F38107">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vertAlign w:val="superscript"/>
        </w:rPr>
        <w:t>1</w:t>
      </w:r>
      <w:r>
        <w:rPr>
          <w:rFonts w:hint="eastAsia" w:ascii="Times New Roman" w:hAnsi="Times New Roman" w:cs="Times New Roman"/>
          <w:sz w:val="24"/>
          <w:szCs w:val="24"/>
        </w:rPr>
        <w:t>Shengli Clinical Medical College of Fujian Medical University, Fuzhou 350001, China</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vertAlign w:val="superscript"/>
        </w:rPr>
        <w:t>2</w:t>
      </w:r>
      <w:r>
        <w:rPr>
          <w:rFonts w:hint="eastAsia" w:ascii="Times New Roman" w:hAnsi="Times New Roman" w:cs="Times New Roman"/>
          <w:sz w:val="24"/>
          <w:szCs w:val="24"/>
        </w:rPr>
        <w:t>Department of Emergency, Fujian Provincial Hospital, Fuzhou 350001, China</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vertAlign w:val="superscript"/>
        </w:rPr>
        <w:t>3</w:t>
      </w:r>
      <w:r>
        <w:rPr>
          <w:rFonts w:hint="eastAsia" w:ascii="Times New Roman" w:hAnsi="Times New Roman" w:cs="Times New Roman"/>
          <w:sz w:val="24"/>
          <w:szCs w:val="24"/>
        </w:rPr>
        <w:t>Fuzhou University Affiliated Provincial Hospital, Fuzhou 350001, China</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vertAlign w:val="superscript"/>
        </w:rPr>
        <w:t>4</w:t>
      </w:r>
      <w:r>
        <w:rPr>
          <w:rFonts w:hint="eastAsia" w:ascii="Times New Roman" w:hAnsi="Times New Roman" w:cs="Times New Roman"/>
          <w:sz w:val="24"/>
          <w:szCs w:val="24"/>
        </w:rPr>
        <w:t>Fujian Provincial Key Laboratory of Emergency Medicine, Fuzhou 350001, China</w:t>
      </w:r>
      <w:r>
        <w:rPr>
          <w:rFonts w:hint="eastAsia" w:ascii="Times New Roman" w:hAnsi="Times New Roman" w:cs="Times New Roman"/>
          <w:sz w:val="24"/>
          <w:szCs w:val="24"/>
          <w:lang w:val="en-US" w:eastAsia="zh-CN"/>
        </w:rPr>
        <w:t>.</w:t>
      </w:r>
    </w:p>
    <w:p w14:paraId="07A73353">
      <w:pPr>
        <w:keepNext w:val="0"/>
        <w:keepLines w:val="0"/>
        <w:pageBreakBefore w:val="0"/>
        <w:widowControl w:val="0"/>
        <w:kinsoku/>
        <w:wordWrap/>
        <w:overflowPunct/>
        <w:topLinePunct w:val="0"/>
        <w:autoSpaceDE/>
        <w:autoSpaceDN/>
        <w:bidi w:val="0"/>
        <w:adjustRightInd/>
        <w:snapToGrid/>
        <w:spacing w:line="480" w:lineRule="auto"/>
        <w:ind w:firstLine="0" w:firstLineChars="0"/>
        <w:jc w:val="both"/>
        <w:textAlignment w:val="auto"/>
        <w:rPr>
          <w:rFonts w:ascii="Times New Roman" w:hAnsi="Times New Roman" w:cs="Times New Roman"/>
          <w:b/>
          <w:bCs/>
          <w:sz w:val="28"/>
          <w:szCs w:val="28"/>
        </w:rPr>
      </w:pPr>
      <w:r>
        <w:rPr>
          <w:rFonts w:ascii="Times New Roman" w:hAnsi="Times New Roman" w:cs="Times New Roman"/>
          <w:sz w:val="24"/>
          <w:szCs w:val="24"/>
        </w:rPr>
        <w:br w:type="page"/>
      </w:r>
    </w:p>
    <w:p w14:paraId="1669A84E">
      <w:pPr>
        <w:keepNext w:val="0"/>
        <w:keepLines w:val="0"/>
        <w:pageBreakBefore w:val="0"/>
        <w:tabs>
          <w:tab w:val="left" w:pos="2640"/>
        </w:tabs>
        <w:kinsoku/>
        <w:wordWrap/>
        <w:overflowPunct/>
        <w:topLinePunct w:val="0"/>
        <w:bidi w:val="0"/>
        <w:snapToGrid/>
        <w:spacing w:line="480" w:lineRule="auto"/>
        <w:textAlignment w:val="auto"/>
        <w:rPr>
          <w:rFonts w:hint="eastAsia" w:eastAsiaTheme="minorEastAsia"/>
          <w:lang w:eastAsia="zh-CN"/>
        </w:rPr>
      </w:pPr>
      <w:r>
        <w:rPr>
          <w:rFonts w:ascii="Times New Roman" w:hAnsi="Times New Roman" w:cs="Times New Roman"/>
          <w:b/>
          <w:bCs/>
          <w:sz w:val="28"/>
          <w:szCs w:val="28"/>
          <w:highlight w:val="none"/>
        </w:rPr>
        <w:t>References</w:t>
      </w:r>
      <w:r>
        <w:rPr>
          <w:rFonts w:ascii="Times New Roman" w:hAnsi="Times New Roman" w:cs="Times New Roman"/>
          <w:b/>
          <w:bCs/>
          <w:sz w:val="28"/>
          <w:szCs w:val="28"/>
        </w:rPr>
        <w:tab/>
      </w:r>
    </w:p>
    <w:p w14:paraId="1B4770E5">
      <w:pPr>
        <w:pStyle w:val="16"/>
        <w:bidi w:val="0"/>
        <w:ind w:left="720" w:hanging="720"/>
        <w:rPr>
          <w:rFonts w:ascii="Calibri" w:hAnsi="Calibri" w:cs="Calibri" w:eastAsiaTheme="minorEastAsia"/>
          <w:kern w:val="2"/>
          <w:sz w:val="20"/>
          <w:szCs w:val="24"/>
          <w:lang w:val="en-US" w:eastAsia="zh-CN" w:bidi="ar-SA"/>
        </w:rPr>
      </w:pPr>
      <w:r>
        <w:rPr>
          <w:rFonts w:hint="eastAsia" w:eastAsiaTheme="minorEastAsia"/>
          <w:lang w:eastAsia="zh-CN"/>
        </w:rPr>
        <w:fldChar w:fldCharType="begin"/>
      </w:r>
      <w:r>
        <w:rPr>
          <w:rFonts w:hint="eastAsia"/>
          <w:lang w:eastAsia="zh-CN"/>
        </w:rPr>
        <w:instrText xml:space="preserve"> ADDIN EN.REFLIST </w:instrText>
      </w:r>
      <w:r>
        <w:rPr>
          <w:rFonts w:hint="eastAsia" w:eastAsiaTheme="minorEastAsia"/>
          <w:lang w:eastAsia="zh-CN"/>
        </w:rPr>
        <w:fldChar w:fldCharType="separate"/>
      </w:r>
      <w:r>
        <w:rPr>
          <w:rFonts w:ascii="Calibri" w:hAnsi="Calibri" w:cs="Calibri" w:eastAsiaTheme="minorEastAsia"/>
          <w:kern w:val="2"/>
          <w:sz w:val="20"/>
          <w:szCs w:val="24"/>
          <w:lang w:val="en-US" w:eastAsia="zh-CN" w:bidi="ar-SA"/>
        </w:rPr>
        <w:t>1.</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Yadav D, Lowenfels AB: </w:t>
      </w:r>
      <w:r>
        <w:rPr>
          <w:rFonts w:ascii="Calibri" w:hAnsi="Calibri" w:cs="Calibri" w:eastAsiaTheme="minorEastAsia"/>
          <w:b/>
          <w:kern w:val="2"/>
          <w:sz w:val="20"/>
          <w:szCs w:val="24"/>
          <w:lang w:val="en-US" w:eastAsia="zh-CN" w:bidi="ar-SA"/>
        </w:rPr>
        <w:t>The Epidemiology of Pancreatitis and Pancreatic Cancer</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Gastroenterology </w:t>
      </w:r>
      <w:r>
        <w:rPr>
          <w:rFonts w:ascii="Calibri" w:hAnsi="Calibri" w:cs="Calibri" w:eastAsiaTheme="minorEastAsia"/>
          <w:kern w:val="2"/>
          <w:sz w:val="20"/>
          <w:szCs w:val="24"/>
          <w:lang w:val="en-US" w:eastAsia="zh-CN" w:bidi="ar-SA"/>
        </w:rPr>
        <w:t xml:space="preserve">2013, </w:t>
      </w:r>
      <w:r>
        <w:rPr>
          <w:rFonts w:ascii="Calibri" w:hAnsi="Calibri" w:cs="Calibri" w:eastAsiaTheme="minorEastAsia"/>
          <w:b/>
          <w:kern w:val="2"/>
          <w:sz w:val="20"/>
          <w:szCs w:val="24"/>
          <w:lang w:val="en-US" w:eastAsia="zh-CN" w:bidi="ar-SA"/>
        </w:rPr>
        <w:t>144</w:t>
      </w:r>
      <w:r>
        <w:rPr>
          <w:rFonts w:ascii="Calibri" w:hAnsi="Calibri" w:cs="Calibri" w:eastAsiaTheme="minorEastAsia"/>
          <w:kern w:val="2"/>
          <w:sz w:val="20"/>
          <w:szCs w:val="24"/>
          <w:lang w:val="en-US" w:eastAsia="zh-CN" w:bidi="ar-SA"/>
        </w:rPr>
        <w:t>(6):1252-1261.</w:t>
      </w:r>
    </w:p>
    <w:p w14:paraId="2A5FFD04">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2.</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Szatmary P, Grammatikopoulos T, Cai W, Huang W, Mukherjee R, Halloran C, Beyer G, Sutton R: </w:t>
      </w:r>
      <w:r>
        <w:rPr>
          <w:rFonts w:ascii="Calibri" w:hAnsi="Calibri" w:cs="Calibri" w:eastAsiaTheme="minorEastAsia"/>
          <w:b/>
          <w:kern w:val="2"/>
          <w:sz w:val="20"/>
          <w:szCs w:val="24"/>
          <w:lang w:val="en-US" w:eastAsia="zh-CN" w:bidi="ar-SA"/>
        </w:rPr>
        <w:t>Acute Pancreatitis: Diagnosis and Treatment</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Drugs </w:t>
      </w:r>
      <w:r>
        <w:rPr>
          <w:rFonts w:ascii="Calibri" w:hAnsi="Calibri" w:cs="Calibri" w:eastAsiaTheme="minorEastAsia"/>
          <w:kern w:val="2"/>
          <w:sz w:val="20"/>
          <w:szCs w:val="24"/>
          <w:lang w:val="en-US" w:eastAsia="zh-CN" w:bidi="ar-SA"/>
        </w:rPr>
        <w:t xml:space="preserve">2022, </w:t>
      </w:r>
      <w:r>
        <w:rPr>
          <w:rFonts w:ascii="Calibri" w:hAnsi="Calibri" w:cs="Calibri" w:eastAsiaTheme="minorEastAsia"/>
          <w:b/>
          <w:kern w:val="2"/>
          <w:sz w:val="20"/>
          <w:szCs w:val="24"/>
          <w:lang w:val="en-US" w:eastAsia="zh-CN" w:bidi="ar-SA"/>
        </w:rPr>
        <w:t>82</w:t>
      </w:r>
      <w:r>
        <w:rPr>
          <w:rFonts w:ascii="Calibri" w:hAnsi="Calibri" w:cs="Calibri" w:eastAsiaTheme="minorEastAsia"/>
          <w:kern w:val="2"/>
          <w:sz w:val="20"/>
          <w:szCs w:val="24"/>
          <w:lang w:val="en-US" w:eastAsia="zh-CN" w:bidi="ar-SA"/>
        </w:rPr>
        <w:t>(12):1251-1276.</w:t>
      </w:r>
    </w:p>
    <w:p w14:paraId="05F9CFFD">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3.</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Beij A, Verdonk RC, van Santvoort HC, de‐Madaria E, Voermans RP: </w:t>
      </w:r>
      <w:r>
        <w:rPr>
          <w:rFonts w:ascii="Calibri" w:hAnsi="Calibri" w:cs="Calibri" w:eastAsiaTheme="minorEastAsia"/>
          <w:b/>
          <w:kern w:val="2"/>
          <w:sz w:val="20"/>
          <w:szCs w:val="24"/>
          <w:lang w:val="en-US" w:eastAsia="zh-CN" w:bidi="ar-SA"/>
        </w:rPr>
        <w:t>Acute Pancreatitis: An Update of Evidence‐Based Management and Recent Trends in Treatment Strategies</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United European Gastroenterology Journal </w:t>
      </w:r>
      <w:r>
        <w:rPr>
          <w:rFonts w:ascii="Calibri" w:hAnsi="Calibri" w:cs="Calibri" w:eastAsiaTheme="minorEastAsia"/>
          <w:kern w:val="2"/>
          <w:sz w:val="20"/>
          <w:szCs w:val="24"/>
          <w:lang w:val="en-US" w:eastAsia="zh-CN" w:bidi="ar-SA"/>
        </w:rPr>
        <w:t xml:space="preserve">2025, </w:t>
      </w:r>
      <w:r>
        <w:rPr>
          <w:rFonts w:ascii="Calibri" w:hAnsi="Calibri" w:cs="Calibri" w:eastAsiaTheme="minorEastAsia"/>
          <w:b/>
          <w:kern w:val="2"/>
          <w:sz w:val="20"/>
          <w:szCs w:val="24"/>
          <w:lang w:val="en-US" w:eastAsia="zh-CN" w:bidi="ar-SA"/>
        </w:rPr>
        <w:t>13</w:t>
      </w:r>
      <w:r>
        <w:rPr>
          <w:rFonts w:ascii="Calibri" w:hAnsi="Calibri" w:cs="Calibri" w:eastAsiaTheme="minorEastAsia"/>
          <w:kern w:val="2"/>
          <w:sz w:val="20"/>
          <w:szCs w:val="24"/>
          <w:lang w:val="en-US" w:eastAsia="zh-CN" w:bidi="ar-SA"/>
        </w:rPr>
        <w:t>(1):97-106.</w:t>
      </w:r>
    </w:p>
    <w:p w14:paraId="24BD9B09">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4.</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Wan Y, Hu Q, Shi J, Liu L, Zhang X, Huang J, Wang H: </w:t>
      </w:r>
      <w:r>
        <w:rPr>
          <w:rFonts w:ascii="Calibri" w:hAnsi="Calibri" w:cs="Calibri" w:eastAsiaTheme="minorEastAsia"/>
          <w:b/>
          <w:kern w:val="2"/>
          <w:sz w:val="20"/>
          <w:szCs w:val="24"/>
          <w:lang w:val="en-US" w:eastAsia="zh-CN" w:bidi="ar-SA"/>
        </w:rPr>
        <w:t>J-shaped association between blood urea nitrogen-to-creatinine ratio and mortality in critically ill patients with acute pancreatitis: a retrospective cohort study using the MIMIC-IV database</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European Journal of Medical Research </w:t>
      </w:r>
      <w:r>
        <w:rPr>
          <w:rFonts w:ascii="Calibri" w:hAnsi="Calibri" w:cs="Calibri" w:eastAsiaTheme="minorEastAsia"/>
          <w:kern w:val="2"/>
          <w:sz w:val="20"/>
          <w:szCs w:val="24"/>
          <w:lang w:val="en-US" w:eastAsia="zh-CN" w:bidi="ar-SA"/>
        </w:rPr>
        <w:t xml:space="preserve">2025, </w:t>
      </w:r>
      <w:r>
        <w:rPr>
          <w:rFonts w:ascii="Calibri" w:hAnsi="Calibri" w:cs="Calibri" w:eastAsiaTheme="minorEastAsia"/>
          <w:b/>
          <w:kern w:val="2"/>
          <w:sz w:val="20"/>
          <w:szCs w:val="24"/>
          <w:lang w:val="en-US" w:eastAsia="zh-CN" w:bidi="ar-SA"/>
        </w:rPr>
        <w:t>30</w:t>
      </w:r>
      <w:r>
        <w:rPr>
          <w:rFonts w:ascii="Calibri" w:hAnsi="Calibri" w:cs="Calibri" w:eastAsiaTheme="minorEastAsia"/>
          <w:kern w:val="2"/>
          <w:sz w:val="20"/>
          <w:szCs w:val="24"/>
          <w:lang w:val="en-US" w:eastAsia="zh-CN" w:bidi="ar-SA"/>
        </w:rPr>
        <w:t>(1).</w:t>
      </w:r>
    </w:p>
    <w:p w14:paraId="40645FC7">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5.</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Hong W, Lin S, Zippi M, Geng W, Stock S, Zimmer V, Xu C, Zhou M: </w:t>
      </w:r>
      <w:r>
        <w:rPr>
          <w:rFonts w:ascii="Calibri" w:hAnsi="Calibri" w:cs="Calibri" w:eastAsiaTheme="minorEastAsia"/>
          <w:b/>
          <w:kern w:val="2"/>
          <w:sz w:val="20"/>
          <w:szCs w:val="24"/>
          <w:lang w:val="en-US" w:eastAsia="zh-CN" w:bidi="ar-SA"/>
        </w:rPr>
        <w:t>High-Density Lipoprotein Cholesterol, Blood Urea Nitrogen, and Serum Creatinine Can Predict Severe Acute Pancreatitis</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BioMed Research International </w:t>
      </w:r>
      <w:r>
        <w:rPr>
          <w:rFonts w:ascii="Calibri" w:hAnsi="Calibri" w:cs="Calibri" w:eastAsiaTheme="minorEastAsia"/>
          <w:kern w:val="2"/>
          <w:sz w:val="20"/>
          <w:szCs w:val="24"/>
          <w:lang w:val="en-US" w:eastAsia="zh-CN" w:bidi="ar-SA"/>
        </w:rPr>
        <w:t xml:space="preserve">2017, </w:t>
      </w:r>
      <w:r>
        <w:rPr>
          <w:rFonts w:ascii="Calibri" w:hAnsi="Calibri" w:cs="Calibri" w:eastAsiaTheme="minorEastAsia"/>
          <w:b/>
          <w:kern w:val="2"/>
          <w:sz w:val="20"/>
          <w:szCs w:val="24"/>
          <w:lang w:val="en-US" w:eastAsia="zh-CN" w:bidi="ar-SA"/>
        </w:rPr>
        <w:t>2017</w:t>
      </w:r>
      <w:r>
        <w:rPr>
          <w:rFonts w:ascii="Calibri" w:hAnsi="Calibri" w:cs="Calibri" w:eastAsiaTheme="minorEastAsia"/>
          <w:kern w:val="2"/>
          <w:sz w:val="20"/>
          <w:szCs w:val="24"/>
          <w:lang w:val="en-US" w:eastAsia="zh-CN" w:bidi="ar-SA"/>
        </w:rPr>
        <w:t>:1-7.</w:t>
      </w:r>
    </w:p>
    <w:p w14:paraId="32DD865C">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6.</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Armstrong LE, Kavouras SA, Walsh NP, Roberts WO: </w:t>
      </w:r>
      <w:r>
        <w:rPr>
          <w:rFonts w:ascii="Calibri" w:hAnsi="Calibri" w:cs="Calibri" w:eastAsiaTheme="minorEastAsia"/>
          <w:b/>
          <w:kern w:val="2"/>
          <w:sz w:val="20"/>
          <w:szCs w:val="24"/>
          <w:lang w:val="en-US" w:eastAsia="zh-CN" w:bidi="ar-SA"/>
        </w:rPr>
        <w:t>Diagnosing dehydration? Blend evidence with clinical observations</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Current Opinion in Clinical Nutrition &amp; Metabolic Care </w:t>
      </w:r>
      <w:r>
        <w:rPr>
          <w:rFonts w:ascii="Calibri" w:hAnsi="Calibri" w:cs="Calibri" w:eastAsiaTheme="minorEastAsia"/>
          <w:kern w:val="2"/>
          <w:sz w:val="20"/>
          <w:szCs w:val="24"/>
          <w:lang w:val="en-US" w:eastAsia="zh-CN" w:bidi="ar-SA"/>
        </w:rPr>
        <w:t xml:space="preserve">2016, </w:t>
      </w:r>
      <w:r>
        <w:rPr>
          <w:rFonts w:ascii="Calibri" w:hAnsi="Calibri" w:cs="Calibri" w:eastAsiaTheme="minorEastAsia"/>
          <w:b/>
          <w:kern w:val="2"/>
          <w:sz w:val="20"/>
          <w:szCs w:val="24"/>
          <w:lang w:val="en-US" w:eastAsia="zh-CN" w:bidi="ar-SA"/>
        </w:rPr>
        <w:t>19</w:t>
      </w:r>
      <w:r>
        <w:rPr>
          <w:rFonts w:ascii="Calibri" w:hAnsi="Calibri" w:cs="Calibri" w:eastAsiaTheme="minorEastAsia"/>
          <w:kern w:val="2"/>
          <w:sz w:val="20"/>
          <w:szCs w:val="24"/>
          <w:lang w:val="en-US" w:eastAsia="zh-CN" w:bidi="ar-SA"/>
        </w:rPr>
        <w:t>(6):434-438.</w:t>
      </w:r>
    </w:p>
    <w:p w14:paraId="523CDEF8">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7.</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Becker J, Friedman E: </w:t>
      </w:r>
      <w:r>
        <w:rPr>
          <w:rFonts w:ascii="Calibri" w:hAnsi="Calibri" w:cs="Calibri" w:eastAsiaTheme="minorEastAsia"/>
          <w:b/>
          <w:kern w:val="2"/>
          <w:sz w:val="20"/>
          <w:szCs w:val="24"/>
          <w:lang w:val="en-US" w:eastAsia="zh-CN" w:bidi="ar-SA"/>
        </w:rPr>
        <w:t>Renal Function Status</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American Journal of Roentgenology </w:t>
      </w:r>
      <w:r>
        <w:rPr>
          <w:rFonts w:ascii="Calibri" w:hAnsi="Calibri" w:cs="Calibri" w:eastAsiaTheme="minorEastAsia"/>
          <w:kern w:val="2"/>
          <w:sz w:val="20"/>
          <w:szCs w:val="24"/>
          <w:lang w:val="en-US" w:eastAsia="zh-CN" w:bidi="ar-SA"/>
        </w:rPr>
        <w:t xml:space="preserve">2013, </w:t>
      </w:r>
      <w:r>
        <w:rPr>
          <w:rFonts w:ascii="Calibri" w:hAnsi="Calibri" w:cs="Calibri" w:eastAsiaTheme="minorEastAsia"/>
          <w:b/>
          <w:kern w:val="2"/>
          <w:sz w:val="20"/>
          <w:szCs w:val="24"/>
          <w:lang w:val="en-US" w:eastAsia="zh-CN" w:bidi="ar-SA"/>
        </w:rPr>
        <w:t>200</w:t>
      </w:r>
      <w:r>
        <w:rPr>
          <w:rFonts w:ascii="Calibri" w:hAnsi="Calibri" w:cs="Calibri" w:eastAsiaTheme="minorEastAsia"/>
          <w:kern w:val="2"/>
          <w:sz w:val="20"/>
          <w:szCs w:val="24"/>
          <w:lang w:val="en-US" w:eastAsia="zh-CN" w:bidi="ar-SA"/>
        </w:rPr>
        <w:t>(4):827-829.</w:t>
      </w:r>
    </w:p>
    <w:p w14:paraId="200A107F">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8.</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Delanaye P, Cavalier E, Pottel H: </w:t>
      </w:r>
      <w:r>
        <w:rPr>
          <w:rFonts w:ascii="Calibri" w:hAnsi="Calibri" w:cs="Calibri" w:eastAsiaTheme="minorEastAsia"/>
          <w:b/>
          <w:kern w:val="2"/>
          <w:sz w:val="20"/>
          <w:szCs w:val="24"/>
          <w:lang w:val="en-US" w:eastAsia="zh-CN" w:bidi="ar-SA"/>
        </w:rPr>
        <w:t>Serum Creatinine: Not So Simple!</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Nephron </w:t>
      </w:r>
      <w:r>
        <w:rPr>
          <w:rFonts w:ascii="Calibri" w:hAnsi="Calibri" w:cs="Calibri" w:eastAsiaTheme="minorEastAsia"/>
          <w:kern w:val="2"/>
          <w:sz w:val="20"/>
          <w:szCs w:val="24"/>
          <w:lang w:val="en-US" w:eastAsia="zh-CN" w:bidi="ar-SA"/>
        </w:rPr>
        <w:t xml:space="preserve">2017, </w:t>
      </w:r>
      <w:r>
        <w:rPr>
          <w:rFonts w:ascii="Calibri" w:hAnsi="Calibri" w:cs="Calibri" w:eastAsiaTheme="minorEastAsia"/>
          <w:b/>
          <w:kern w:val="2"/>
          <w:sz w:val="20"/>
          <w:szCs w:val="24"/>
          <w:lang w:val="en-US" w:eastAsia="zh-CN" w:bidi="ar-SA"/>
        </w:rPr>
        <w:t>136</w:t>
      </w:r>
      <w:r>
        <w:rPr>
          <w:rFonts w:ascii="Calibri" w:hAnsi="Calibri" w:cs="Calibri" w:eastAsiaTheme="minorEastAsia"/>
          <w:kern w:val="2"/>
          <w:sz w:val="20"/>
          <w:szCs w:val="24"/>
          <w:lang w:val="en-US" w:eastAsia="zh-CN" w:bidi="ar-SA"/>
        </w:rPr>
        <w:t>(4):302-308.</w:t>
      </w:r>
    </w:p>
    <w:p w14:paraId="4E934A9F">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9.</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Gunst J, Kashani KB, Hermans G: </w:t>
      </w:r>
      <w:r>
        <w:rPr>
          <w:rFonts w:ascii="Calibri" w:hAnsi="Calibri" w:cs="Calibri" w:eastAsiaTheme="minorEastAsia"/>
          <w:b/>
          <w:kern w:val="2"/>
          <w:sz w:val="20"/>
          <w:szCs w:val="24"/>
          <w:lang w:val="en-US" w:eastAsia="zh-CN" w:bidi="ar-SA"/>
        </w:rPr>
        <w:t>The urea-creatinine ratio as a novel biomarker of critical illness-associated catabolism</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Intensive Care Medicine </w:t>
      </w:r>
      <w:r>
        <w:rPr>
          <w:rFonts w:ascii="Calibri" w:hAnsi="Calibri" w:cs="Calibri" w:eastAsiaTheme="minorEastAsia"/>
          <w:kern w:val="2"/>
          <w:sz w:val="20"/>
          <w:szCs w:val="24"/>
          <w:lang w:val="en-US" w:eastAsia="zh-CN" w:bidi="ar-SA"/>
        </w:rPr>
        <w:t xml:space="preserve">2019, </w:t>
      </w:r>
      <w:r>
        <w:rPr>
          <w:rFonts w:ascii="Calibri" w:hAnsi="Calibri" w:cs="Calibri" w:eastAsiaTheme="minorEastAsia"/>
          <w:b/>
          <w:kern w:val="2"/>
          <w:sz w:val="20"/>
          <w:szCs w:val="24"/>
          <w:lang w:val="en-US" w:eastAsia="zh-CN" w:bidi="ar-SA"/>
        </w:rPr>
        <w:t>45</w:t>
      </w:r>
      <w:r>
        <w:rPr>
          <w:rFonts w:ascii="Calibri" w:hAnsi="Calibri" w:cs="Calibri" w:eastAsiaTheme="minorEastAsia"/>
          <w:kern w:val="2"/>
          <w:sz w:val="20"/>
          <w:szCs w:val="24"/>
          <w:lang w:val="en-US" w:eastAsia="zh-CN" w:bidi="ar-SA"/>
        </w:rPr>
        <w:t>(12):1813-1815.</w:t>
      </w:r>
    </w:p>
    <w:p w14:paraId="4DFA1B49">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10.</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Tolomeo P, Butt JH, Kondo T, Campo G, Desai AS, Jhund PS, Køber L, Lefkowitz MP, Rouleau JL, Solomon SD</w:t>
      </w:r>
      <w:r>
        <w:rPr>
          <w:rFonts w:ascii="Calibri" w:hAnsi="Calibri" w:cs="Calibri" w:eastAsiaTheme="minorEastAsia"/>
          <w:i/>
          <w:kern w:val="2"/>
          <w:sz w:val="20"/>
          <w:szCs w:val="24"/>
          <w:lang w:val="en-US" w:eastAsia="zh-CN" w:bidi="ar-SA"/>
        </w:rPr>
        <w:t xml:space="preserve"> et al</w:t>
      </w:r>
      <w:r>
        <w:rPr>
          <w:rFonts w:ascii="Calibri" w:hAnsi="Calibri" w:cs="Calibri" w:eastAsiaTheme="minorEastAsia"/>
          <w:kern w:val="2"/>
          <w:sz w:val="20"/>
          <w:szCs w:val="24"/>
          <w:lang w:val="en-US" w:eastAsia="zh-CN" w:bidi="ar-SA"/>
        </w:rPr>
        <w:t xml:space="preserve">: </w:t>
      </w:r>
      <w:r>
        <w:rPr>
          <w:rFonts w:ascii="Calibri" w:hAnsi="Calibri" w:cs="Calibri" w:eastAsiaTheme="minorEastAsia"/>
          <w:b/>
          <w:kern w:val="2"/>
          <w:sz w:val="20"/>
          <w:szCs w:val="24"/>
          <w:lang w:val="en-US" w:eastAsia="zh-CN" w:bidi="ar-SA"/>
        </w:rPr>
        <w:t>Independent Prognostic Importance of Blood Urea Nitrogen to Creatinine Ratio in Heart Failure</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European Journal of Heart Failure </w:t>
      </w:r>
      <w:r>
        <w:rPr>
          <w:rFonts w:ascii="Calibri" w:hAnsi="Calibri" w:cs="Calibri" w:eastAsiaTheme="minorEastAsia"/>
          <w:kern w:val="2"/>
          <w:sz w:val="20"/>
          <w:szCs w:val="24"/>
          <w:lang w:val="en-US" w:eastAsia="zh-CN" w:bidi="ar-SA"/>
        </w:rPr>
        <w:t xml:space="preserve">2024, </w:t>
      </w:r>
      <w:r>
        <w:rPr>
          <w:rFonts w:ascii="Calibri" w:hAnsi="Calibri" w:cs="Calibri" w:eastAsiaTheme="minorEastAsia"/>
          <w:b/>
          <w:kern w:val="2"/>
          <w:sz w:val="20"/>
          <w:szCs w:val="24"/>
          <w:lang w:val="en-US" w:eastAsia="zh-CN" w:bidi="ar-SA"/>
        </w:rPr>
        <w:t>26</w:t>
      </w:r>
      <w:r>
        <w:rPr>
          <w:rFonts w:ascii="Calibri" w:hAnsi="Calibri" w:cs="Calibri" w:eastAsiaTheme="minorEastAsia"/>
          <w:kern w:val="2"/>
          <w:sz w:val="20"/>
          <w:szCs w:val="24"/>
          <w:lang w:val="en-US" w:eastAsia="zh-CN" w:bidi="ar-SA"/>
        </w:rPr>
        <w:t>(2):245-256.</w:t>
      </w:r>
    </w:p>
    <w:p w14:paraId="7507211D">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11.</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Chen T, Li A-P, Gong Q, Zhou L, Zhao Y-X, Zhou Z-W, Zhou W-S, Zhang F: </w:t>
      </w:r>
      <w:r>
        <w:rPr>
          <w:rFonts w:ascii="Calibri" w:hAnsi="Calibri" w:cs="Calibri" w:eastAsiaTheme="minorEastAsia"/>
          <w:b/>
          <w:kern w:val="2"/>
          <w:sz w:val="20"/>
          <w:szCs w:val="24"/>
          <w:lang w:val="en-US" w:eastAsia="zh-CN" w:bidi="ar-SA"/>
        </w:rPr>
        <w:t>The Association of Blood Urea Nitrogen to Creatinine Ratio and the Prognosis of Critically Ill Patients with Cerebral Infarction: A Cohort Study</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Mediators of Inflammation </w:t>
      </w:r>
      <w:r>
        <w:rPr>
          <w:rFonts w:ascii="Calibri" w:hAnsi="Calibri" w:cs="Calibri" w:eastAsiaTheme="minorEastAsia"/>
          <w:kern w:val="2"/>
          <w:sz w:val="20"/>
          <w:szCs w:val="24"/>
          <w:lang w:val="en-US" w:eastAsia="zh-CN" w:bidi="ar-SA"/>
        </w:rPr>
        <w:t xml:space="preserve">2022, </w:t>
      </w:r>
      <w:r>
        <w:rPr>
          <w:rFonts w:ascii="Calibri" w:hAnsi="Calibri" w:cs="Calibri" w:eastAsiaTheme="minorEastAsia"/>
          <w:b/>
          <w:kern w:val="2"/>
          <w:sz w:val="20"/>
          <w:szCs w:val="24"/>
          <w:lang w:val="en-US" w:eastAsia="zh-CN" w:bidi="ar-SA"/>
        </w:rPr>
        <w:t>2022</w:t>
      </w:r>
      <w:r>
        <w:rPr>
          <w:rFonts w:ascii="Calibri" w:hAnsi="Calibri" w:cs="Calibri" w:eastAsiaTheme="minorEastAsia"/>
          <w:kern w:val="2"/>
          <w:sz w:val="20"/>
          <w:szCs w:val="24"/>
          <w:lang w:val="en-US" w:eastAsia="zh-CN" w:bidi="ar-SA"/>
        </w:rPr>
        <w:t>:1-8.</w:t>
      </w:r>
    </w:p>
    <w:p w14:paraId="150F6403">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12.</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Han D, Zhang L, Zheng S, Xu F, Li C, Yang R, Ma W, Yin H, Lyu J, Deligianni D: </w:t>
      </w:r>
      <w:r>
        <w:rPr>
          <w:rFonts w:ascii="Calibri" w:hAnsi="Calibri" w:cs="Calibri" w:eastAsiaTheme="minorEastAsia"/>
          <w:b/>
          <w:kern w:val="2"/>
          <w:sz w:val="20"/>
          <w:szCs w:val="24"/>
          <w:lang w:val="en-US" w:eastAsia="zh-CN" w:bidi="ar-SA"/>
        </w:rPr>
        <w:t>Prognostic Value of Blood Urea Nitrogen/Creatinine Ratio for Septic Shock: An Analysis of the MIMIC‐III Clinical Database</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BioMed Research International </w:t>
      </w:r>
      <w:r>
        <w:rPr>
          <w:rFonts w:ascii="Calibri" w:hAnsi="Calibri" w:cs="Calibri" w:eastAsiaTheme="minorEastAsia"/>
          <w:kern w:val="2"/>
          <w:sz w:val="20"/>
          <w:szCs w:val="24"/>
          <w:lang w:val="en-US" w:eastAsia="zh-CN" w:bidi="ar-SA"/>
        </w:rPr>
        <w:t xml:space="preserve">2021, </w:t>
      </w:r>
      <w:r>
        <w:rPr>
          <w:rFonts w:ascii="Calibri" w:hAnsi="Calibri" w:cs="Calibri" w:eastAsiaTheme="minorEastAsia"/>
          <w:b/>
          <w:kern w:val="2"/>
          <w:sz w:val="20"/>
          <w:szCs w:val="24"/>
          <w:lang w:val="en-US" w:eastAsia="zh-CN" w:bidi="ar-SA"/>
        </w:rPr>
        <w:t>2021</w:t>
      </w:r>
      <w:r>
        <w:rPr>
          <w:rFonts w:ascii="Calibri" w:hAnsi="Calibri" w:cs="Calibri" w:eastAsiaTheme="minorEastAsia"/>
          <w:kern w:val="2"/>
          <w:sz w:val="20"/>
          <w:szCs w:val="24"/>
          <w:lang w:val="en-US" w:eastAsia="zh-CN" w:bidi="ar-SA"/>
        </w:rPr>
        <w:t>(1).</w:t>
      </w:r>
    </w:p>
    <w:p w14:paraId="72216937">
      <w:pPr>
        <w:pStyle w:val="16"/>
        <w:bidi w:val="0"/>
        <w:ind w:left="720" w:hanging="720"/>
        <w:rPr>
          <w:rFonts w:ascii="Calibri" w:hAnsi="Calibri" w:cs="Calibri" w:eastAsiaTheme="minorEastAsia"/>
          <w:kern w:val="2"/>
          <w:sz w:val="20"/>
          <w:szCs w:val="24"/>
          <w:highlight w:val="none"/>
          <w:lang w:val="en-US" w:eastAsia="zh-CN" w:bidi="ar-SA"/>
        </w:rPr>
      </w:pPr>
      <w:r>
        <w:rPr>
          <w:rFonts w:ascii="Calibri" w:hAnsi="Calibri" w:cs="Calibri" w:eastAsiaTheme="minorEastAsia"/>
          <w:kern w:val="2"/>
          <w:sz w:val="20"/>
          <w:szCs w:val="24"/>
          <w:lang w:val="en-US" w:eastAsia="zh-CN" w:bidi="ar-SA"/>
        </w:rPr>
        <w:t>13.</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Paulus MC, Melchers M, van Es A, Kouw IWK, van Zanten ARH:</w:t>
      </w:r>
      <w:r>
        <w:rPr>
          <w:rFonts w:ascii="Calibri" w:hAnsi="Calibri" w:cs="Calibri" w:eastAsiaTheme="minorEastAsia"/>
          <w:kern w:val="2"/>
          <w:sz w:val="20"/>
          <w:szCs w:val="24"/>
          <w:highlight w:val="none"/>
          <w:lang w:val="en-US" w:eastAsia="zh-CN" w:bidi="ar-SA"/>
        </w:rPr>
        <w:t xml:space="preserve"> </w:t>
      </w:r>
      <w:r>
        <w:rPr>
          <w:rFonts w:ascii="Calibri" w:hAnsi="Calibri" w:cs="Calibri" w:eastAsiaTheme="minorEastAsia"/>
          <w:b/>
          <w:kern w:val="2"/>
          <w:sz w:val="20"/>
          <w:szCs w:val="24"/>
          <w:highlight w:val="none"/>
          <w:lang w:val="en-US" w:eastAsia="zh-CN" w:bidi="ar-SA"/>
        </w:rPr>
        <w:t>The urea-to-creatinine ratio as an emerging biomarker in critical care: a scoping review and meta-analysis</w:t>
      </w:r>
      <w:r>
        <w:rPr>
          <w:rFonts w:ascii="Calibri" w:hAnsi="Calibri" w:cs="Calibri" w:eastAsiaTheme="minorEastAsia"/>
          <w:kern w:val="2"/>
          <w:sz w:val="20"/>
          <w:szCs w:val="24"/>
          <w:highlight w:val="none"/>
          <w:lang w:val="en-US" w:eastAsia="zh-CN" w:bidi="ar-SA"/>
        </w:rPr>
        <w:t xml:space="preserve">. </w:t>
      </w:r>
      <w:r>
        <w:rPr>
          <w:rFonts w:ascii="Calibri" w:hAnsi="Calibri" w:cs="Calibri" w:eastAsiaTheme="minorEastAsia"/>
          <w:i/>
          <w:kern w:val="2"/>
          <w:sz w:val="20"/>
          <w:szCs w:val="24"/>
          <w:highlight w:val="none"/>
          <w:lang w:val="en-US" w:eastAsia="zh-CN" w:bidi="ar-SA"/>
        </w:rPr>
        <w:t xml:space="preserve">Critical Care </w:t>
      </w:r>
      <w:r>
        <w:rPr>
          <w:rFonts w:ascii="Calibri" w:hAnsi="Calibri" w:cs="Calibri" w:eastAsiaTheme="minorEastAsia"/>
          <w:kern w:val="2"/>
          <w:sz w:val="20"/>
          <w:szCs w:val="24"/>
          <w:highlight w:val="none"/>
          <w:lang w:val="en-US" w:eastAsia="zh-CN" w:bidi="ar-SA"/>
        </w:rPr>
        <w:t xml:space="preserve">2025, </w:t>
      </w:r>
      <w:r>
        <w:rPr>
          <w:rFonts w:ascii="Calibri" w:hAnsi="Calibri" w:cs="Calibri" w:eastAsiaTheme="minorEastAsia"/>
          <w:b/>
          <w:kern w:val="2"/>
          <w:sz w:val="20"/>
          <w:szCs w:val="24"/>
          <w:highlight w:val="none"/>
          <w:lang w:val="en-US" w:eastAsia="zh-CN" w:bidi="ar-SA"/>
        </w:rPr>
        <w:t>29</w:t>
      </w:r>
      <w:r>
        <w:rPr>
          <w:rFonts w:ascii="Calibri" w:hAnsi="Calibri" w:cs="Calibri" w:eastAsiaTheme="minorEastAsia"/>
          <w:kern w:val="2"/>
          <w:sz w:val="20"/>
          <w:szCs w:val="24"/>
          <w:highlight w:val="none"/>
          <w:lang w:val="en-US" w:eastAsia="zh-CN" w:bidi="ar-SA"/>
        </w:rPr>
        <w:t>(1).</w:t>
      </w:r>
    </w:p>
    <w:p w14:paraId="1E2F7D4E">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14.</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Prowle JR, Kolic I, Purdell-Lewis J, Taylor R, Pearse RM, Kirwan CJ: </w:t>
      </w:r>
      <w:r>
        <w:rPr>
          <w:rFonts w:ascii="Calibri" w:hAnsi="Calibri" w:cs="Calibri" w:eastAsiaTheme="minorEastAsia"/>
          <w:b/>
          <w:kern w:val="2"/>
          <w:sz w:val="20"/>
          <w:szCs w:val="24"/>
          <w:lang w:val="en-US" w:eastAsia="zh-CN" w:bidi="ar-SA"/>
        </w:rPr>
        <w:t>Serum Creatinine Changes Associated with Critical Illness and Detection of Persistent Renal Dysfunction after AKI</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Clinical Journal of the American Society of Nephrology </w:t>
      </w:r>
      <w:r>
        <w:rPr>
          <w:rFonts w:ascii="Calibri" w:hAnsi="Calibri" w:cs="Calibri" w:eastAsiaTheme="minorEastAsia"/>
          <w:kern w:val="2"/>
          <w:sz w:val="20"/>
          <w:szCs w:val="24"/>
          <w:lang w:val="en-US" w:eastAsia="zh-CN" w:bidi="ar-SA"/>
        </w:rPr>
        <w:t xml:space="preserve">2014, </w:t>
      </w:r>
      <w:r>
        <w:rPr>
          <w:rFonts w:ascii="Calibri" w:hAnsi="Calibri" w:cs="Calibri" w:eastAsiaTheme="minorEastAsia"/>
          <w:b/>
          <w:kern w:val="2"/>
          <w:sz w:val="20"/>
          <w:szCs w:val="24"/>
          <w:lang w:val="en-US" w:eastAsia="zh-CN" w:bidi="ar-SA"/>
        </w:rPr>
        <w:t>9</w:t>
      </w:r>
      <w:r>
        <w:rPr>
          <w:rFonts w:ascii="Calibri" w:hAnsi="Calibri" w:cs="Calibri" w:eastAsiaTheme="minorEastAsia"/>
          <w:kern w:val="2"/>
          <w:sz w:val="20"/>
          <w:szCs w:val="24"/>
          <w:lang w:val="en-US" w:eastAsia="zh-CN" w:bidi="ar-SA"/>
        </w:rPr>
        <w:t>(6):1015-1023.</w:t>
      </w:r>
    </w:p>
    <w:p w14:paraId="5E306B90">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15.</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Wang Z, Wang W, Wang M, He Q, Xu J, Zou K, Kang Y, Sun X: </w:t>
      </w:r>
      <w:r>
        <w:rPr>
          <w:rFonts w:ascii="Calibri" w:hAnsi="Calibri" w:cs="Calibri" w:eastAsiaTheme="minorEastAsia"/>
          <w:b/>
          <w:kern w:val="2"/>
          <w:sz w:val="20"/>
          <w:szCs w:val="24"/>
          <w:lang w:val="en-US" w:eastAsia="zh-CN" w:bidi="ar-SA"/>
        </w:rPr>
        <w:t>Blood Urine Nitrogen Trajectories of Acute Pancreatitis Patients in Intensive Care Units</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Journal of Inflammation Research </w:t>
      </w:r>
      <w:r>
        <w:rPr>
          <w:rFonts w:ascii="Calibri" w:hAnsi="Calibri" w:cs="Calibri" w:eastAsiaTheme="minorEastAsia"/>
          <w:kern w:val="2"/>
          <w:sz w:val="20"/>
          <w:szCs w:val="24"/>
          <w:lang w:val="en-US" w:eastAsia="zh-CN" w:bidi="ar-SA"/>
        </w:rPr>
        <w:t xml:space="preserve">2024, </w:t>
      </w:r>
      <w:r>
        <w:rPr>
          <w:rFonts w:ascii="Calibri" w:hAnsi="Calibri" w:cs="Calibri" w:eastAsiaTheme="minorEastAsia"/>
          <w:b/>
          <w:kern w:val="2"/>
          <w:sz w:val="20"/>
          <w:szCs w:val="24"/>
          <w:lang w:val="en-US" w:eastAsia="zh-CN" w:bidi="ar-SA"/>
        </w:rPr>
        <w:t>Volume 17</w:t>
      </w:r>
      <w:r>
        <w:rPr>
          <w:rFonts w:ascii="Calibri" w:hAnsi="Calibri" w:cs="Calibri" w:eastAsiaTheme="minorEastAsia"/>
          <w:kern w:val="2"/>
          <w:sz w:val="20"/>
          <w:szCs w:val="24"/>
          <w:lang w:val="en-US" w:eastAsia="zh-CN" w:bidi="ar-SA"/>
        </w:rPr>
        <w:t>:3449-3458.</w:t>
      </w:r>
    </w:p>
    <w:p w14:paraId="0F7B5AD0">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16.</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Nusshag C, Weigand M, Zeier M, Morath C, Brenner T: </w:t>
      </w:r>
      <w:r>
        <w:rPr>
          <w:rFonts w:ascii="Calibri" w:hAnsi="Calibri" w:cs="Calibri" w:eastAsiaTheme="minorEastAsia"/>
          <w:b/>
          <w:kern w:val="2"/>
          <w:sz w:val="20"/>
          <w:szCs w:val="24"/>
          <w:lang w:val="en-US" w:eastAsia="zh-CN" w:bidi="ar-SA"/>
        </w:rPr>
        <w:t>Issues of Acute Kidney Injury Staging and Management in Sepsis and Critical Illness: A Narrative Review</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International Journal of Molecular Sciences </w:t>
      </w:r>
      <w:r>
        <w:rPr>
          <w:rFonts w:ascii="Calibri" w:hAnsi="Calibri" w:cs="Calibri" w:eastAsiaTheme="minorEastAsia"/>
          <w:kern w:val="2"/>
          <w:sz w:val="20"/>
          <w:szCs w:val="24"/>
          <w:lang w:val="en-US" w:eastAsia="zh-CN" w:bidi="ar-SA"/>
        </w:rPr>
        <w:t xml:space="preserve">2017, </w:t>
      </w:r>
      <w:r>
        <w:rPr>
          <w:rFonts w:ascii="Calibri" w:hAnsi="Calibri" w:cs="Calibri" w:eastAsiaTheme="minorEastAsia"/>
          <w:b/>
          <w:kern w:val="2"/>
          <w:sz w:val="20"/>
          <w:szCs w:val="24"/>
          <w:lang w:val="en-US" w:eastAsia="zh-CN" w:bidi="ar-SA"/>
        </w:rPr>
        <w:t>18</w:t>
      </w:r>
      <w:r>
        <w:rPr>
          <w:rFonts w:ascii="Calibri" w:hAnsi="Calibri" w:cs="Calibri" w:eastAsiaTheme="minorEastAsia"/>
          <w:kern w:val="2"/>
          <w:sz w:val="20"/>
          <w:szCs w:val="24"/>
          <w:lang w:val="en-US" w:eastAsia="zh-CN" w:bidi="ar-SA"/>
        </w:rPr>
        <w:t>(7).</w:t>
      </w:r>
    </w:p>
    <w:p w14:paraId="2CA49BA6">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17.</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Johnson AEW, Bulgarelli L, Shen L, Gayles A, Shammout A, Horng S, Pollard TJ, Hao S, Moody B, Gow B</w:t>
      </w:r>
      <w:r>
        <w:rPr>
          <w:rFonts w:ascii="Calibri" w:hAnsi="Calibri" w:cs="Calibri" w:eastAsiaTheme="minorEastAsia"/>
          <w:i/>
          <w:kern w:val="2"/>
          <w:sz w:val="20"/>
          <w:szCs w:val="24"/>
          <w:lang w:val="en-US" w:eastAsia="zh-CN" w:bidi="ar-SA"/>
        </w:rPr>
        <w:t xml:space="preserve"> et al</w:t>
      </w:r>
      <w:r>
        <w:rPr>
          <w:rFonts w:ascii="Calibri" w:hAnsi="Calibri" w:cs="Calibri" w:eastAsiaTheme="minorEastAsia"/>
          <w:kern w:val="2"/>
          <w:sz w:val="20"/>
          <w:szCs w:val="24"/>
          <w:lang w:val="en-US" w:eastAsia="zh-CN" w:bidi="ar-SA"/>
        </w:rPr>
        <w:t xml:space="preserve">: </w:t>
      </w:r>
      <w:r>
        <w:rPr>
          <w:rFonts w:ascii="Calibri" w:hAnsi="Calibri" w:cs="Calibri" w:eastAsiaTheme="minorEastAsia"/>
          <w:b/>
          <w:kern w:val="2"/>
          <w:sz w:val="20"/>
          <w:szCs w:val="24"/>
          <w:lang w:val="en-US" w:eastAsia="zh-CN" w:bidi="ar-SA"/>
        </w:rPr>
        <w:t>MIMIC-IV, a freely accessible electronic health record dataset</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Scientific Data </w:t>
      </w:r>
      <w:r>
        <w:rPr>
          <w:rFonts w:ascii="Calibri" w:hAnsi="Calibri" w:cs="Calibri" w:eastAsiaTheme="minorEastAsia"/>
          <w:kern w:val="2"/>
          <w:sz w:val="20"/>
          <w:szCs w:val="24"/>
          <w:lang w:val="en-US" w:eastAsia="zh-CN" w:bidi="ar-SA"/>
        </w:rPr>
        <w:t xml:space="preserve">2023, </w:t>
      </w:r>
      <w:r>
        <w:rPr>
          <w:rFonts w:ascii="Calibri" w:hAnsi="Calibri" w:cs="Calibri" w:eastAsiaTheme="minorEastAsia"/>
          <w:b/>
          <w:kern w:val="2"/>
          <w:sz w:val="20"/>
          <w:szCs w:val="24"/>
          <w:lang w:val="en-US" w:eastAsia="zh-CN" w:bidi="ar-SA"/>
        </w:rPr>
        <w:t>10</w:t>
      </w:r>
      <w:r>
        <w:rPr>
          <w:rFonts w:ascii="Calibri" w:hAnsi="Calibri" w:cs="Calibri" w:eastAsiaTheme="minorEastAsia"/>
          <w:kern w:val="2"/>
          <w:sz w:val="20"/>
          <w:szCs w:val="24"/>
          <w:lang w:val="en-US" w:eastAsia="zh-CN" w:bidi="ar-SA"/>
        </w:rPr>
        <w:t>(1).</w:t>
      </w:r>
    </w:p>
    <w:p w14:paraId="5E3129A8">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18.</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Mirza SS, Wolters FJ, Swanson SA, Koudstaal PJ, Hofman A, Tiemeier H, Ikram MA: </w:t>
      </w:r>
      <w:r>
        <w:rPr>
          <w:rFonts w:ascii="Calibri" w:hAnsi="Calibri" w:cs="Calibri" w:eastAsiaTheme="minorEastAsia"/>
          <w:b/>
          <w:kern w:val="2"/>
          <w:sz w:val="20"/>
          <w:szCs w:val="24"/>
          <w:lang w:val="en-US" w:eastAsia="zh-CN" w:bidi="ar-SA"/>
        </w:rPr>
        <w:t>10-year trajectories of depressive symptoms and risk of dementia: a population-based study</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The Lancet Psychiatry </w:t>
      </w:r>
      <w:r>
        <w:rPr>
          <w:rFonts w:ascii="Calibri" w:hAnsi="Calibri" w:cs="Calibri" w:eastAsiaTheme="minorEastAsia"/>
          <w:kern w:val="2"/>
          <w:sz w:val="20"/>
          <w:szCs w:val="24"/>
          <w:lang w:val="en-US" w:eastAsia="zh-CN" w:bidi="ar-SA"/>
        </w:rPr>
        <w:t xml:space="preserve">2016, </w:t>
      </w:r>
      <w:r>
        <w:rPr>
          <w:rFonts w:ascii="Calibri" w:hAnsi="Calibri" w:cs="Calibri" w:eastAsiaTheme="minorEastAsia"/>
          <w:b/>
          <w:kern w:val="2"/>
          <w:sz w:val="20"/>
          <w:szCs w:val="24"/>
          <w:lang w:val="en-US" w:eastAsia="zh-CN" w:bidi="ar-SA"/>
        </w:rPr>
        <w:t>3</w:t>
      </w:r>
      <w:r>
        <w:rPr>
          <w:rFonts w:ascii="Calibri" w:hAnsi="Calibri" w:cs="Calibri" w:eastAsiaTheme="minorEastAsia"/>
          <w:kern w:val="2"/>
          <w:sz w:val="20"/>
          <w:szCs w:val="24"/>
          <w:lang w:val="en-US" w:eastAsia="zh-CN" w:bidi="ar-SA"/>
        </w:rPr>
        <w:t>(7):628-635.</w:t>
      </w:r>
    </w:p>
    <w:p w14:paraId="293E7AEB">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19.</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Banks PA, Bollen TL, Dervenis C, Gooszen HG, Johnson CD, Sarr MG, Tsiotos GG, Vege SS: </w:t>
      </w:r>
      <w:r>
        <w:rPr>
          <w:rFonts w:ascii="Calibri" w:hAnsi="Calibri" w:cs="Calibri" w:eastAsiaTheme="minorEastAsia"/>
          <w:b/>
          <w:kern w:val="2"/>
          <w:sz w:val="20"/>
          <w:szCs w:val="24"/>
          <w:lang w:val="en-US" w:eastAsia="zh-CN" w:bidi="ar-SA"/>
        </w:rPr>
        <w:t>Classification of acute pancreatitis—2012: revision of the Atlanta classification and definitions by international consensus</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Gut </w:t>
      </w:r>
      <w:r>
        <w:rPr>
          <w:rFonts w:ascii="Calibri" w:hAnsi="Calibri" w:cs="Calibri" w:eastAsiaTheme="minorEastAsia"/>
          <w:kern w:val="2"/>
          <w:sz w:val="20"/>
          <w:szCs w:val="24"/>
          <w:lang w:val="en-US" w:eastAsia="zh-CN" w:bidi="ar-SA"/>
        </w:rPr>
        <w:t xml:space="preserve">2013, </w:t>
      </w:r>
      <w:r>
        <w:rPr>
          <w:rFonts w:ascii="Calibri" w:hAnsi="Calibri" w:cs="Calibri" w:eastAsiaTheme="minorEastAsia"/>
          <w:b/>
          <w:kern w:val="2"/>
          <w:sz w:val="20"/>
          <w:szCs w:val="24"/>
          <w:lang w:val="en-US" w:eastAsia="zh-CN" w:bidi="ar-SA"/>
        </w:rPr>
        <w:t>62</w:t>
      </w:r>
      <w:r>
        <w:rPr>
          <w:rFonts w:ascii="Calibri" w:hAnsi="Calibri" w:cs="Calibri" w:eastAsiaTheme="minorEastAsia"/>
          <w:kern w:val="2"/>
          <w:sz w:val="20"/>
          <w:szCs w:val="24"/>
          <w:lang w:val="en-US" w:eastAsia="zh-CN" w:bidi="ar-SA"/>
        </w:rPr>
        <w:t>(1):102-111.</w:t>
      </w:r>
    </w:p>
    <w:p w14:paraId="2810AD03">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20.</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Nassar TI, Qunibi WY: </w:t>
      </w:r>
      <w:r>
        <w:rPr>
          <w:rFonts w:ascii="Calibri" w:hAnsi="Calibri" w:cs="Calibri" w:eastAsiaTheme="minorEastAsia"/>
          <w:b/>
          <w:kern w:val="2"/>
          <w:sz w:val="20"/>
          <w:szCs w:val="24"/>
          <w:lang w:val="en-US" w:eastAsia="zh-CN" w:bidi="ar-SA"/>
        </w:rPr>
        <w:t>AKI Associated with Acute Pancreatitis</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Clinical Journal of the American Society of Nephrology </w:t>
      </w:r>
      <w:r>
        <w:rPr>
          <w:rFonts w:ascii="Calibri" w:hAnsi="Calibri" w:cs="Calibri" w:eastAsiaTheme="minorEastAsia"/>
          <w:kern w:val="2"/>
          <w:sz w:val="20"/>
          <w:szCs w:val="24"/>
          <w:lang w:val="en-US" w:eastAsia="zh-CN" w:bidi="ar-SA"/>
        </w:rPr>
        <w:t xml:space="preserve">2019, </w:t>
      </w:r>
      <w:r>
        <w:rPr>
          <w:rFonts w:ascii="Calibri" w:hAnsi="Calibri" w:cs="Calibri" w:eastAsiaTheme="minorEastAsia"/>
          <w:b/>
          <w:kern w:val="2"/>
          <w:sz w:val="20"/>
          <w:szCs w:val="24"/>
          <w:lang w:val="en-US" w:eastAsia="zh-CN" w:bidi="ar-SA"/>
        </w:rPr>
        <w:t>14</w:t>
      </w:r>
      <w:r>
        <w:rPr>
          <w:rFonts w:ascii="Calibri" w:hAnsi="Calibri" w:cs="Calibri" w:eastAsiaTheme="minorEastAsia"/>
          <w:kern w:val="2"/>
          <w:sz w:val="20"/>
          <w:szCs w:val="24"/>
          <w:lang w:val="en-US" w:eastAsia="zh-CN" w:bidi="ar-SA"/>
        </w:rPr>
        <w:t>(7):1106-1115.</w:t>
      </w:r>
    </w:p>
    <w:p w14:paraId="21BBB724">
      <w:pPr>
        <w:pStyle w:val="16"/>
        <w:bidi w:val="0"/>
        <w:ind w:left="720" w:hanging="720"/>
        <w:rPr>
          <w:rFonts w:hint="eastAsia" w:ascii="Calibri" w:hAnsi="Calibri" w:cs="Calibri" w:eastAsiaTheme="minorEastAsia"/>
          <w:b/>
          <w:kern w:val="2"/>
          <w:sz w:val="20"/>
          <w:szCs w:val="24"/>
          <w:lang w:val="en-US" w:eastAsia="zh-CN" w:bidi="ar-SA"/>
        </w:rPr>
      </w:pPr>
      <w:r>
        <w:rPr>
          <w:rFonts w:ascii="Calibri" w:hAnsi="Calibri" w:cs="Calibri" w:eastAsiaTheme="minorEastAsia"/>
          <w:kern w:val="2"/>
          <w:sz w:val="20"/>
          <w:szCs w:val="24"/>
          <w:lang w:val="en-US" w:eastAsia="zh-CN" w:bidi="ar-SA"/>
        </w:rPr>
        <w:t>21.</w:t>
      </w:r>
      <w:r>
        <w:rPr>
          <w:rFonts w:ascii="Calibri" w:hAnsi="Calibri" w:cs="Calibri" w:eastAsiaTheme="minorEastAsia"/>
          <w:kern w:val="2"/>
          <w:sz w:val="20"/>
          <w:szCs w:val="24"/>
          <w:lang w:val="en-US" w:eastAsia="zh-CN" w:bidi="ar-SA"/>
        </w:rPr>
        <w:tab/>
      </w:r>
      <w:r>
        <w:rPr>
          <w:rFonts w:hint="eastAsia" w:ascii="Calibri" w:hAnsi="Calibri" w:cs="Calibri" w:eastAsiaTheme="minorEastAsia"/>
          <w:kern w:val="2"/>
          <w:sz w:val="20"/>
          <w:szCs w:val="24"/>
          <w:lang w:val="en-US" w:eastAsia="zh-CN" w:bidi="ar-SA"/>
        </w:rPr>
        <w:t>Levy, M., Geller, R. &amp; Hymovitch, S</w:t>
      </w:r>
      <w:r>
        <w:rPr>
          <w:rFonts w:hint="eastAsia" w:ascii="Calibri" w:hAnsi="Calibri" w:cs="Calibri" w:eastAsiaTheme="minorEastAsia"/>
          <w:b/>
          <w:kern w:val="2"/>
          <w:sz w:val="20"/>
          <w:szCs w:val="24"/>
          <w:lang w:val="en-US" w:eastAsia="zh-CN" w:bidi="ar-SA"/>
        </w:rPr>
        <w:t xml:space="preserve">: Renal failure in dogs with experimental acute pancreatitis: role of hypovolemia. </w:t>
      </w:r>
      <w:r>
        <w:rPr>
          <w:rFonts w:hint="eastAsia" w:ascii="Calibri" w:hAnsi="Calibri" w:cs="Calibri" w:eastAsiaTheme="minorEastAsia"/>
          <w:kern w:val="2"/>
          <w:sz w:val="20"/>
          <w:szCs w:val="24"/>
          <w:lang w:val="en-US" w:eastAsia="zh-CN" w:bidi="ar-SA"/>
        </w:rPr>
        <w:t>American Physiological Society. 1986;F969-977.</w:t>
      </w:r>
    </w:p>
    <w:p w14:paraId="2B9B3AAF">
      <w:pPr>
        <w:ind w:left="800" w:hanging="800" w:hangingChars="400"/>
        <w:rPr>
          <w:rFonts w:ascii="Calibri" w:hAnsi="Calibri" w:cs="Calibri" w:eastAsiaTheme="minorEastAsia"/>
          <w:kern w:val="2"/>
          <w:sz w:val="20"/>
          <w:szCs w:val="24"/>
          <w:highlight w:val="none"/>
          <w:lang w:val="en-US" w:eastAsia="zh-CN" w:bidi="ar-SA"/>
        </w:rPr>
      </w:pPr>
      <w:r>
        <w:rPr>
          <w:rFonts w:ascii="Calibri" w:hAnsi="Calibri" w:cs="Calibri" w:eastAsiaTheme="minorEastAsia"/>
          <w:kern w:val="2"/>
          <w:sz w:val="20"/>
          <w:szCs w:val="24"/>
          <w:lang w:val="en-US" w:eastAsia="zh-CN" w:bidi="ar-SA"/>
        </w:rPr>
        <w:t>22.</w:t>
      </w:r>
      <w:r>
        <w:rPr>
          <w:rFonts w:hint="eastAsia" w:ascii="Calibri" w:hAnsi="Calibri" w:cs="Calibri"/>
          <w:kern w:val="2"/>
          <w:sz w:val="20"/>
          <w:szCs w:val="24"/>
          <w:lang w:val="en-US" w:eastAsia="zh-CN" w:bidi="ar-SA"/>
        </w:rPr>
        <w:t xml:space="preserve">     </w:t>
      </w:r>
      <w:r>
        <w:rPr>
          <w:rFonts w:hint="eastAsia" w:ascii="Calibri" w:hAnsi="Calibri" w:cs="Calibri" w:eastAsiaTheme="minorEastAsia"/>
          <w:kern w:val="2"/>
          <w:sz w:val="20"/>
          <w:szCs w:val="24"/>
          <w:highlight w:val="none"/>
          <w:lang w:val="en-US" w:eastAsia="zh-CN" w:bidi="ar-SA"/>
        </w:rPr>
        <w:t>Satake, K. et al</w:t>
      </w:r>
      <w:r>
        <w:rPr>
          <w:rFonts w:hint="eastAsia" w:ascii="Calibri" w:hAnsi="Calibri" w:cs="Calibri"/>
          <w:kern w:val="2"/>
          <w:sz w:val="20"/>
          <w:szCs w:val="24"/>
          <w:highlight w:val="none"/>
          <w:lang w:val="en-US" w:eastAsia="zh-CN" w:bidi="ar-SA"/>
        </w:rPr>
        <w:t>:</w:t>
      </w:r>
      <w:r>
        <w:rPr>
          <w:rFonts w:hint="eastAsia" w:ascii="Calibri" w:hAnsi="Calibri" w:cs="Calibri" w:eastAsiaTheme="minorEastAsia"/>
          <w:kern w:val="2"/>
          <w:sz w:val="20"/>
          <w:szCs w:val="24"/>
          <w:highlight w:val="none"/>
          <w:lang w:val="en-US" w:eastAsia="zh-CN" w:bidi="ar-SA"/>
        </w:rPr>
        <w:t xml:space="preserve"> </w:t>
      </w:r>
      <w:r>
        <w:rPr>
          <w:rFonts w:hint="eastAsia" w:ascii="Calibri" w:hAnsi="Calibri" w:cs="Calibri" w:eastAsiaTheme="minorEastAsia"/>
          <w:b/>
          <w:bCs/>
          <w:kern w:val="2"/>
          <w:sz w:val="20"/>
          <w:szCs w:val="24"/>
          <w:highlight w:val="none"/>
          <w:lang w:val="en-US" w:eastAsia="zh-CN" w:bidi="ar-SA"/>
        </w:rPr>
        <w:t>Renal function in experimentally induced acute pancreatitis in dogs: how it is affected by the nephrotoxic substance in pancreatic exudate from ascitic fluid.</w:t>
      </w:r>
      <w:r>
        <w:rPr>
          <w:rFonts w:hint="eastAsia" w:ascii="Calibri" w:hAnsi="Calibri" w:cs="Calibri" w:eastAsiaTheme="minorEastAsia"/>
          <w:kern w:val="2"/>
          <w:sz w:val="20"/>
          <w:szCs w:val="24"/>
          <w:highlight w:val="none"/>
          <w:lang w:val="en-US" w:eastAsia="zh-CN" w:bidi="ar-SA"/>
        </w:rPr>
        <w:t xml:space="preserve"> J</w:t>
      </w:r>
      <w:r>
        <w:rPr>
          <w:rFonts w:hint="eastAsia" w:cs="Calibri"/>
          <w:kern w:val="2"/>
          <w:sz w:val="20"/>
          <w:szCs w:val="24"/>
          <w:highlight w:val="none"/>
          <w:lang w:val="en-US" w:eastAsia="zh-CN" w:bidi="ar-SA"/>
        </w:rPr>
        <w:t>apanese</w:t>
      </w:r>
      <w:r>
        <w:rPr>
          <w:rFonts w:hint="eastAsia" w:ascii="Calibri" w:hAnsi="Calibri" w:cs="Calibri" w:eastAsiaTheme="minorEastAsia"/>
          <w:kern w:val="2"/>
          <w:sz w:val="20"/>
          <w:szCs w:val="24"/>
          <w:highlight w:val="none"/>
          <w:lang w:val="en-US" w:eastAsia="zh-CN" w:bidi="ar-SA"/>
        </w:rPr>
        <w:t xml:space="preserve"> J</w:t>
      </w:r>
      <w:r>
        <w:rPr>
          <w:rFonts w:hint="eastAsia" w:cs="Calibri"/>
          <w:kern w:val="2"/>
          <w:sz w:val="20"/>
          <w:szCs w:val="24"/>
          <w:highlight w:val="none"/>
          <w:lang w:val="en-US" w:eastAsia="zh-CN" w:bidi="ar-SA"/>
        </w:rPr>
        <w:t>ournal</w:t>
      </w:r>
      <w:r>
        <w:rPr>
          <w:rFonts w:hint="eastAsia" w:ascii="Calibri" w:hAnsi="Calibri" w:cs="Calibri" w:eastAsiaTheme="minorEastAsia"/>
          <w:kern w:val="2"/>
          <w:sz w:val="20"/>
          <w:szCs w:val="24"/>
          <w:highlight w:val="none"/>
          <w:lang w:val="en-US" w:eastAsia="zh-CN" w:bidi="ar-SA"/>
        </w:rPr>
        <w:t xml:space="preserve"> </w:t>
      </w:r>
      <w:r>
        <w:rPr>
          <w:rFonts w:hint="eastAsia" w:cs="Calibri"/>
          <w:kern w:val="2"/>
          <w:sz w:val="20"/>
          <w:szCs w:val="24"/>
          <w:highlight w:val="none"/>
          <w:lang w:val="en-US" w:eastAsia="zh-CN" w:bidi="ar-SA"/>
        </w:rPr>
        <w:t>of</w:t>
      </w:r>
      <w:r>
        <w:rPr>
          <w:rFonts w:hint="eastAsia" w:ascii="Calibri" w:hAnsi="Calibri" w:cs="Calibri" w:eastAsiaTheme="minorEastAsia"/>
          <w:kern w:val="2"/>
          <w:sz w:val="20"/>
          <w:szCs w:val="24"/>
          <w:highlight w:val="none"/>
          <w:lang w:val="en-US" w:eastAsia="zh-CN" w:bidi="ar-SA"/>
        </w:rPr>
        <w:t xml:space="preserve"> S</w:t>
      </w:r>
      <w:r>
        <w:rPr>
          <w:rFonts w:hint="eastAsia" w:cs="Calibri"/>
          <w:kern w:val="2"/>
          <w:sz w:val="20"/>
          <w:szCs w:val="24"/>
          <w:highlight w:val="none"/>
          <w:lang w:val="en-US" w:eastAsia="zh-CN" w:bidi="ar-SA"/>
        </w:rPr>
        <w:t>urger</w:t>
      </w:r>
      <w:r>
        <w:rPr>
          <w:rFonts w:hint="eastAsia" w:ascii="Calibri" w:hAnsi="Calibri" w:cs="Calibri" w:eastAsiaTheme="minorEastAsia"/>
          <w:kern w:val="2"/>
          <w:sz w:val="20"/>
          <w:szCs w:val="24"/>
          <w:highlight w:val="none"/>
          <w:lang w:val="en-US" w:eastAsia="zh-CN" w:bidi="ar-SA"/>
        </w:rPr>
        <w:t>. 1991; Volume 21:88-95</w:t>
      </w:r>
      <w:r>
        <w:rPr>
          <w:rFonts w:hint="eastAsia" w:ascii="Calibri" w:hAnsi="Calibri" w:cs="Calibri"/>
          <w:kern w:val="2"/>
          <w:sz w:val="20"/>
          <w:szCs w:val="24"/>
          <w:highlight w:val="none"/>
          <w:lang w:val="en-US" w:eastAsia="zh-CN" w:bidi="ar-SA"/>
        </w:rPr>
        <w:t>.</w:t>
      </w:r>
    </w:p>
    <w:p w14:paraId="73089F56">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23.</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Haines RW, Zolfaghari P, Wan Y, Pearse RM, Puthucheary Z, Prowle JR: </w:t>
      </w:r>
      <w:r>
        <w:rPr>
          <w:rFonts w:ascii="Calibri" w:hAnsi="Calibri" w:cs="Calibri" w:eastAsiaTheme="minorEastAsia"/>
          <w:b/>
          <w:kern w:val="2"/>
          <w:sz w:val="20"/>
          <w:szCs w:val="24"/>
          <w:lang w:val="en-US" w:eastAsia="zh-CN" w:bidi="ar-SA"/>
        </w:rPr>
        <w:t>Elevated urea-to-creatinine ratio provides a biochemical signature of muscle catabolism and persistent critical illness after major trauma</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Intensive Care Medicine </w:t>
      </w:r>
      <w:r>
        <w:rPr>
          <w:rFonts w:ascii="Calibri" w:hAnsi="Calibri" w:cs="Calibri" w:eastAsiaTheme="minorEastAsia"/>
          <w:kern w:val="2"/>
          <w:sz w:val="20"/>
          <w:szCs w:val="24"/>
          <w:lang w:val="en-US" w:eastAsia="zh-CN" w:bidi="ar-SA"/>
        </w:rPr>
        <w:t xml:space="preserve">2019, </w:t>
      </w:r>
      <w:r>
        <w:rPr>
          <w:rFonts w:ascii="Calibri" w:hAnsi="Calibri" w:cs="Calibri" w:eastAsiaTheme="minorEastAsia"/>
          <w:b/>
          <w:kern w:val="2"/>
          <w:sz w:val="20"/>
          <w:szCs w:val="24"/>
          <w:lang w:val="en-US" w:eastAsia="zh-CN" w:bidi="ar-SA"/>
        </w:rPr>
        <w:t>45</w:t>
      </w:r>
      <w:r>
        <w:rPr>
          <w:rFonts w:ascii="Calibri" w:hAnsi="Calibri" w:cs="Calibri" w:eastAsiaTheme="minorEastAsia"/>
          <w:kern w:val="2"/>
          <w:sz w:val="20"/>
          <w:szCs w:val="24"/>
          <w:lang w:val="en-US" w:eastAsia="zh-CN" w:bidi="ar-SA"/>
        </w:rPr>
        <w:t>(12):1718-1731.</w:t>
      </w:r>
    </w:p>
    <w:p w14:paraId="6C8E1748">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24.</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 xml:space="preserve">Roca-Ho H, Palau V, Gimeno J, Pascual J, Soler MJ, Riera M: </w:t>
      </w:r>
      <w:r>
        <w:rPr>
          <w:rFonts w:ascii="Calibri" w:hAnsi="Calibri" w:cs="Calibri" w:eastAsiaTheme="minorEastAsia"/>
          <w:b/>
          <w:kern w:val="2"/>
          <w:sz w:val="20"/>
          <w:szCs w:val="24"/>
          <w:lang w:val="en-US" w:eastAsia="zh-CN" w:bidi="ar-SA"/>
        </w:rPr>
        <w:t>Angiotensin-converting enzyme 2 influences pancreatic and renal function in diabetic mice</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Laboratory Investigation </w:t>
      </w:r>
      <w:r>
        <w:rPr>
          <w:rFonts w:ascii="Calibri" w:hAnsi="Calibri" w:cs="Calibri" w:eastAsiaTheme="minorEastAsia"/>
          <w:kern w:val="2"/>
          <w:sz w:val="20"/>
          <w:szCs w:val="24"/>
          <w:lang w:val="en-US" w:eastAsia="zh-CN" w:bidi="ar-SA"/>
        </w:rPr>
        <w:t xml:space="preserve">2020, </w:t>
      </w:r>
      <w:r>
        <w:rPr>
          <w:rFonts w:ascii="Calibri" w:hAnsi="Calibri" w:cs="Calibri" w:eastAsiaTheme="minorEastAsia"/>
          <w:b/>
          <w:kern w:val="2"/>
          <w:sz w:val="20"/>
          <w:szCs w:val="24"/>
          <w:lang w:val="en-US" w:eastAsia="zh-CN" w:bidi="ar-SA"/>
        </w:rPr>
        <w:t>100</w:t>
      </w:r>
      <w:r>
        <w:rPr>
          <w:rFonts w:ascii="Calibri" w:hAnsi="Calibri" w:cs="Calibri" w:eastAsiaTheme="minorEastAsia"/>
          <w:kern w:val="2"/>
          <w:sz w:val="20"/>
          <w:szCs w:val="24"/>
          <w:lang w:val="en-US" w:eastAsia="zh-CN" w:bidi="ar-SA"/>
        </w:rPr>
        <w:t>(9):1169-1183.</w:t>
      </w:r>
    </w:p>
    <w:p w14:paraId="40B3E8DA">
      <w:pPr>
        <w:pStyle w:val="16"/>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25.</w:t>
      </w:r>
      <w:r>
        <w:rPr>
          <w:rFonts w:ascii="Calibri" w:hAnsi="Calibri" w:cs="Calibri" w:eastAsiaTheme="minorEastAsia"/>
          <w:kern w:val="2"/>
          <w:sz w:val="20"/>
          <w:szCs w:val="24"/>
          <w:lang w:val="en-US" w:eastAsia="zh-CN" w:bidi="ar-SA"/>
        </w:rPr>
        <w:tab/>
      </w:r>
      <w:r>
        <w:rPr>
          <w:rFonts w:ascii="Calibri" w:hAnsi="Calibri" w:cs="Calibri" w:eastAsiaTheme="minorEastAsia"/>
          <w:kern w:val="2"/>
          <w:sz w:val="20"/>
          <w:szCs w:val="24"/>
          <w:lang w:val="en-US" w:eastAsia="zh-CN" w:bidi="ar-SA"/>
        </w:rPr>
        <w:t>Zuo Y, Xia Z, Chen S, Chu L, Zhang Y, Li Y, Zheng M, Xu G, He Y, Wu S</w:t>
      </w:r>
      <w:r>
        <w:rPr>
          <w:rFonts w:ascii="Calibri" w:hAnsi="Calibri" w:cs="Calibri" w:eastAsiaTheme="minorEastAsia"/>
          <w:i/>
          <w:kern w:val="2"/>
          <w:sz w:val="20"/>
          <w:szCs w:val="24"/>
          <w:lang w:val="en-US" w:eastAsia="zh-CN" w:bidi="ar-SA"/>
        </w:rPr>
        <w:t xml:space="preserve"> et al</w:t>
      </w:r>
      <w:r>
        <w:rPr>
          <w:rFonts w:ascii="Calibri" w:hAnsi="Calibri" w:cs="Calibri" w:eastAsiaTheme="minorEastAsia"/>
          <w:kern w:val="2"/>
          <w:sz w:val="20"/>
          <w:szCs w:val="24"/>
          <w:lang w:val="en-US" w:eastAsia="zh-CN" w:bidi="ar-SA"/>
        </w:rPr>
        <w:t xml:space="preserve">: </w:t>
      </w:r>
      <w:r>
        <w:rPr>
          <w:rFonts w:ascii="Calibri" w:hAnsi="Calibri" w:cs="Calibri" w:eastAsiaTheme="minorEastAsia"/>
          <w:b/>
          <w:kern w:val="2"/>
          <w:sz w:val="20"/>
          <w:szCs w:val="24"/>
          <w:lang w:val="en-US" w:eastAsia="zh-CN" w:bidi="ar-SA"/>
        </w:rPr>
        <w:t>Sex- and metabolic-specific association between cumulative body mass index and incident chronic kidney disease: A prospective community-based cohort study</w:t>
      </w:r>
      <w:r>
        <w:rPr>
          <w:rFonts w:ascii="Calibri" w:hAnsi="Calibri" w:cs="Calibri" w:eastAsiaTheme="minorEastAsia"/>
          <w:kern w:val="2"/>
          <w:sz w:val="20"/>
          <w:szCs w:val="24"/>
          <w:lang w:val="en-US" w:eastAsia="zh-CN" w:bidi="ar-SA"/>
        </w:rPr>
        <w:t xml:space="preserve">. </w:t>
      </w:r>
      <w:r>
        <w:rPr>
          <w:rFonts w:ascii="Calibri" w:hAnsi="Calibri" w:cs="Calibri" w:eastAsiaTheme="minorEastAsia"/>
          <w:i/>
          <w:kern w:val="2"/>
          <w:sz w:val="20"/>
          <w:szCs w:val="24"/>
          <w:lang w:val="en-US" w:eastAsia="zh-CN" w:bidi="ar-SA"/>
        </w:rPr>
        <w:t xml:space="preserve">Nutrition, Metabolism and Cardiovascular Diseases </w:t>
      </w:r>
      <w:r>
        <w:rPr>
          <w:rFonts w:ascii="Calibri" w:hAnsi="Calibri" w:cs="Calibri" w:eastAsiaTheme="minorEastAsia"/>
          <w:kern w:val="2"/>
          <w:sz w:val="20"/>
          <w:szCs w:val="24"/>
          <w:lang w:val="en-US" w:eastAsia="zh-CN" w:bidi="ar-SA"/>
        </w:rPr>
        <w:t xml:space="preserve">2025, </w:t>
      </w:r>
      <w:r>
        <w:rPr>
          <w:rFonts w:ascii="Calibri" w:hAnsi="Calibri" w:cs="Calibri" w:eastAsiaTheme="minorEastAsia"/>
          <w:b/>
          <w:kern w:val="2"/>
          <w:sz w:val="20"/>
          <w:szCs w:val="24"/>
          <w:lang w:val="en-US" w:eastAsia="zh-CN" w:bidi="ar-SA"/>
        </w:rPr>
        <w:t>35</w:t>
      </w:r>
      <w:r>
        <w:rPr>
          <w:rFonts w:ascii="Calibri" w:hAnsi="Calibri" w:cs="Calibri" w:eastAsiaTheme="minorEastAsia"/>
          <w:kern w:val="2"/>
          <w:sz w:val="20"/>
          <w:szCs w:val="24"/>
          <w:lang w:val="en-US" w:eastAsia="zh-CN" w:bidi="ar-SA"/>
        </w:rPr>
        <w:t>(3).</w:t>
      </w:r>
    </w:p>
    <w:p w14:paraId="79939EAA">
      <w:pPr>
        <w:rPr>
          <w:rFonts w:hint="eastAsia" w:eastAsiaTheme="minorEastAsia"/>
          <w:lang w:eastAsia="zh-CN"/>
        </w:rPr>
      </w:pPr>
      <w:r>
        <w:rPr>
          <w:rFonts w:hint="eastAsia" w:eastAsiaTheme="minorEastAsia"/>
          <w:lang w:eastAsia="zh-CN"/>
        </w:rPr>
        <w:fldChar w:fldCharType="end"/>
      </w:r>
    </w:p>
    <w:p w14:paraId="1616B12B">
      <w:pPr>
        <w:rPr>
          <w:rFonts w:hint="eastAsia" w:eastAsiaTheme="minorEastAsia"/>
          <w:lang w:val="en-US" w:eastAsia="zh-CN"/>
        </w:rPr>
      </w:pPr>
    </w:p>
    <w:p w14:paraId="267AB712"/>
    <w:p w14:paraId="00D6EF4A">
      <w:pPr>
        <w:rPr>
          <w:rFonts w:hint="eastAsia" w:eastAsiaTheme="minorEastAsia"/>
          <w:lang w:eastAsia="zh-CN"/>
        </w:rPr>
      </w:pPr>
    </w:p>
    <w:p w14:paraId="224307D4">
      <w:pPr>
        <w:rPr>
          <w:rFonts w:hint="eastAsia" w:eastAsiaTheme="minorEastAsia"/>
          <w:lang w:eastAsia="zh-CN"/>
        </w:rPr>
      </w:pPr>
    </w:p>
    <w:p w14:paraId="7297BDB6">
      <w:pPr>
        <w:rPr>
          <w:rFonts w:hint="eastAsia" w:eastAsiaTheme="minorEastAsia"/>
          <w:lang w:eastAsia="zh-CN"/>
        </w:rPr>
      </w:pPr>
    </w:p>
    <w:p w14:paraId="26FA22F9">
      <w:pPr>
        <w:rPr>
          <w:rFonts w:hint="eastAsia" w:eastAsiaTheme="minorEastAsia"/>
          <w:lang w:eastAsia="zh-CN"/>
        </w:rPr>
      </w:pPr>
    </w:p>
    <w:p w14:paraId="51147B14">
      <w:pPr>
        <w:rPr>
          <w:rFonts w:hint="eastAsia" w:eastAsiaTheme="minorEastAsia"/>
          <w:lang w:eastAsia="zh-CN"/>
        </w:rPr>
      </w:pPr>
    </w:p>
    <w:p w14:paraId="2BABFA60">
      <w:pPr>
        <w:rPr>
          <w:rFonts w:hint="eastAsia" w:eastAsiaTheme="minorEastAsia"/>
          <w:lang w:eastAsia="zh-CN"/>
        </w:rPr>
      </w:pPr>
    </w:p>
    <w:p w14:paraId="192E555C">
      <w:pPr>
        <w:rPr>
          <w:rFonts w:hint="eastAsia" w:eastAsiaTheme="minorEastAsia"/>
          <w:lang w:eastAsia="zh-CN"/>
        </w:rPr>
      </w:pPr>
    </w:p>
    <w:p w14:paraId="6E956990">
      <w:pPr>
        <w:rPr>
          <w:rFonts w:hint="eastAsia" w:eastAsiaTheme="minorEastAsia"/>
          <w:lang w:eastAsia="zh-CN"/>
        </w:rPr>
      </w:pPr>
    </w:p>
    <w:p w14:paraId="70FAD548">
      <w:pPr>
        <w:rPr>
          <w:rFonts w:hint="eastAsia" w:eastAsiaTheme="minorEastAsia"/>
          <w:lang w:eastAsia="zh-CN"/>
        </w:rPr>
      </w:pPr>
    </w:p>
    <w:p w14:paraId="4EC39EDA">
      <w:pPr>
        <w:rPr>
          <w:rFonts w:hint="eastAsia" w:eastAsiaTheme="minorEastAsia"/>
          <w:lang w:eastAsia="zh-CN"/>
        </w:rPr>
      </w:pPr>
    </w:p>
    <w:p w14:paraId="6FAB98CD">
      <w:pPr>
        <w:rPr>
          <w:rFonts w:hint="eastAsia" w:eastAsiaTheme="minorEastAsia"/>
          <w:lang w:eastAsia="zh-CN"/>
        </w:rPr>
      </w:pPr>
    </w:p>
    <w:p w14:paraId="5983E2DD">
      <w:pPr>
        <w:rPr>
          <w:rFonts w:hint="eastAsia" w:eastAsiaTheme="minorEastAsia"/>
          <w:lang w:eastAsia="zh-CN"/>
        </w:rPr>
      </w:pPr>
    </w:p>
    <w:p w14:paraId="39517483">
      <w:pPr>
        <w:keepNext w:val="0"/>
        <w:keepLines w:val="0"/>
        <w:pageBreakBefore w:val="0"/>
        <w:kinsoku/>
        <w:wordWrap/>
        <w:overflowPunct/>
        <w:topLinePunct w:val="0"/>
        <w:bidi w:val="0"/>
        <w:snapToGrid/>
        <w:spacing w:line="480" w:lineRule="auto"/>
        <w:textAlignment w:val="auto"/>
        <w:rPr>
          <w:rFonts w:hint="eastAsia" w:eastAsiaTheme="minorEastAsia"/>
          <w:lang w:eastAsia="zh-CN"/>
        </w:rPr>
      </w:pPr>
      <w:r>
        <w:rPr>
          <w:rFonts w:hint="eastAsia" w:ascii="Times New Roman" w:hAnsi="Times New Roman" w:cs="Times New Roman" w:eastAsiaTheme="minorEastAsia"/>
          <w:b/>
          <w:bCs/>
          <w:kern w:val="2"/>
          <w:sz w:val="24"/>
          <w:szCs w:val="24"/>
          <w:lang w:val="en-US" w:eastAsia="zh-CN" w:bidi="ar-SA"/>
        </w:rPr>
        <w:t>Table1</w:t>
      </w:r>
      <w:r>
        <w:rPr>
          <w:rFonts w:hint="eastAsia" w:ascii="Times New Roman" w:hAnsi="Times New Roman" w:cs="Times New Roman" w:eastAsiaTheme="minorEastAsia"/>
          <w:kern w:val="2"/>
          <w:sz w:val="24"/>
          <w:szCs w:val="24"/>
          <w:lang w:val="en-US" w:eastAsia="zh-CN" w:bidi="ar-SA"/>
        </w:rPr>
        <w:t xml:space="preserve"> Baseline characteristics of patients grouped according to BCR trajectory</w:t>
      </w:r>
    </w:p>
    <w:tbl>
      <w:tblPr>
        <w:tblStyle w:val="9"/>
        <w:tblW w:w="10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32" w:type="dxa"/>
          <w:left w:w="64" w:type="dxa"/>
          <w:bottom w:w="32" w:type="dxa"/>
          <w:right w:w="64" w:type="dxa"/>
        </w:tblCellMar>
      </w:tblPr>
      <w:tblGrid>
        <w:gridCol w:w="2521"/>
        <w:gridCol w:w="1968"/>
        <w:gridCol w:w="1968"/>
        <w:gridCol w:w="1968"/>
        <w:gridCol w:w="1968"/>
        <w:gridCol w:w="902"/>
      </w:tblGrid>
      <w:tr w14:paraId="3010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single" w:color="auto" w:sz="12" w:space="0"/>
              <w:left w:val="nil"/>
              <w:bottom w:val="single" w:color="auto" w:sz="12" w:space="0"/>
              <w:right w:val="nil"/>
            </w:tcBorders>
            <w:vAlign w:val="center"/>
          </w:tcPr>
          <w:p w14:paraId="2D10187E">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Variables</w:t>
            </w:r>
          </w:p>
        </w:tc>
        <w:tc>
          <w:tcPr>
            <w:tcW w:w="1738" w:type="dxa"/>
            <w:tcBorders>
              <w:top w:val="single" w:color="auto" w:sz="12" w:space="0"/>
              <w:left w:val="nil"/>
              <w:bottom w:val="single" w:color="auto" w:sz="12" w:space="0"/>
              <w:right w:val="nil"/>
            </w:tcBorders>
            <w:vAlign w:val="center"/>
          </w:tcPr>
          <w:p w14:paraId="45CB8D97">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Class1(N=271)</w:t>
            </w:r>
          </w:p>
        </w:tc>
        <w:tc>
          <w:tcPr>
            <w:tcW w:w="1738" w:type="dxa"/>
            <w:tcBorders>
              <w:top w:val="single" w:color="auto" w:sz="12" w:space="0"/>
              <w:left w:val="nil"/>
              <w:bottom w:val="single" w:color="auto" w:sz="12" w:space="0"/>
              <w:right w:val="nil"/>
            </w:tcBorders>
            <w:vAlign w:val="center"/>
          </w:tcPr>
          <w:p w14:paraId="3E5EC6EA">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Class2(N=241)</w:t>
            </w:r>
          </w:p>
        </w:tc>
        <w:tc>
          <w:tcPr>
            <w:tcW w:w="1738" w:type="dxa"/>
            <w:tcBorders>
              <w:top w:val="single" w:color="auto" w:sz="12" w:space="0"/>
              <w:left w:val="nil"/>
              <w:bottom w:val="single" w:color="auto" w:sz="12" w:space="0"/>
              <w:right w:val="nil"/>
            </w:tcBorders>
            <w:vAlign w:val="center"/>
          </w:tcPr>
          <w:p w14:paraId="219D144C">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Class3(N=13)</w:t>
            </w:r>
          </w:p>
        </w:tc>
        <w:tc>
          <w:tcPr>
            <w:tcW w:w="1738" w:type="dxa"/>
            <w:tcBorders>
              <w:top w:val="single" w:color="auto" w:sz="12" w:space="0"/>
              <w:left w:val="nil"/>
              <w:bottom w:val="single" w:color="auto" w:sz="12" w:space="0"/>
              <w:right w:val="nil"/>
            </w:tcBorders>
            <w:vAlign w:val="center"/>
          </w:tcPr>
          <w:p w14:paraId="1D0F1174">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Class4(N=81)</w:t>
            </w:r>
          </w:p>
        </w:tc>
        <w:tc>
          <w:tcPr>
            <w:tcW w:w="805" w:type="dxa"/>
            <w:tcBorders>
              <w:top w:val="single" w:color="auto" w:sz="12" w:space="0"/>
              <w:left w:val="nil"/>
              <w:bottom w:val="single" w:color="auto" w:sz="12" w:space="0"/>
              <w:right w:val="nil"/>
            </w:tcBorders>
            <w:vAlign w:val="center"/>
          </w:tcPr>
          <w:p w14:paraId="2ED1BE7F">
            <w:pPr>
              <w:keepNext w:val="0"/>
              <w:keepLines w:val="0"/>
              <w:pageBreakBefore w:val="0"/>
              <w:kinsoku/>
              <w:wordWrap/>
              <w:overflowPunct/>
              <w:topLinePunct w:val="0"/>
              <w:bidi w:val="0"/>
              <w:snapToGrid/>
              <w:spacing w:line="480" w:lineRule="auto"/>
              <w:textAlignment w:val="auto"/>
              <w:rPr>
                <w:rFonts w:ascii="Times New Roman" w:hAnsi="Times New Roman" w:cs="Times New Roman"/>
                <w:b/>
                <w:bCs/>
                <w:sz w:val="24"/>
                <w:szCs w:val="24"/>
              </w:rPr>
            </w:pPr>
            <w:r>
              <w:rPr>
                <w:rFonts w:ascii="Times New Roman" w:hAnsi="Times New Roman" w:cs="Times New Roman"/>
                <w:b/>
                <w:bCs/>
                <w:sz w:val="24"/>
                <w:szCs w:val="24"/>
              </w:rPr>
              <w:t>P-value</w:t>
            </w:r>
          </w:p>
        </w:tc>
      </w:tr>
      <w:tr w14:paraId="03DD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single" w:color="auto" w:sz="12" w:space="0"/>
              <w:left w:val="nil"/>
              <w:bottom w:val="nil"/>
              <w:right w:val="nil"/>
            </w:tcBorders>
            <w:vAlign w:val="center"/>
          </w:tcPr>
          <w:p w14:paraId="6F33981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Age,Years</w:t>
            </w:r>
          </w:p>
        </w:tc>
        <w:tc>
          <w:tcPr>
            <w:tcW w:w="1738" w:type="dxa"/>
            <w:tcBorders>
              <w:top w:val="single" w:color="auto" w:sz="12" w:space="0"/>
              <w:left w:val="nil"/>
              <w:bottom w:val="nil"/>
              <w:right w:val="nil"/>
            </w:tcBorders>
            <w:vAlign w:val="center"/>
          </w:tcPr>
          <w:p w14:paraId="42D99CE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66.0(54.0.78.0)</w:t>
            </w:r>
          </w:p>
        </w:tc>
        <w:tc>
          <w:tcPr>
            <w:tcW w:w="1738" w:type="dxa"/>
            <w:tcBorders>
              <w:top w:val="single" w:color="auto" w:sz="12" w:space="0"/>
              <w:left w:val="nil"/>
              <w:bottom w:val="nil"/>
              <w:right w:val="nil"/>
            </w:tcBorders>
            <w:vAlign w:val="center"/>
          </w:tcPr>
          <w:p w14:paraId="3BAC8C0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54.0(43.0,68.0)</w:t>
            </w:r>
          </w:p>
        </w:tc>
        <w:tc>
          <w:tcPr>
            <w:tcW w:w="1738" w:type="dxa"/>
            <w:tcBorders>
              <w:top w:val="single" w:color="auto" w:sz="12" w:space="0"/>
              <w:left w:val="nil"/>
              <w:bottom w:val="nil"/>
              <w:right w:val="nil"/>
            </w:tcBorders>
            <w:vAlign w:val="center"/>
          </w:tcPr>
          <w:p w14:paraId="7236A6F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54.0(44.0,70.0)</w:t>
            </w:r>
          </w:p>
        </w:tc>
        <w:tc>
          <w:tcPr>
            <w:tcW w:w="1738" w:type="dxa"/>
            <w:tcBorders>
              <w:top w:val="single" w:color="auto" w:sz="12" w:space="0"/>
              <w:left w:val="nil"/>
              <w:bottom w:val="nil"/>
              <w:right w:val="nil"/>
            </w:tcBorders>
            <w:vAlign w:val="center"/>
          </w:tcPr>
          <w:p w14:paraId="6C00C5D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66.0(56.0,79.0)</w:t>
            </w:r>
          </w:p>
        </w:tc>
        <w:tc>
          <w:tcPr>
            <w:tcW w:w="805" w:type="dxa"/>
            <w:tcBorders>
              <w:top w:val="single" w:color="auto" w:sz="12" w:space="0"/>
              <w:left w:val="nil"/>
              <w:bottom w:val="nil"/>
              <w:right w:val="nil"/>
            </w:tcBorders>
            <w:vAlign w:val="center"/>
          </w:tcPr>
          <w:p w14:paraId="68D1D91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7F28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2289" w:type="dxa"/>
            <w:tcBorders>
              <w:top w:val="nil"/>
              <w:left w:val="nil"/>
              <w:bottom w:val="nil"/>
              <w:right w:val="nil"/>
            </w:tcBorders>
            <w:vAlign w:val="center"/>
          </w:tcPr>
          <w:p w14:paraId="0960215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Male,N(%)</w:t>
            </w:r>
          </w:p>
        </w:tc>
        <w:tc>
          <w:tcPr>
            <w:tcW w:w="1738" w:type="dxa"/>
            <w:tcBorders>
              <w:top w:val="nil"/>
              <w:left w:val="nil"/>
              <w:bottom w:val="nil"/>
              <w:right w:val="nil"/>
            </w:tcBorders>
            <w:vAlign w:val="center"/>
          </w:tcPr>
          <w:p w14:paraId="1C6AEBF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150(55.4%)</w:t>
            </w:r>
          </w:p>
        </w:tc>
        <w:tc>
          <w:tcPr>
            <w:tcW w:w="1738" w:type="dxa"/>
            <w:tcBorders>
              <w:top w:val="nil"/>
              <w:left w:val="nil"/>
              <w:bottom w:val="nil"/>
              <w:right w:val="nil"/>
            </w:tcBorders>
            <w:vAlign w:val="center"/>
          </w:tcPr>
          <w:p w14:paraId="32045A5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143(59.3%)</w:t>
            </w:r>
          </w:p>
        </w:tc>
        <w:tc>
          <w:tcPr>
            <w:tcW w:w="1738" w:type="dxa"/>
            <w:tcBorders>
              <w:top w:val="nil"/>
              <w:left w:val="nil"/>
              <w:bottom w:val="nil"/>
              <w:right w:val="nil"/>
            </w:tcBorders>
            <w:vAlign w:val="center"/>
          </w:tcPr>
          <w:p w14:paraId="3F70D04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5(38.5%)</w:t>
            </w:r>
          </w:p>
        </w:tc>
        <w:tc>
          <w:tcPr>
            <w:tcW w:w="1738" w:type="dxa"/>
            <w:tcBorders>
              <w:top w:val="nil"/>
              <w:left w:val="nil"/>
              <w:bottom w:val="nil"/>
              <w:right w:val="nil"/>
            </w:tcBorders>
            <w:vAlign w:val="center"/>
          </w:tcPr>
          <w:p w14:paraId="0C17416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41(50.6%)</w:t>
            </w:r>
          </w:p>
        </w:tc>
        <w:tc>
          <w:tcPr>
            <w:tcW w:w="805" w:type="dxa"/>
            <w:tcBorders>
              <w:top w:val="nil"/>
              <w:left w:val="nil"/>
              <w:bottom w:val="nil"/>
              <w:right w:val="nil"/>
            </w:tcBorders>
            <w:vAlign w:val="center"/>
          </w:tcPr>
          <w:p w14:paraId="0F07425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0.295</w:t>
            </w:r>
          </w:p>
        </w:tc>
      </w:tr>
      <w:tr w14:paraId="4EDE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734E37C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Hypertension,N(%)</w:t>
            </w:r>
          </w:p>
        </w:tc>
        <w:tc>
          <w:tcPr>
            <w:tcW w:w="1738" w:type="dxa"/>
            <w:tcBorders>
              <w:top w:val="nil"/>
              <w:left w:val="nil"/>
              <w:bottom w:val="nil"/>
              <w:right w:val="nil"/>
            </w:tcBorders>
            <w:vAlign w:val="center"/>
          </w:tcPr>
          <w:p w14:paraId="4668AA8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194(71.6%)</w:t>
            </w:r>
          </w:p>
        </w:tc>
        <w:tc>
          <w:tcPr>
            <w:tcW w:w="1738" w:type="dxa"/>
            <w:tcBorders>
              <w:top w:val="nil"/>
              <w:left w:val="nil"/>
              <w:bottom w:val="nil"/>
              <w:right w:val="nil"/>
            </w:tcBorders>
            <w:vAlign w:val="center"/>
          </w:tcPr>
          <w:p w14:paraId="6624C48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142(58.9%)</w:t>
            </w:r>
          </w:p>
        </w:tc>
        <w:tc>
          <w:tcPr>
            <w:tcW w:w="1738" w:type="dxa"/>
            <w:tcBorders>
              <w:top w:val="nil"/>
              <w:left w:val="nil"/>
              <w:bottom w:val="nil"/>
              <w:right w:val="nil"/>
            </w:tcBorders>
            <w:vAlign w:val="center"/>
          </w:tcPr>
          <w:p w14:paraId="2B4C588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9(69.2%)</w:t>
            </w:r>
          </w:p>
        </w:tc>
        <w:tc>
          <w:tcPr>
            <w:tcW w:w="1738" w:type="dxa"/>
            <w:tcBorders>
              <w:top w:val="nil"/>
              <w:left w:val="nil"/>
              <w:bottom w:val="nil"/>
              <w:right w:val="nil"/>
            </w:tcBorders>
            <w:vAlign w:val="center"/>
          </w:tcPr>
          <w:p w14:paraId="714A636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52(64.2%)</w:t>
            </w:r>
          </w:p>
        </w:tc>
        <w:tc>
          <w:tcPr>
            <w:tcW w:w="805" w:type="dxa"/>
            <w:tcBorders>
              <w:top w:val="nil"/>
              <w:left w:val="nil"/>
              <w:bottom w:val="nil"/>
              <w:right w:val="nil"/>
            </w:tcBorders>
            <w:vAlign w:val="center"/>
          </w:tcPr>
          <w:p w14:paraId="46AADC2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0.027</w:t>
            </w:r>
          </w:p>
        </w:tc>
      </w:tr>
      <w:tr w14:paraId="046E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09BFC5B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Diabetes,N(%)</w:t>
            </w:r>
          </w:p>
        </w:tc>
        <w:tc>
          <w:tcPr>
            <w:tcW w:w="1738" w:type="dxa"/>
            <w:tcBorders>
              <w:top w:val="nil"/>
              <w:left w:val="nil"/>
              <w:bottom w:val="nil"/>
              <w:right w:val="nil"/>
            </w:tcBorders>
            <w:vAlign w:val="center"/>
          </w:tcPr>
          <w:p w14:paraId="151F6A2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141(52.0%)</w:t>
            </w:r>
          </w:p>
        </w:tc>
        <w:tc>
          <w:tcPr>
            <w:tcW w:w="1738" w:type="dxa"/>
            <w:tcBorders>
              <w:top w:val="nil"/>
              <w:left w:val="nil"/>
              <w:bottom w:val="nil"/>
              <w:right w:val="nil"/>
            </w:tcBorders>
            <w:vAlign w:val="center"/>
          </w:tcPr>
          <w:p w14:paraId="4755BDC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87(36.1%)</w:t>
            </w:r>
          </w:p>
        </w:tc>
        <w:tc>
          <w:tcPr>
            <w:tcW w:w="1738" w:type="dxa"/>
            <w:tcBorders>
              <w:top w:val="nil"/>
              <w:left w:val="nil"/>
              <w:bottom w:val="nil"/>
              <w:right w:val="nil"/>
            </w:tcBorders>
            <w:vAlign w:val="center"/>
          </w:tcPr>
          <w:p w14:paraId="20F0ABB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5(38.5%)</w:t>
            </w:r>
          </w:p>
        </w:tc>
        <w:tc>
          <w:tcPr>
            <w:tcW w:w="1738" w:type="dxa"/>
            <w:tcBorders>
              <w:top w:val="nil"/>
              <w:left w:val="nil"/>
              <w:bottom w:val="nil"/>
              <w:right w:val="nil"/>
            </w:tcBorders>
            <w:vAlign w:val="center"/>
          </w:tcPr>
          <w:p w14:paraId="3AA58C1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47(58.0%)</w:t>
            </w:r>
          </w:p>
        </w:tc>
        <w:tc>
          <w:tcPr>
            <w:tcW w:w="805" w:type="dxa"/>
            <w:tcBorders>
              <w:top w:val="nil"/>
              <w:left w:val="nil"/>
              <w:bottom w:val="nil"/>
              <w:right w:val="nil"/>
            </w:tcBorders>
            <w:vAlign w:val="center"/>
          </w:tcPr>
          <w:p w14:paraId="3F8D6AA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3728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5CB2C0C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Heart Failure,N(%)</w:t>
            </w:r>
          </w:p>
        </w:tc>
        <w:tc>
          <w:tcPr>
            <w:tcW w:w="1738" w:type="dxa"/>
            <w:tcBorders>
              <w:top w:val="nil"/>
              <w:left w:val="nil"/>
              <w:bottom w:val="nil"/>
              <w:right w:val="nil"/>
            </w:tcBorders>
            <w:vAlign w:val="center"/>
          </w:tcPr>
          <w:p w14:paraId="1609410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104(38.4%)</w:t>
            </w:r>
          </w:p>
        </w:tc>
        <w:tc>
          <w:tcPr>
            <w:tcW w:w="1738" w:type="dxa"/>
            <w:tcBorders>
              <w:top w:val="nil"/>
              <w:left w:val="nil"/>
              <w:bottom w:val="nil"/>
              <w:right w:val="nil"/>
            </w:tcBorders>
            <w:vAlign w:val="center"/>
          </w:tcPr>
          <w:p w14:paraId="20BABAB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53(22.0%)</w:t>
            </w:r>
          </w:p>
        </w:tc>
        <w:tc>
          <w:tcPr>
            <w:tcW w:w="1738" w:type="dxa"/>
            <w:tcBorders>
              <w:top w:val="nil"/>
              <w:left w:val="nil"/>
              <w:bottom w:val="nil"/>
              <w:right w:val="nil"/>
            </w:tcBorders>
            <w:vAlign w:val="center"/>
          </w:tcPr>
          <w:p w14:paraId="5B6066E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3(23.1%)</w:t>
            </w:r>
          </w:p>
        </w:tc>
        <w:tc>
          <w:tcPr>
            <w:tcW w:w="1738" w:type="dxa"/>
            <w:tcBorders>
              <w:top w:val="nil"/>
              <w:left w:val="nil"/>
              <w:bottom w:val="nil"/>
              <w:right w:val="nil"/>
            </w:tcBorders>
            <w:vAlign w:val="center"/>
          </w:tcPr>
          <w:p w14:paraId="30331B4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33(40.7%)</w:t>
            </w:r>
          </w:p>
        </w:tc>
        <w:tc>
          <w:tcPr>
            <w:tcW w:w="805" w:type="dxa"/>
            <w:tcBorders>
              <w:top w:val="nil"/>
              <w:left w:val="nil"/>
              <w:bottom w:val="nil"/>
              <w:right w:val="nil"/>
            </w:tcBorders>
            <w:vAlign w:val="center"/>
          </w:tcPr>
          <w:p w14:paraId="5DC489B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4580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3A0A4A3B">
            <w:pPr>
              <w:keepNext w:val="0"/>
              <w:keepLines w:val="0"/>
              <w:pageBreakBefore w:val="0"/>
              <w:kinsoku/>
              <w:wordWrap/>
              <w:overflowPunct/>
              <w:topLinePunct w:val="0"/>
              <w:bidi w:val="0"/>
              <w:snapToGrid/>
              <w:spacing w:line="480" w:lineRule="auto"/>
              <w:textAlignment w:val="auto"/>
              <w:rPr>
                <w:rFonts w:hint="eastAsia" w:ascii="Times New Roman" w:hAnsi="Times New Roman" w:cs="Times New Roman"/>
                <w:sz w:val="24"/>
                <w:szCs w:val="24"/>
                <w:lang w:val="en-US" w:eastAsia="zh-CN"/>
              </w:rPr>
            </w:pPr>
            <w:r>
              <w:rPr>
                <w:rFonts w:ascii="Times New Roman" w:hAnsi="Times New Roman" w:cs="Times New Roman"/>
                <w:sz w:val="24"/>
                <w:szCs w:val="24"/>
              </w:rPr>
              <w:t>Chronic Pulmonary</w:t>
            </w:r>
            <w:r>
              <w:rPr>
                <w:rFonts w:hint="eastAsia" w:ascii="Times New Roman" w:hAnsi="Times New Roman" w:cs="Times New Roman"/>
                <w:sz w:val="24"/>
                <w:szCs w:val="24"/>
                <w:lang w:val="en-US" w:eastAsia="zh-CN"/>
              </w:rPr>
              <w:t xml:space="preserve"> </w:t>
            </w:r>
          </w:p>
          <w:p w14:paraId="46F7F56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Disease,N(%)</w:t>
            </w:r>
          </w:p>
        </w:tc>
        <w:tc>
          <w:tcPr>
            <w:tcW w:w="1738" w:type="dxa"/>
            <w:tcBorders>
              <w:top w:val="nil"/>
              <w:left w:val="nil"/>
              <w:bottom w:val="nil"/>
              <w:right w:val="nil"/>
            </w:tcBorders>
            <w:vAlign w:val="center"/>
          </w:tcPr>
          <w:p w14:paraId="56335FD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12(4.4%)</w:t>
            </w:r>
          </w:p>
        </w:tc>
        <w:tc>
          <w:tcPr>
            <w:tcW w:w="1738" w:type="dxa"/>
            <w:tcBorders>
              <w:top w:val="nil"/>
              <w:left w:val="nil"/>
              <w:bottom w:val="nil"/>
              <w:right w:val="nil"/>
            </w:tcBorders>
            <w:vAlign w:val="center"/>
          </w:tcPr>
          <w:p w14:paraId="789621B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6(2.5%)</w:t>
            </w:r>
          </w:p>
        </w:tc>
        <w:tc>
          <w:tcPr>
            <w:tcW w:w="1738" w:type="dxa"/>
            <w:tcBorders>
              <w:top w:val="nil"/>
              <w:left w:val="nil"/>
              <w:bottom w:val="nil"/>
              <w:right w:val="nil"/>
            </w:tcBorders>
            <w:vAlign w:val="center"/>
          </w:tcPr>
          <w:p w14:paraId="1F7EE88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w:t>
            </w:r>
          </w:p>
        </w:tc>
        <w:tc>
          <w:tcPr>
            <w:tcW w:w="1738" w:type="dxa"/>
            <w:tcBorders>
              <w:top w:val="nil"/>
              <w:left w:val="nil"/>
              <w:bottom w:val="nil"/>
              <w:right w:val="nil"/>
            </w:tcBorders>
            <w:vAlign w:val="center"/>
          </w:tcPr>
          <w:p w14:paraId="7F59C61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6(7.4%)</w:t>
            </w:r>
          </w:p>
        </w:tc>
        <w:tc>
          <w:tcPr>
            <w:tcW w:w="805" w:type="dxa"/>
            <w:tcBorders>
              <w:top w:val="nil"/>
              <w:left w:val="nil"/>
              <w:bottom w:val="nil"/>
              <w:right w:val="nil"/>
            </w:tcBorders>
            <w:vAlign w:val="center"/>
          </w:tcPr>
          <w:p w14:paraId="3470C5C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0.204</w:t>
            </w:r>
          </w:p>
        </w:tc>
      </w:tr>
      <w:tr w14:paraId="6E42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4E40AC1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Weight,Kg</w:t>
            </w:r>
          </w:p>
        </w:tc>
        <w:tc>
          <w:tcPr>
            <w:tcW w:w="1738" w:type="dxa"/>
            <w:tcBorders>
              <w:top w:val="nil"/>
              <w:left w:val="nil"/>
              <w:bottom w:val="nil"/>
              <w:right w:val="nil"/>
            </w:tcBorders>
            <w:vAlign w:val="center"/>
          </w:tcPr>
          <w:p w14:paraId="5C6AE60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78.6(67.0,93.2)</w:t>
            </w:r>
          </w:p>
        </w:tc>
        <w:tc>
          <w:tcPr>
            <w:tcW w:w="1738" w:type="dxa"/>
            <w:tcBorders>
              <w:top w:val="nil"/>
              <w:left w:val="nil"/>
              <w:bottom w:val="nil"/>
              <w:right w:val="nil"/>
            </w:tcBorders>
            <w:vAlign w:val="center"/>
          </w:tcPr>
          <w:p w14:paraId="3155CF9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80.5(69.2,97.7)</w:t>
            </w:r>
          </w:p>
        </w:tc>
        <w:tc>
          <w:tcPr>
            <w:tcW w:w="1738" w:type="dxa"/>
            <w:tcBorders>
              <w:top w:val="nil"/>
              <w:left w:val="nil"/>
              <w:bottom w:val="nil"/>
              <w:right w:val="nil"/>
            </w:tcBorders>
            <w:vAlign w:val="center"/>
          </w:tcPr>
          <w:p w14:paraId="6D135A2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63.2(53.6,74.5)</w:t>
            </w:r>
          </w:p>
        </w:tc>
        <w:tc>
          <w:tcPr>
            <w:tcW w:w="1738" w:type="dxa"/>
            <w:tcBorders>
              <w:top w:val="nil"/>
              <w:left w:val="nil"/>
              <w:bottom w:val="nil"/>
              <w:right w:val="nil"/>
            </w:tcBorders>
            <w:vAlign w:val="center"/>
          </w:tcPr>
          <w:p w14:paraId="5EFE864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79.1(64.5,96.7)</w:t>
            </w:r>
          </w:p>
        </w:tc>
        <w:tc>
          <w:tcPr>
            <w:tcW w:w="805" w:type="dxa"/>
            <w:tcBorders>
              <w:top w:val="nil"/>
              <w:left w:val="nil"/>
              <w:bottom w:val="nil"/>
              <w:right w:val="nil"/>
            </w:tcBorders>
            <w:vAlign w:val="center"/>
          </w:tcPr>
          <w:p w14:paraId="2A7AF74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0.008</w:t>
            </w:r>
          </w:p>
        </w:tc>
      </w:tr>
      <w:tr w14:paraId="6CF6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06F3212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SOFA score</w:t>
            </w:r>
          </w:p>
        </w:tc>
        <w:tc>
          <w:tcPr>
            <w:tcW w:w="1738" w:type="dxa"/>
            <w:tcBorders>
              <w:top w:val="nil"/>
              <w:left w:val="nil"/>
              <w:bottom w:val="nil"/>
              <w:right w:val="nil"/>
            </w:tcBorders>
            <w:vAlign w:val="center"/>
          </w:tcPr>
          <w:p w14:paraId="45BDAAD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4(2,6)</w:t>
            </w:r>
          </w:p>
        </w:tc>
        <w:tc>
          <w:tcPr>
            <w:tcW w:w="1738" w:type="dxa"/>
            <w:tcBorders>
              <w:top w:val="nil"/>
              <w:left w:val="nil"/>
              <w:bottom w:val="nil"/>
              <w:right w:val="nil"/>
            </w:tcBorders>
            <w:vAlign w:val="center"/>
          </w:tcPr>
          <w:p w14:paraId="7C9FB66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4(2,7)</w:t>
            </w:r>
          </w:p>
        </w:tc>
        <w:tc>
          <w:tcPr>
            <w:tcW w:w="1738" w:type="dxa"/>
            <w:tcBorders>
              <w:top w:val="nil"/>
              <w:left w:val="nil"/>
              <w:bottom w:val="nil"/>
              <w:right w:val="nil"/>
            </w:tcBorders>
            <w:vAlign w:val="center"/>
          </w:tcPr>
          <w:p w14:paraId="3E4745C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4(2,6)</w:t>
            </w:r>
          </w:p>
        </w:tc>
        <w:tc>
          <w:tcPr>
            <w:tcW w:w="1738" w:type="dxa"/>
            <w:tcBorders>
              <w:top w:val="nil"/>
              <w:left w:val="nil"/>
              <w:bottom w:val="nil"/>
              <w:right w:val="nil"/>
            </w:tcBorders>
            <w:vAlign w:val="center"/>
          </w:tcPr>
          <w:p w14:paraId="600799C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5(3,8)</w:t>
            </w:r>
          </w:p>
        </w:tc>
        <w:tc>
          <w:tcPr>
            <w:tcW w:w="805" w:type="dxa"/>
            <w:tcBorders>
              <w:top w:val="nil"/>
              <w:left w:val="nil"/>
              <w:bottom w:val="nil"/>
              <w:right w:val="nil"/>
            </w:tcBorders>
            <w:vAlign w:val="center"/>
          </w:tcPr>
          <w:p w14:paraId="591C7A2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0.080</w:t>
            </w:r>
          </w:p>
        </w:tc>
      </w:tr>
      <w:tr w14:paraId="646F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27B573B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GCS score,N(%)</w:t>
            </w:r>
          </w:p>
        </w:tc>
        <w:tc>
          <w:tcPr>
            <w:tcW w:w="1738" w:type="dxa"/>
            <w:tcBorders>
              <w:top w:val="nil"/>
              <w:left w:val="nil"/>
              <w:bottom w:val="nil"/>
              <w:right w:val="nil"/>
            </w:tcBorders>
            <w:vAlign w:val="center"/>
          </w:tcPr>
          <w:p w14:paraId="40CB2CC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1738" w:type="dxa"/>
            <w:tcBorders>
              <w:top w:val="nil"/>
              <w:left w:val="nil"/>
              <w:bottom w:val="nil"/>
              <w:right w:val="nil"/>
            </w:tcBorders>
            <w:vAlign w:val="center"/>
          </w:tcPr>
          <w:p w14:paraId="5235A7F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1738" w:type="dxa"/>
            <w:tcBorders>
              <w:top w:val="nil"/>
              <w:left w:val="nil"/>
              <w:bottom w:val="nil"/>
              <w:right w:val="nil"/>
            </w:tcBorders>
            <w:vAlign w:val="center"/>
          </w:tcPr>
          <w:p w14:paraId="39D7460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1738" w:type="dxa"/>
            <w:tcBorders>
              <w:top w:val="nil"/>
              <w:left w:val="nil"/>
              <w:bottom w:val="nil"/>
              <w:right w:val="nil"/>
            </w:tcBorders>
            <w:vAlign w:val="center"/>
          </w:tcPr>
          <w:p w14:paraId="243D5A3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c>
          <w:tcPr>
            <w:tcW w:w="805" w:type="dxa"/>
            <w:tcBorders>
              <w:top w:val="nil"/>
              <w:left w:val="nil"/>
              <w:bottom w:val="nil"/>
              <w:right w:val="nil"/>
            </w:tcBorders>
            <w:vAlign w:val="center"/>
          </w:tcPr>
          <w:p w14:paraId="09C7060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0.008</w:t>
            </w:r>
          </w:p>
        </w:tc>
      </w:tr>
      <w:tr w14:paraId="1BA0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52C91C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3-8</w:t>
            </w:r>
          </w:p>
        </w:tc>
        <w:tc>
          <w:tcPr>
            <w:tcW w:w="1738" w:type="dxa"/>
            <w:tcBorders>
              <w:top w:val="nil"/>
              <w:left w:val="nil"/>
              <w:bottom w:val="nil"/>
              <w:right w:val="nil"/>
            </w:tcBorders>
            <w:vAlign w:val="center"/>
          </w:tcPr>
          <w:p w14:paraId="75B4D25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5(1.8%)</w:t>
            </w:r>
          </w:p>
        </w:tc>
        <w:tc>
          <w:tcPr>
            <w:tcW w:w="1738" w:type="dxa"/>
            <w:tcBorders>
              <w:top w:val="nil"/>
              <w:left w:val="nil"/>
              <w:bottom w:val="nil"/>
              <w:right w:val="nil"/>
            </w:tcBorders>
            <w:vAlign w:val="center"/>
          </w:tcPr>
          <w:p w14:paraId="26FA421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6(2.5%)</w:t>
            </w:r>
          </w:p>
        </w:tc>
        <w:tc>
          <w:tcPr>
            <w:tcW w:w="1738" w:type="dxa"/>
            <w:tcBorders>
              <w:top w:val="nil"/>
              <w:left w:val="nil"/>
              <w:bottom w:val="nil"/>
              <w:right w:val="nil"/>
            </w:tcBorders>
            <w:vAlign w:val="center"/>
          </w:tcPr>
          <w:p w14:paraId="7D2F07D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w:t>
            </w:r>
          </w:p>
        </w:tc>
        <w:tc>
          <w:tcPr>
            <w:tcW w:w="1738" w:type="dxa"/>
            <w:tcBorders>
              <w:top w:val="nil"/>
              <w:left w:val="nil"/>
              <w:bottom w:val="nil"/>
              <w:right w:val="nil"/>
            </w:tcBorders>
            <w:vAlign w:val="center"/>
          </w:tcPr>
          <w:p w14:paraId="746AC81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1(1.2%)</w:t>
            </w:r>
          </w:p>
        </w:tc>
        <w:tc>
          <w:tcPr>
            <w:tcW w:w="805" w:type="dxa"/>
            <w:tcBorders>
              <w:top w:val="nil"/>
              <w:left w:val="nil"/>
              <w:bottom w:val="nil"/>
              <w:right w:val="nil"/>
            </w:tcBorders>
            <w:vAlign w:val="center"/>
          </w:tcPr>
          <w:p w14:paraId="3898BAC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r>
      <w:tr w14:paraId="3AB4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45A14B3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9-13</w:t>
            </w:r>
          </w:p>
        </w:tc>
        <w:tc>
          <w:tcPr>
            <w:tcW w:w="1738" w:type="dxa"/>
            <w:tcBorders>
              <w:top w:val="nil"/>
              <w:left w:val="nil"/>
              <w:bottom w:val="nil"/>
              <w:right w:val="nil"/>
            </w:tcBorders>
            <w:vAlign w:val="center"/>
          </w:tcPr>
          <w:p w14:paraId="3A1DDDA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17(6.3%)</w:t>
            </w:r>
          </w:p>
        </w:tc>
        <w:tc>
          <w:tcPr>
            <w:tcW w:w="1738" w:type="dxa"/>
            <w:tcBorders>
              <w:top w:val="nil"/>
              <w:left w:val="nil"/>
              <w:bottom w:val="nil"/>
              <w:right w:val="nil"/>
            </w:tcBorders>
            <w:vAlign w:val="center"/>
          </w:tcPr>
          <w:p w14:paraId="18F963A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5(2.1%)</w:t>
            </w:r>
          </w:p>
        </w:tc>
        <w:tc>
          <w:tcPr>
            <w:tcW w:w="1738" w:type="dxa"/>
            <w:tcBorders>
              <w:top w:val="nil"/>
              <w:left w:val="nil"/>
              <w:bottom w:val="nil"/>
              <w:right w:val="nil"/>
            </w:tcBorders>
            <w:vAlign w:val="center"/>
          </w:tcPr>
          <w:p w14:paraId="4D1DA57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3(23.1%)</w:t>
            </w:r>
          </w:p>
        </w:tc>
        <w:tc>
          <w:tcPr>
            <w:tcW w:w="1738" w:type="dxa"/>
            <w:tcBorders>
              <w:top w:val="nil"/>
              <w:left w:val="nil"/>
              <w:bottom w:val="nil"/>
              <w:right w:val="nil"/>
            </w:tcBorders>
            <w:vAlign w:val="center"/>
          </w:tcPr>
          <w:p w14:paraId="3DF0FE5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8(9.9%)</w:t>
            </w:r>
          </w:p>
        </w:tc>
        <w:tc>
          <w:tcPr>
            <w:tcW w:w="805" w:type="dxa"/>
            <w:tcBorders>
              <w:top w:val="nil"/>
              <w:left w:val="nil"/>
              <w:bottom w:val="nil"/>
              <w:right w:val="nil"/>
            </w:tcBorders>
            <w:vAlign w:val="center"/>
          </w:tcPr>
          <w:p w14:paraId="07C143A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r>
      <w:tr w14:paraId="474A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53FDC16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14-15</w:t>
            </w:r>
          </w:p>
        </w:tc>
        <w:tc>
          <w:tcPr>
            <w:tcW w:w="1738" w:type="dxa"/>
            <w:tcBorders>
              <w:top w:val="nil"/>
              <w:left w:val="nil"/>
              <w:bottom w:val="nil"/>
              <w:right w:val="nil"/>
            </w:tcBorders>
            <w:vAlign w:val="center"/>
          </w:tcPr>
          <w:p w14:paraId="36C0EAB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249(91.9%)</w:t>
            </w:r>
          </w:p>
        </w:tc>
        <w:tc>
          <w:tcPr>
            <w:tcW w:w="1738" w:type="dxa"/>
            <w:tcBorders>
              <w:top w:val="nil"/>
              <w:left w:val="nil"/>
              <w:bottom w:val="nil"/>
              <w:right w:val="nil"/>
            </w:tcBorders>
            <w:vAlign w:val="center"/>
          </w:tcPr>
          <w:p w14:paraId="183624D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230(95.4%)</w:t>
            </w:r>
          </w:p>
        </w:tc>
        <w:tc>
          <w:tcPr>
            <w:tcW w:w="1738" w:type="dxa"/>
            <w:tcBorders>
              <w:top w:val="nil"/>
              <w:left w:val="nil"/>
              <w:bottom w:val="nil"/>
              <w:right w:val="nil"/>
            </w:tcBorders>
            <w:vAlign w:val="center"/>
          </w:tcPr>
          <w:p w14:paraId="7BD421C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10(76.9%)</w:t>
            </w:r>
          </w:p>
        </w:tc>
        <w:tc>
          <w:tcPr>
            <w:tcW w:w="1738" w:type="dxa"/>
            <w:tcBorders>
              <w:top w:val="nil"/>
              <w:left w:val="nil"/>
              <w:bottom w:val="nil"/>
              <w:right w:val="nil"/>
            </w:tcBorders>
            <w:vAlign w:val="center"/>
          </w:tcPr>
          <w:p w14:paraId="77DD72D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72(88.9%)</w:t>
            </w:r>
          </w:p>
        </w:tc>
        <w:tc>
          <w:tcPr>
            <w:tcW w:w="805" w:type="dxa"/>
            <w:tcBorders>
              <w:top w:val="nil"/>
              <w:left w:val="nil"/>
              <w:bottom w:val="nil"/>
              <w:right w:val="nil"/>
            </w:tcBorders>
            <w:vAlign w:val="center"/>
          </w:tcPr>
          <w:p w14:paraId="46D8A25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p>
        </w:tc>
      </w:tr>
      <w:tr w14:paraId="6F9C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5792D2D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WBC,K/μL</w:t>
            </w:r>
          </w:p>
        </w:tc>
        <w:tc>
          <w:tcPr>
            <w:tcW w:w="1738" w:type="dxa"/>
            <w:tcBorders>
              <w:top w:val="nil"/>
              <w:left w:val="nil"/>
              <w:bottom w:val="nil"/>
              <w:right w:val="nil"/>
            </w:tcBorders>
            <w:vAlign w:val="center"/>
          </w:tcPr>
          <w:p w14:paraId="07F99DA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11.2(7.4,17.1)</w:t>
            </w:r>
          </w:p>
        </w:tc>
        <w:tc>
          <w:tcPr>
            <w:tcW w:w="1738" w:type="dxa"/>
            <w:tcBorders>
              <w:top w:val="nil"/>
              <w:left w:val="nil"/>
              <w:bottom w:val="nil"/>
              <w:right w:val="nil"/>
            </w:tcBorders>
            <w:vAlign w:val="center"/>
          </w:tcPr>
          <w:p w14:paraId="21EC6AD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10.0(6.6,14.6)</w:t>
            </w:r>
          </w:p>
        </w:tc>
        <w:tc>
          <w:tcPr>
            <w:tcW w:w="1738" w:type="dxa"/>
            <w:tcBorders>
              <w:top w:val="nil"/>
              <w:left w:val="nil"/>
              <w:bottom w:val="nil"/>
              <w:right w:val="nil"/>
            </w:tcBorders>
            <w:vAlign w:val="center"/>
          </w:tcPr>
          <w:p w14:paraId="182C76D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12.8(8.8,17.9)</w:t>
            </w:r>
          </w:p>
        </w:tc>
        <w:tc>
          <w:tcPr>
            <w:tcW w:w="1738" w:type="dxa"/>
            <w:tcBorders>
              <w:top w:val="nil"/>
              <w:left w:val="nil"/>
              <w:bottom w:val="nil"/>
              <w:right w:val="nil"/>
            </w:tcBorders>
            <w:vAlign w:val="center"/>
          </w:tcPr>
          <w:p w14:paraId="20517B7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12.5(8.3,19.6)</w:t>
            </w:r>
          </w:p>
        </w:tc>
        <w:tc>
          <w:tcPr>
            <w:tcW w:w="805" w:type="dxa"/>
            <w:tcBorders>
              <w:top w:val="nil"/>
              <w:left w:val="nil"/>
              <w:bottom w:val="nil"/>
              <w:right w:val="nil"/>
            </w:tcBorders>
            <w:vAlign w:val="center"/>
          </w:tcPr>
          <w:p w14:paraId="3C6CC4F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0.007</w:t>
            </w:r>
          </w:p>
        </w:tc>
      </w:tr>
      <w:tr w14:paraId="68E3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302F7F2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platelet,K/μL</w:t>
            </w:r>
          </w:p>
        </w:tc>
        <w:tc>
          <w:tcPr>
            <w:tcW w:w="1738" w:type="dxa"/>
            <w:tcBorders>
              <w:top w:val="nil"/>
              <w:left w:val="nil"/>
              <w:bottom w:val="nil"/>
              <w:right w:val="nil"/>
            </w:tcBorders>
            <w:vAlign w:val="center"/>
          </w:tcPr>
          <w:p w14:paraId="3CCAC73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219.0(162.0,298.0)</w:t>
            </w:r>
          </w:p>
        </w:tc>
        <w:tc>
          <w:tcPr>
            <w:tcW w:w="1738" w:type="dxa"/>
            <w:tcBorders>
              <w:top w:val="nil"/>
              <w:left w:val="nil"/>
              <w:bottom w:val="nil"/>
              <w:right w:val="nil"/>
            </w:tcBorders>
            <w:vAlign w:val="center"/>
          </w:tcPr>
          <w:p w14:paraId="5F823E2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193.0(144.0,267.0)</w:t>
            </w:r>
          </w:p>
        </w:tc>
        <w:tc>
          <w:tcPr>
            <w:tcW w:w="1738" w:type="dxa"/>
            <w:tcBorders>
              <w:top w:val="nil"/>
              <w:left w:val="nil"/>
              <w:bottom w:val="nil"/>
              <w:right w:val="nil"/>
            </w:tcBorders>
            <w:vAlign w:val="center"/>
          </w:tcPr>
          <w:p w14:paraId="13A5AB7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236.0(131.0,319.0)</w:t>
            </w:r>
          </w:p>
        </w:tc>
        <w:tc>
          <w:tcPr>
            <w:tcW w:w="1738" w:type="dxa"/>
            <w:tcBorders>
              <w:top w:val="nil"/>
              <w:left w:val="nil"/>
              <w:bottom w:val="nil"/>
              <w:right w:val="nil"/>
            </w:tcBorders>
            <w:vAlign w:val="center"/>
          </w:tcPr>
          <w:p w14:paraId="6EF14E9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192.0(145.5,265.5)</w:t>
            </w:r>
          </w:p>
        </w:tc>
        <w:tc>
          <w:tcPr>
            <w:tcW w:w="805" w:type="dxa"/>
            <w:tcBorders>
              <w:top w:val="nil"/>
              <w:left w:val="nil"/>
              <w:bottom w:val="nil"/>
              <w:right w:val="nil"/>
            </w:tcBorders>
            <w:vAlign w:val="center"/>
          </w:tcPr>
          <w:p w14:paraId="2DB470D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0.093</w:t>
            </w:r>
          </w:p>
        </w:tc>
      </w:tr>
      <w:tr w14:paraId="0517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503725B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Hematocrit,%</w:t>
            </w:r>
          </w:p>
        </w:tc>
        <w:tc>
          <w:tcPr>
            <w:tcW w:w="1738" w:type="dxa"/>
            <w:tcBorders>
              <w:top w:val="nil"/>
              <w:left w:val="nil"/>
              <w:bottom w:val="nil"/>
              <w:right w:val="nil"/>
            </w:tcBorders>
            <w:vAlign w:val="center"/>
          </w:tcPr>
          <w:p w14:paraId="5E7E4EC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34.5(29.2,38.7)</w:t>
            </w:r>
          </w:p>
        </w:tc>
        <w:tc>
          <w:tcPr>
            <w:tcW w:w="1738" w:type="dxa"/>
            <w:tcBorders>
              <w:top w:val="nil"/>
              <w:left w:val="nil"/>
              <w:bottom w:val="nil"/>
              <w:right w:val="nil"/>
            </w:tcBorders>
            <w:vAlign w:val="center"/>
          </w:tcPr>
          <w:p w14:paraId="62CB4FA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34.0(29.7,38.3)</w:t>
            </w:r>
          </w:p>
        </w:tc>
        <w:tc>
          <w:tcPr>
            <w:tcW w:w="1738" w:type="dxa"/>
            <w:tcBorders>
              <w:top w:val="nil"/>
              <w:left w:val="nil"/>
              <w:bottom w:val="nil"/>
              <w:right w:val="nil"/>
            </w:tcBorders>
            <w:vAlign w:val="center"/>
          </w:tcPr>
          <w:p w14:paraId="61FF8B8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30.3(27.8,31.1)</w:t>
            </w:r>
          </w:p>
        </w:tc>
        <w:tc>
          <w:tcPr>
            <w:tcW w:w="1738" w:type="dxa"/>
            <w:tcBorders>
              <w:top w:val="nil"/>
              <w:left w:val="nil"/>
              <w:bottom w:val="nil"/>
              <w:right w:val="nil"/>
            </w:tcBorders>
            <w:vAlign w:val="center"/>
          </w:tcPr>
          <w:p w14:paraId="0D389EE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33.4(29.5,37.7)</w:t>
            </w:r>
          </w:p>
        </w:tc>
        <w:tc>
          <w:tcPr>
            <w:tcW w:w="805" w:type="dxa"/>
            <w:tcBorders>
              <w:top w:val="nil"/>
              <w:left w:val="nil"/>
              <w:bottom w:val="nil"/>
              <w:right w:val="nil"/>
            </w:tcBorders>
            <w:vAlign w:val="center"/>
          </w:tcPr>
          <w:p w14:paraId="0EA8978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0.046</w:t>
            </w:r>
          </w:p>
        </w:tc>
      </w:tr>
      <w:tr w14:paraId="41B3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C098BF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Hemoglobin,g/dL</w:t>
            </w:r>
          </w:p>
        </w:tc>
        <w:tc>
          <w:tcPr>
            <w:tcW w:w="1738" w:type="dxa"/>
            <w:tcBorders>
              <w:top w:val="nil"/>
              <w:left w:val="nil"/>
              <w:bottom w:val="nil"/>
              <w:right w:val="nil"/>
            </w:tcBorders>
            <w:vAlign w:val="center"/>
          </w:tcPr>
          <w:p w14:paraId="1C2A59C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11.3±2.5</w:t>
            </w:r>
          </w:p>
        </w:tc>
        <w:tc>
          <w:tcPr>
            <w:tcW w:w="1738" w:type="dxa"/>
            <w:tcBorders>
              <w:top w:val="nil"/>
              <w:left w:val="nil"/>
              <w:bottom w:val="nil"/>
              <w:right w:val="nil"/>
            </w:tcBorders>
            <w:vAlign w:val="center"/>
          </w:tcPr>
          <w:p w14:paraId="55F2E04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11.5±2.1</w:t>
            </w:r>
          </w:p>
        </w:tc>
        <w:tc>
          <w:tcPr>
            <w:tcW w:w="1738" w:type="dxa"/>
            <w:tcBorders>
              <w:top w:val="nil"/>
              <w:left w:val="nil"/>
              <w:bottom w:val="nil"/>
              <w:right w:val="nil"/>
            </w:tcBorders>
            <w:vAlign w:val="center"/>
          </w:tcPr>
          <w:p w14:paraId="43AB0B9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9.8±1.4</w:t>
            </w:r>
          </w:p>
        </w:tc>
        <w:tc>
          <w:tcPr>
            <w:tcW w:w="1738" w:type="dxa"/>
            <w:tcBorders>
              <w:top w:val="nil"/>
              <w:left w:val="nil"/>
              <w:bottom w:val="nil"/>
              <w:right w:val="nil"/>
            </w:tcBorders>
            <w:vAlign w:val="center"/>
          </w:tcPr>
          <w:p w14:paraId="59FA2C7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11.2±2.5</w:t>
            </w:r>
          </w:p>
        </w:tc>
        <w:tc>
          <w:tcPr>
            <w:tcW w:w="805" w:type="dxa"/>
            <w:tcBorders>
              <w:top w:val="nil"/>
              <w:left w:val="nil"/>
              <w:bottom w:val="nil"/>
              <w:right w:val="nil"/>
            </w:tcBorders>
            <w:vAlign w:val="center"/>
          </w:tcPr>
          <w:p w14:paraId="3C56CA6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0.103</w:t>
            </w:r>
          </w:p>
        </w:tc>
      </w:tr>
      <w:tr w14:paraId="4D5F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13E4A9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Albumin,g/dL</w:t>
            </w:r>
          </w:p>
        </w:tc>
        <w:tc>
          <w:tcPr>
            <w:tcW w:w="1738" w:type="dxa"/>
            <w:tcBorders>
              <w:top w:val="nil"/>
              <w:left w:val="nil"/>
              <w:bottom w:val="nil"/>
              <w:right w:val="nil"/>
            </w:tcBorders>
            <w:vAlign w:val="center"/>
          </w:tcPr>
          <w:p w14:paraId="0FA0CFB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3.1±0.7</w:t>
            </w:r>
          </w:p>
        </w:tc>
        <w:tc>
          <w:tcPr>
            <w:tcW w:w="1738" w:type="dxa"/>
            <w:tcBorders>
              <w:top w:val="nil"/>
              <w:left w:val="nil"/>
              <w:bottom w:val="nil"/>
              <w:right w:val="nil"/>
            </w:tcBorders>
            <w:vAlign w:val="center"/>
          </w:tcPr>
          <w:p w14:paraId="6598725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3.2±0.7</w:t>
            </w:r>
          </w:p>
        </w:tc>
        <w:tc>
          <w:tcPr>
            <w:tcW w:w="1738" w:type="dxa"/>
            <w:tcBorders>
              <w:top w:val="nil"/>
              <w:left w:val="nil"/>
              <w:bottom w:val="nil"/>
              <w:right w:val="nil"/>
            </w:tcBorders>
            <w:vAlign w:val="center"/>
          </w:tcPr>
          <w:p w14:paraId="3E9BB17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3.2±0.8</w:t>
            </w:r>
          </w:p>
        </w:tc>
        <w:tc>
          <w:tcPr>
            <w:tcW w:w="1738" w:type="dxa"/>
            <w:tcBorders>
              <w:top w:val="nil"/>
              <w:left w:val="nil"/>
              <w:bottom w:val="nil"/>
              <w:right w:val="nil"/>
            </w:tcBorders>
            <w:vAlign w:val="center"/>
          </w:tcPr>
          <w:p w14:paraId="0C6D84A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2.9±0.7</w:t>
            </w:r>
          </w:p>
        </w:tc>
        <w:tc>
          <w:tcPr>
            <w:tcW w:w="805" w:type="dxa"/>
            <w:tcBorders>
              <w:top w:val="nil"/>
              <w:left w:val="nil"/>
              <w:bottom w:val="nil"/>
              <w:right w:val="nil"/>
            </w:tcBorders>
            <w:vAlign w:val="center"/>
          </w:tcPr>
          <w:p w14:paraId="185B3D3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0.004</w:t>
            </w:r>
          </w:p>
        </w:tc>
      </w:tr>
      <w:tr w14:paraId="2DDE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024EAEC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TBil,mg/dL</w:t>
            </w:r>
          </w:p>
        </w:tc>
        <w:tc>
          <w:tcPr>
            <w:tcW w:w="1738" w:type="dxa"/>
            <w:tcBorders>
              <w:top w:val="nil"/>
              <w:left w:val="nil"/>
              <w:bottom w:val="nil"/>
              <w:right w:val="nil"/>
            </w:tcBorders>
            <w:vAlign w:val="center"/>
          </w:tcPr>
          <w:p w14:paraId="39488E6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0.7(0.4,1.5)</w:t>
            </w:r>
          </w:p>
        </w:tc>
        <w:tc>
          <w:tcPr>
            <w:tcW w:w="1738" w:type="dxa"/>
            <w:tcBorders>
              <w:top w:val="nil"/>
              <w:left w:val="nil"/>
              <w:bottom w:val="nil"/>
              <w:right w:val="nil"/>
            </w:tcBorders>
            <w:vAlign w:val="center"/>
          </w:tcPr>
          <w:p w14:paraId="3E98DEE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0.7(0.5,1.6)</w:t>
            </w:r>
          </w:p>
        </w:tc>
        <w:tc>
          <w:tcPr>
            <w:tcW w:w="1738" w:type="dxa"/>
            <w:tcBorders>
              <w:top w:val="nil"/>
              <w:left w:val="nil"/>
              <w:bottom w:val="nil"/>
              <w:right w:val="nil"/>
            </w:tcBorders>
            <w:vAlign w:val="center"/>
          </w:tcPr>
          <w:p w14:paraId="64CA0E8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0.7(0.6,1.0)</w:t>
            </w:r>
          </w:p>
        </w:tc>
        <w:tc>
          <w:tcPr>
            <w:tcW w:w="1738" w:type="dxa"/>
            <w:tcBorders>
              <w:top w:val="nil"/>
              <w:left w:val="nil"/>
              <w:bottom w:val="nil"/>
              <w:right w:val="nil"/>
            </w:tcBorders>
            <w:vAlign w:val="center"/>
          </w:tcPr>
          <w:p w14:paraId="09D376D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0.7(0.4,1.4)</w:t>
            </w:r>
          </w:p>
        </w:tc>
        <w:tc>
          <w:tcPr>
            <w:tcW w:w="805" w:type="dxa"/>
            <w:tcBorders>
              <w:top w:val="nil"/>
              <w:left w:val="nil"/>
              <w:bottom w:val="nil"/>
              <w:right w:val="nil"/>
            </w:tcBorders>
            <w:vAlign w:val="center"/>
          </w:tcPr>
          <w:p w14:paraId="2577E0F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0.922</w:t>
            </w:r>
          </w:p>
        </w:tc>
      </w:tr>
      <w:tr w14:paraId="44F6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26E053E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Alt,IU/L</w:t>
            </w:r>
          </w:p>
        </w:tc>
        <w:tc>
          <w:tcPr>
            <w:tcW w:w="1738" w:type="dxa"/>
            <w:tcBorders>
              <w:top w:val="nil"/>
              <w:left w:val="nil"/>
              <w:bottom w:val="nil"/>
              <w:right w:val="nil"/>
            </w:tcBorders>
            <w:vAlign w:val="center"/>
          </w:tcPr>
          <w:p w14:paraId="6709433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40.0(20.0,85.0)</w:t>
            </w:r>
          </w:p>
        </w:tc>
        <w:tc>
          <w:tcPr>
            <w:tcW w:w="1738" w:type="dxa"/>
            <w:tcBorders>
              <w:top w:val="nil"/>
              <w:left w:val="nil"/>
              <w:bottom w:val="nil"/>
              <w:right w:val="nil"/>
            </w:tcBorders>
            <w:vAlign w:val="center"/>
          </w:tcPr>
          <w:p w14:paraId="49C493B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43.0(20.0,131.0)</w:t>
            </w:r>
          </w:p>
        </w:tc>
        <w:tc>
          <w:tcPr>
            <w:tcW w:w="1738" w:type="dxa"/>
            <w:tcBorders>
              <w:top w:val="nil"/>
              <w:left w:val="nil"/>
              <w:bottom w:val="nil"/>
              <w:right w:val="nil"/>
            </w:tcBorders>
            <w:vAlign w:val="center"/>
          </w:tcPr>
          <w:p w14:paraId="33EF1B2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33.0(17.0,114.5)</w:t>
            </w:r>
          </w:p>
        </w:tc>
        <w:tc>
          <w:tcPr>
            <w:tcW w:w="1738" w:type="dxa"/>
            <w:tcBorders>
              <w:top w:val="nil"/>
              <w:left w:val="nil"/>
              <w:bottom w:val="nil"/>
              <w:right w:val="nil"/>
            </w:tcBorders>
            <w:vAlign w:val="center"/>
          </w:tcPr>
          <w:p w14:paraId="3902330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39.0(19.0,60.0)</w:t>
            </w:r>
          </w:p>
        </w:tc>
        <w:tc>
          <w:tcPr>
            <w:tcW w:w="805" w:type="dxa"/>
            <w:tcBorders>
              <w:top w:val="nil"/>
              <w:left w:val="nil"/>
              <w:bottom w:val="nil"/>
              <w:right w:val="nil"/>
            </w:tcBorders>
            <w:vAlign w:val="center"/>
          </w:tcPr>
          <w:p w14:paraId="165DE32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0.444</w:t>
            </w:r>
          </w:p>
        </w:tc>
      </w:tr>
      <w:tr w14:paraId="3483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598B59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Ast,IU/L</w:t>
            </w:r>
          </w:p>
        </w:tc>
        <w:tc>
          <w:tcPr>
            <w:tcW w:w="1738" w:type="dxa"/>
            <w:tcBorders>
              <w:top w:val="nil"/>
              <w:left w:val="nil"/>
              <w:bottom w:val="nil"/>
              <w:right w:val="nil"/>
            </w:tcBorders>
            <w:vAlign w:val="center"/>
          </w:tcPr>
          <w:p w14:paraId="3C72688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50.0(27.0,110.0)</w:t>
            </w:r>
          </w:p>
        </w:tc>
        <w:tc>
          <w:tcPr>
            <w:tcW w:w="1738" w:type="dxa"/>
            <w:tcBorders>
              <w:top w:val="nil"/>
              <w:left w:val="nil"/>
              <w:bottom w:val="nil"/>
              <w:right w:val="nil"/>
            </w:tcBorders>
            <w:vAlign w:val="center"/>
          </w:tcPr>
          <w:p w14:paraId="6090D3E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58.0(26.5,182.0)</w:t>
            </w:r>
          </w:p>
        </w:tc>
        <w:tc>
          <w:tcPr>
            <w:tcW w:w="1738" w:type="dxa"/>
            <w:tcBorders>
              <w:top w:val="nil"/>
              <w:left w:val="nil"/>
              <w:bottom w:val="nil"/>
              <w:right w:val="nil"/>
            </w:tcBorders>
            <w:vAlign w:val="center"/>
          </w:tcPr>
          <w:p w14:paraId="75AD843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38.0(21.0,89.0)</w:t>
            </w:r>
          </w:p>
        </w:tc>
        <w:tc>
          <w:tcPr>
            <w:tcW w:w="1738" w:type="dxa"/>
            <w:tcBorders>
              <w:top w:val="nil"/>
              <w:left w:val="nil"/>
              <w:bottom w:val="nil"/>
              <w:right w:val="nil"/>
            </w:tcBorders>
            <w:vAlign w:val="center"/>
          </w:tcPr>
          <w:p w14:paraId="2C06D46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51.0(31.0,115.5)</w:t>
            </w:r>
          </w:p>
        </w:tc>
        <w:tc>
          <w:tcPr>
            <w:tcW w:w="805" w:type="dxa"/>
            <w:tcBorders>
              <w:top w:val="nil"/>
              <w:left w:val="nil"/>
              <w:bottom w:val="nil"/>
              <w:right w:val="nil"/>
            </w:tcBorders>
            <w:vAlign w:val="center"/>
          </w:tcPr>
          <w:p w14:paraId="17222E7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0.191</w:t>
            </w:r>
          </w:p>
        </w:tc>
      </w:tr>
      <w:tr w14:paraId="5A19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56CC37D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Glu,mg/dL</w:t>
            </w:r>
          </w:p>
        </w:tc>
        <w:tc>
          <w:tcPr>
            <w:tcW w:w="1738" w:type="dxa"/>
            <w:tcBorders>
              <w:top w:val="nil"/>
              <w:left w:val="nil"/>
              <w:bottom w:val="nil"/>
              <w:right w:val="nil"/>
            </w:tcBorders>
            <w:vAlign w:val="center"/>
          </w:tcPr>
          <w:p w14:paraId="38F305F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132.0(106.0,175.0)</w:t>
            </w:r>
          </w:p>
        </w:tc>
        <w:tc>
          <w:tcPr>
            <w:tcW w:w="1738" w:type="dxa"/>
            <w:tcBorders>
              <w:top w:val="nil"/>
              <w:left w:val="nil"/>
              <w:bottom w:val="nil"/>
              <w:right w:val="nil"/>
            </w:tcBorders>
            <w:vAlign w:val="center"/>
          </w:tcPr>
          <w:p w14:paraId="2CBF499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115.0(96.0,149.5)</w:t>
            </w:r>
          </w:p>
        </w:tc>
        <w:tc>
          <w:tcPr>
            <w:tcW w:w="1738" w:type="dxa"/>
            <w:tcBorders>
              <w:top w:val="nil"/>
              <w:left w:val="nil"/>
              <w:bottom w:val="nil"/>
              <w:right w:val="nil"/>
            </w:tcBorders>
            <w:vAlign w:val="center"/>
          </w:tcPr>
          <w:p w14:paraId="6FA9590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131.0(111.0,154.5)</w:t>
            </w:r>
          </w:p>
        </w:tc>
        <w:tc>
          <w:tcPr>
            <w:tcW w:w="1738" w:type="dxa"/>
            <w:tcBorders>
              <w:top w:val="nil"/>
              <w:left w:val="nil"/>
              <w:bottom w:val="nil"/>
              <w:right w:val="nil"/>
            </w:tcBorders>
            <w:vAlign w:val="center"/>
          </w:tcPr>
          <w:p w14:paraId="3171260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137.0(107.5,200.5)</w:t>
            </w:r>
          </w:p>
        </w:tc>
        <w:tc>
          <w:tcPr>
            <w:tcW w:w="805" w:type="dxa"/>
            <w:tcBorders>
              <w:top w:val="nil"/>
              <w:left w:val="nil"/>
              <w:bottom w:val="nil"/>
              <w:right w:val="nil"/>
            </w:tcBorders>
            <w:vAlign w:val="center"/>
          </w:tcPr>
          <w:p w14:paraId="68FEF30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279E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25AAC99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Potassium,mEq/L</w:t>
            </w:r>
          </w:p>
        </w:tc>
        <w:tc>
          <w:tcPr>
            <w:tcW w:w="1738" w:type="dxa"/>
            <w:tcBorders>
              <w:top w:val="nil"/>
              <w:left w:val="nil"/>
              <w:bottom w:val="nil"/>
              <w:right w:val="nil"/>
            </w:tcBorders>
            <w:vAlign w:val="center"/>
          </w:tcPr>
          <w:p w14:paraId="250E297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4.0(3.6,4.4)</w:t>
            </w:r>
          </w:p>
        </w:tc>
        <w:tc>
          <w:tcPr>
            <w:tcW w:w="1738" w:type="dxa"/>
            <w:tcBorders>
              <w:top w:val="nil"/>
              <w:left w:val="nil"/>
              <w:bottom w:val="nil"/>
              <w:right w:val="nil"/>
            </w:tcBorders>
            <w:vAlign w:val="center"/>
          </w:tcPr>
          <w:p w14:paraId="17685DD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3.9(3.6,4.3)</w:t>
            </w:r>
          </w:p>
        </w:tc>
        <w:tc>
          <w:tcPr>
            <w:tcW w:w="1738" w:type="dxa"/>
            <w:tcBorders>
              <w:top w:val="nil"/>
              <w:left w:val="nil"/>
              <w:bottom w:val="nil"/>
              <w:right w:val="nil"/>
            </w:tcBorders>
            <w:vAlign w:val="center"/>
          </w:tcPr>
          <w:p w14:paraId="3C074D0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3.7(3.2,4.6)</w:t>
            </w:r>
          </w:p>
        </w:tc>
        <w:tc>
          <w:tcPr>
            <w:tcW w:w="1738" w:type="dxa"/>
            <w:tcBorders>
              <w:top w:val="nil"/>
              <w:left w:val="nil"/>
              <w:bottom w:val="nil"/>
              <w:right w:val="nil"/>
            </w:tcBorders>
            <w:vAlign w:val="center"/>
          </w:tcPr>
          <w:p w14:paraId="186DA10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4.1(3.7,4.6)</w:t>
            </w:r>
          </w:p>
        </w:tc>
        <w:tc>
          <w:tcPr>
            <w:tcW w:w="805" w:type="dxa"/>
            <w:tcBorders>
              <w:top w:val="nil"/>
              <w:left w:val="nil"/>
              <w:bottom w:val="nil"/>
              <w:right w:val="nil"/>
            </w:tcBorders>
            <w:vAlign w:val="center"/>
          </w:tcPr>
          <w:p w14:paraId="037CA9D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0.116</w:t>
            </w:r>
          </w:p>
        </w:tc>
      </w:tr>
      <w:tr w14:paraId="2FF8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7089005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Natrium,mEq/L</w:t>
            </w:r>
          </w:p>
        </w:tc>
        <w:tc>
          <w:tcPr>
            <w:tcW w:w="1738" w:type="dxa"/>
            <w:tcBorders>
              <w:top w:val="nil"/>
              <w:left w:val="nil"/>
              <w:bottom w:val="nil"/>
              <w:right w:val="nil"/>
            </w:tcBorders>
            <w:vAlign w:val="center"/>
          </w:tcPr>
          <w:p w14:paraId="4026F6F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138.0(135.0,141.0)</w:t>
            </w:r>
          </w:p>
        </w:tc>
        <w:tc>
          <w:tcPr>
            <w:tcW w:w="1738" w:type="dxa"/>
            <w:tcBorders>
              <w:top w:val="nil"/>
              <w:left w:val="nil"/>
              <w:bottom w:val="nil"/>
              <w:right w:val="nil"/>
            </w:tcBorders>
            <w:vAlign w:val="center"/>
          </w:tcPr>
          <w:p w14:paraId="5CD6B64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138.0(136.0,141.0)</w:t>
            </w:r>
          </w:p>
        </w:tc>
        <w:tc>
          <w:tcPr>
            <w:tcW w:w="1738" w:type="dxa"/>
            <w:tcBorders>
              <w:top w:val="nil"/>
              <w:left w:val="nil"/>
              <w:bottom w:val="nil"/>
              <w:right w:val="nil"/>
            </w:tcBorders>
            <w:vAlign w:val="center"/>
          </w:tcPr>
          <w:p w14:paraId="36F78AA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137.0(132.5,144.0)</w:t>
            </w:r>
          </w:p>
        </w:tc>
        <w:tc>
          <w:tcPr>
            <w:tcW w:w="1738" w:type="dxa"/>
            <w:tcBorders>
              <w:top w:val="nil"/>
              <w:left w:val="nil"/>
              <w:bottom w:val="nil"/>
              <w:right w:val="nil"/>
            </w:tcBorders>
            <w:vAlign w:val="center"/>
          </w:tcPr>
          <w:p w14:paraId="0146D2A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138.0(136.0,140.0)</w:t>
            </w:r>
          </w:p>
        </w:tc>
        <w:tc>
          <w:tcPr>
            <w:tcW w:w="805" w:type="dxa"/>
            <w:tcBorders>
              <w:top w:val="nil"/>
              <w:left w:val="nil"/>
              <w:bottom w:val="nil"/>
              <w:right w:val="nil"/>
            </w:tcBorders>
            <w:vAlign w:val="center"/>
          </w:tcPr>
          <w:p w14:paraId="2C6E73F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0.960</w:t>
            </w:r>
          </w:p>
        </w:tc>
      </w:tr>
      <w:tr w14:paraId="0DC4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0D029B6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Calcium,mEq/L</w:t>
            </w:r>
          </w:p>
        </w:tc>
        <w:tc>
          <w:tcPr>
            <w:tcW w:w="1738" w:type="dxa"/>
            <w:tcBorders>
              <w:top w:val="nil"/>
              <w:left w:val="nil"/>
              <w:bottom w:val="nil"/>
              <w:right w:val="nil"/>
            </w:tcBorders>
            <w:vAlign w:val="center"/>
          </w:tcPr>
          <w:p w14:paraId="731C309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8.1(7.5,8.7)</w:t>
            </w:r>
          </w:p>
        </w:tc>
        <w:tc>
          <w:tcPr>
            <w:tcW w:w="1738" w:type="dxa"/>
            <w:tcBorders>
              <w:top w:val="nil"/>
              <w:left w:val="nil"/>
              <w:bottom w:val="nil"/>
              <w:right w:val="nil"/>
            </w:tcBorders>
            <w:vAlign w:val="center"/>
          </w:tcPr>
          <w:p w14:paraId="78FB7CC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8.1(7.5,8.7)</w:t>
            </w:r>
          </w:p>
        </w:tc>
        <w:tc>
          <w:tcPr>
            <w:tcW w:w="1738" w:type="dxa"/>
            <w:tcBorders>
              <w:top w:val="nil"/>
              <w:left w:val="nil"/>
              <w:bottom w:val="nil"/>
              <w:right w:val="nil"/>
            </w:tcBorders>
            <w:vAlign w:val="center"/>
          </w:tcPr>
          <w:p w14:paraId="6B7E34D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8.1(7.8,8.5)</w:t>
            </w:r>
          </w:p>
        </w:tc>
        <w:tc>
          <w:tcPr>
            <w:tcW w:w="1738" w:type="dxa"/>
            <w:tcBorders>
              <w:top w:val="nil"/>
              <w:left w:val="nil"/>
              <w:bottom w:val="nil"/>
              <w:right w:val="nil"/>
            </w:tcBorders>
            <w:vAlign w:val="center"/>
          </w:tcPr>
          <w:p w14:paraId="297E97E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8.1(7.5,8.8)</w:t>
            </w:r>
          </w:p>
        </w:tc>
        <w:tc>
          <w:tcPr>
            <w:tcW w:w="805" w:type="dxa"/>
            <w:tcBorders>
              <w:top w:val="nil"/>
              <w:left w:val="nil"/>
              <w:bottom w:val="nil"/>
              <w:right w:val="nil"/>
            </w:tcBorders>
            <w:vAlign w:val="center"/>
          </w:tcPr>
          <w:p w14:paraId="1951C32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0.912</w:t>
            </w:r>
          </w:p>
        </w:tc>
      </w:tr>
      <w:tr w14:paraId="7E15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0BA82AA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BUN,mg/dL</w:t>
            </w:r>
          </w:p>
        </w:tc>
        <w:tc>
          <w:tcPr>
            <w:tcW w:w="1738" w:type="dxa"/>
            <w:tcBorders>
              <w:top w:val="nil"/>
              <w:left w:val="nil"/>
              <w:bottom w:val="nil"/>
              <w:right w:val="nil"/>
            </w:tcBorders>
            <w:vAlign w:val="center"/>
          </w:tcPr>
          <w:p w14:paraId="4E99C9D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20.0(14.0,30.0)</w:t>
            </w:r>
          </w:p>
        </w:tc>
        <w:tc>
          <w:tcPr>
            <w:tcW w:w="1738" w:type="dxa"/>
            <w:tcBorders>
              <w:top w:val="nil"/>
              <w:left w:val="nil"/>
              <w:bottom w:val="nil"/>
              <w:right w:val="nil"/>
            </w:tcBorders>
            <w:vAlign w:val="center"/>
          </w:tcPr>
          <w:p w14:paraId="567639B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13.0(9.0,21.0)</w:t>
            </w:r>
          </w:p>
        </w:tc>
        <w:tc>
          <w:tcPr>
            <w:tcW w:w="1738" w:type="dxa"/>
            <w:tcBorders>
              <w:top w:val="nil"/>
              <w:left w:val="nil"/>
              <w:bottom w:val="nil"/>
              <w:right w:val="nil"/>
            </w:tcBorders>
            <w:vAlign w:val="center"/>
          </w:tcPr>
          <w:p w14:paraId="6EE24DB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17.0(11.5,43.5)</w:t>
            </w:r>
          </w:p>
        </w:tc>
        <w:tc>
          <w:tcPr>
            <w:tcW w:w="1738" w:type="dxa"/>
            <w:tcBorders>
              <w:top w:val="nil"/>
              <w:left w:val="nil"/>
              <w:bottom w:val="nil"/>
              <w:right w:val="nil"/>
            </w:tcBorders>
            <w:vAlign w:val="center"/>
          </w:tcPr>
          <w:p w14:paraId="3B405A7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35.0(26.0,58.5)</w:t>
            </w:r>
          </w:p>
        </w:tc>
        <w:tc>
          <w:tcPr>
            <w:tcW w:w="805" w:type="dxa"/>
            <w:tcBorders>
              <w:top w:val="nil"/>
              <w:left w:val="nil"/>
              <w:bottom w:val="nil"/>
              <w:right w:val="nil"/>
            </w:tcBorders>
            <w:vAlign w:val="center"/>
          </w:tcPr>
          <w:p w14:paraId="455AA7E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56AB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028A8D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Creatinine,mg/dL</w:t>
            </w:r>
          </w:p>
        </w:tc>
        <w:tc>
          <w:tcPr>
            <w:tcW w:w="1738" w:type="dxa"/>
            <w:tcBorders>
              <w:top w:val="nil"/>
              <w:left w:val="nil"/>
              <w:bottom w:val="nil"/>
              <w:right w:val="nil"/>
            </w:tcBorders>
            <w:vAlign w:val="center"/>
          </w:tcPr>
          <w:p w14:paraId="72A658E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1.0(0.7,1.4)</w:t>
            </w:r>
          </w:p>
        </w:tc>
        <w:tc>
          <w:tcPr>
            <w:tcW w:w="1738" w:type="dxa"/>
            <w:tcBorders>
              <w:top w:val="nil"/>
              <w:left w:val="nil"/>
              <w:bottom w:val="nil"/>
              <w:right w:val="nil"/>
            </w:tcBorders>
            <w:vAlign w:val="center"/>
          </w:tcPr>
          <w:p w14:paraId="58DC15E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0.9(0.7,1.6)</w:t>
            </w:r>
          </w:p>
        </w:tc>
        <w:tc>
          <w:tcPr>
            <w:tcW w:w="1738" w:type="dxa"/>
            <w:tcBorders>
              <w:top w:val="nil"/>
              <w:left w:val="nil"/>
              <w:bottom w:val="nil"/>
              <w:right w:val="nil"/>
            </w:tcBorders>
            <w:vAlign w:val="center"/>
          </w:tcPr>
          <w:p w14:paraId="454EC1A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0.4(0.3,0.8)</w:t>
            </w:r>
          </w:p>
        </w:tc>
        <w:tc>
          <w:tcPr>
            <w:tcW w:w="1738" w:type="dxa"/>
            <w:tcBorders>
              <w:top w:val="nil"/>
              <w:left w:val="nil"/>
              <w:bottom w:val="nil"/>
              <w:right w:val="nil"/>
            </w:tcBorders>
            <w:vAlign w:val="center"/>
          </w:tcPr>
          <w:p w14:paraId="14EB103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1.1(0.8,1.6)</w:t>
            </w:r>
          </w:p>
        </w:tc>
        <w:tc>
          <w:tcPr>
            <w:tcW w:w="805" w:type="dxa"/>
            <w:tcBorders>
              <w:top w:val="nil"/>
              <w:left w:val="nil"/>
              <w:bottom w:val="nil"/>
              <w:right w:val="nil"/>
            </w:tcBorders>
            <w:vAlign w:val="center"/>
          </w:tcPr>
          <w:p w14:paraId="0F4D6FE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30DA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254272E9">
            <w:pPr>
              <w:keepNext w:val="0"/>
              <w:keepLines w:val="0"/>
              <w:pageBreakBefore w:val="0"/>
              <w:kinsoku/>
              <w:wordWrap/>
              <w:overflowPunct/>
              <w:topLinePunct w:val="0"/>
              <w:bidi w:val="0"/>
              <w:snapToGrid/>
              <w:spacing w:line="480" w:lineRule="auto"/>
              <w:textAlignment w:val="auto"/>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B</w:t>
            </w:r>
            <w:r>
              <w:rPr>
                <w:rFonts w:hint="eastAsia" w:ascii="Times New Roman" w:hAnsi="Times New Roman" w:cs="Times New Roman"/>
                <w:sz w:val="24"/>
                <w:szCs w:val="24"/>
                <w:lang w:val="en-US" w:eastAsia="zh-CN"/>
              </w:rPr>
              <w:t>CR</w:t>
            </w:r>
          </w:p>
        </w:tc>
        <w:tc>
          <w:tcPr>
            <w:tcW w:w="1738" w:type="dxa"/>
            <w:tcBorders>
              <w:top w:val="nil"/>
              <w:left w:val="nil"/>
              <w:bottom w:val="nil"/>
              <w:right w:val="nil"/>
            </w:tcBorders>
            <w:vAlign w:val="center"/>
          </w:tcPr>
          <w:p w14:paraId="1261F07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21.5±5.0</w:t>
            </w:r>
          </w:p>
        </w:tc>
        <w:tc>
          <w:tcPr>
            <w:tcW w:w="1738" w:type="dxa"/>
            <w:tcBorders>
              <w:top w:val="nil"/>
              <w:left w:val="nil"/>
              <w:bottom w:val="nil"/>
              <w:right w:val="nil"/>
            </w:tcBorders>
            <w:vAlign w:val="center"/>
          </w:tcPr>
          <w:p w14:paraId="647CBB9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13.3±4.1</w:t>
            </w:r>
          </w:p>
        </w:tc>
        <w:tc>
          <w:tcPr>
            <w:tcW w:w="1738" w:type="dxa"/>
            <w:tcBorders>
              <w:top w:val="nil"/>
              <w:left w:val="nil"/>
              <w:bottom w:val="nil"/>
              <w:right w:val="nil"/>
            </w:tcBorders>
            <w:vAlign w:val="center"/>
          </w:tcPr>
          <w:p w14:paraId="5B2C614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62.6±32.9</w:t>
            </w:r>
          </w:p>
        </w:tc>
        <w:tc>
          <w:tcPr>
            <w:tcW w:w="1738" w:type="dxa"/>
            <w:tcBorders>
              <w:top w:val="nil"/>
              <w:left w:val="nil"/>
              <w:bottom w:val="nil"/>
              <w:right w:val="nil"/>
            </w:tcBorders>
            <w:vAlign w:val="center"/>
          </w:tcPr>
          <w:p w14:paraId="0B8E628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36.2±9.6</w:t>
            </w:r>
          </w:p>
        </w:tc>
        <w:tc>
          <w:tcPr>
            <w:tcW w:w="805" w:type="dxa"/>
            <w:tcBorders>
              <w:top w:val="nil"/>
              <w:left w:val="nil"/>
              <w:bottom w:val="nil"/>
              <w:right w:val="nil"/>
            </w:tcBorders>
            <w:vAlign w:val="center"/>
          </w:tcPr>
          <w:p w14:paraId="7EAB668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&lt;0.001</w:t>
            </w:r>
          </w:p>
        </w:tc>
      </w:tr>
      <w:tr w14:paraId="1779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A7244F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Norepinephrine,N(%)</w:t>
            </w:r>
          </w:p>
        </w:tc>
        <w:tc>
          <w:tcPr>
            <w:tcW w:w="1738" w:type="dxa"/>
            <w:tcBorders>
              <w:top w:val="nil"/>
              <w:left w:val="nil"/>
              <w:bottom w:val="nil"/>
              <w:right w:val="nil"/>
            </w:tcBorders>
            <w:vAlign w:val="center"/>
          </w:tcPr>
          <w:p w14:paraId="5F13B5E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22(8.1%)</w:t>
            </w:r>
          </w:p>
        </w:tc>
        <w:tc>
          <w:tcPr>
            <w:tcW w:w="1738" w:type="dxa"/>
            <w:tcBorders>
              <w:top w:val="nil"/>
              <w:left w:val="nil"/>
              <w:bottom w:val="nil"/>
              <w:right w:val="nil"/>
            </w:tcBorders>
            <w:vAlign w:val="center"/>
          </w:tcPr>
          <w:p w14:paraId="0F834E9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16(6.6%)</w:t>
            </w:r>
          </w:p>
        </w:tc>
        <w:tc>
          <w:tcPr>
            <w:tcW w:w="1738" w:type="dxa"/>
            <w:tcBorders>
              <w:top w:val="nil"/>
              <w:left w:val="nil"/>
              <w:bottom w:val="nil"/>
              <w:right w:val="nil"/>
            </w:tcBorders>
            <w:vAlign w:val="center"/>
          </w:tcPr>
          <w:p w14:paraId="3B11FAC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w:t>
            </w:r>
          </w:p>
        </w:tc>
        <w:tc>
          <w:tcPr>
            <w:tcW w:w="1738" w:type="dxa"/>
            <w:tcBorders>
              <w:top w:val="nil"/>
              <w:left w:val="nil"/>
              <w:bottom w:val="nil"/>
              <w:right w:val="nil"/>
            </w:tcBorders>
            <w:vAlign w:val="center"/>
          </w:tcPr>
          <w:p w14:paraId="5E5DE49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7(8.6%)</w:t>
            </w:r>
          </w:p>
        </w:tc>
        <w:tc>
          <w:tcPr>
            <w:tcW w:w="805" w:type="dxa"/>
            <w:tcBorders>
              <w:top w:val="nil"/>
              <w:left w:val="nil"/>
              <w:bottom w:val="nil"/>
              <w:right w:val="nil"/>
            </w:tcBorders>
            <w:vAlign w:val="center"/>
          </w:tcPr>
          <w:p w14:paraId="3264985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0.654</w:t>
            </w:r>
          </w:p>
        </w:tc>
      </w:tr>
      <w:tr w14:paraId="770C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1FF42AB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Octreotide,N(%)</w:t>
            </w:r>
          </w:p>
        </w:tc>
        <w:tc>
          <w:tcPr>
            <w:tcW w:w="1738" w:type="dxa"/>
            <w:tcBorders>
              <w:top w:val="nil"/>
              <w:left w:val="nil"/>
              <w:bottom w:val="nil"/>
              <w:right w:val="nil"/>
            </w:tcBorders>
            <w:vAlign w:val="center"/>
          </w:tcPr>
          <w:p w14:paraId="65D98A9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18(6.6%)</w:t>
            </w:r>
          </w:p>
        </w:tc>
        <w:tc>
          <w:tcPr>
            <w:tcW w:w="1738" w:type="dxa"/>
            <w:tcBorders>
              <w:top w:val="nil"/>
              <w:left w:val="nil"/>
              <w:bottom w:val="nil"/>
              <w:right w:val="nil"/>
            </w:tcBorders>
            <w:vAlign w:val="center"/>
          </w:tcPr>
          <w:p w14:paraId="210A70F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12(5.0%)</w:t>
            </w:r>
          </w:p>
        </w:tc>
        <w:tc>
          <w:tcPr>
            <w:tcW w:w="1738" w:type="dxa"/>
            <w:tcBorders>
              <w:top w:val="nil"/>
              <w:left w:val="nil"/>
              <w:bottom w:val="nil"/>
              <w:right w:val="nil"/>
            </w:tcBorders>
            <w:vAlign w:val="center"/>
          </w:tcPr>
          <w:p w14:paraId="788ABB9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2(15.4%)</w:t>
            </w:r>
          </w:p>
        </w:tc>
        <w:tc>
          <w:tcPr>
            <w:tcW w:w="1738" w:type="dxa"/>
            <w:tcBorders>
              <w:top w:val="nil"/>
              <w:left w:val="nil"/>
              <w:bottom w:val="nil"/>
              <w:right w:val="nil"/>
            </w:tcBorders>
            <w:vAlign w:val="center"/>
          </w:tcPr>
          <w:p w14:paraId="25D4B26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9(11.1%)</w:t>
            </w:r>
          </w:p>
        </w:tc>
        <w:tc>
          <w:tcPr>
            <w:tcW w:w="805" w:type="dxa"/>
            <w:tcBorders>
              <w:top w:val="nil"/>
              <w:left w:val="nil"/>
              <w:bottom w:val="nil"/>
              <w:right w:val="nil"/>
            </w:tcBorders>
            <w:vAlign w:val="center"/>
          </w:tcPr>
          <w:p w14:paraId="7FCC1A4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0.159</w:t>
            </w:r>
          </w:p>
        </w:tc>
      </w:tr>
      <w:tr w14:paraId="2446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2CB3D65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Anticoagulants,N(%)</w:t>
            </w:r>
          </w:p>
        </w:tc>
        <w:tc>
          <w:tcPr>
            <w:tcW w:w="1738" w:type="dxa"/>
            <w:tcBorders>
              <w:top w:val="nil"/>
              <w:left w:val="nil"/>
              <w:bottom w:val="nil"/>
              <w:right w:val="nil"/>
            </w:tcBorders>
            <w:vAlign w:val="center"/>
          </w:tcPr>
          <w:p w14:paraId="0ED0FDD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77(28.4%)</w:t>
            </w:r>
          </w:p>
        </w:tc>
        <w:tc>
          <w:tcPr>
            <w:tcW w:w="1738" w:type="dxa"/>
            <w:tcBorders>
              <w:top w:val="nil"/>
              <w:left w:val="nil"/>
              <w:bottom w:val="nil"/>
              <w:right w:val="nil"/>
            </w:tcBorders>
            <w:vAlign w:val="center"/>
          </w:tcPr>
          <w:p w14:paraId="5840EB9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44(18.3%)</w:t>
            </w:r>
          </w:p>
        </w:tc>
        <w:tc>
          <w:tcPr>
            <w:tcW w:w="1738" w:type="dxa"/>
            <w:tcBorders>
              <w:top w:val="nil"/>
              <w:left w:val="nil"/>
              <w:bottom w:val="nil"/>
              <w:right w:val="nil"/>
            </w:tcBorders>
            <w:vAlign w:val="center"/>
          </w:tcPr>
          <w:p w14:paraId="1BE506D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5(38.5%)</w:t>
            </w:r>
          </w:p>
        </w:tc>
        <w:tc>
          <w:tcPr>
            <w:tcW w:w="1738" w:type="dxa"/>
            <w:tcBorders>
              <w:top w:val="nil"/>
              <w:left w:val="nil"/>
              <w:bottom w:val="nil"/>
              <w:right w:val="nil"/>
            </w:tcBorders>
            <w:vAlign w:val="center"/>
          </w:tcPr>
          <w:p w14:paraId="5726CEC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19(23.5%)</w:t>
            </w:r>
          </w:p>
        </w:tc>
        <w:tc>
          <w:tcPr>
            <w:tcW w:w="805" w:type="dxa"/>
            <w:tcBorders>
              <w:top w:val="nil"/>
              <w:left w:val="nil"/>
              <w:bottom w:val="nil"/>
              <w:right w:val="nil"/>
            </w:tcBorders>
            <w:vAlign w:val="center"/>
          </w:tcPr>
          <w:p w14:paraId="6BFB85E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0.032</w:t>
            </w:r>
          </w:p>
        </w:tc>
      </w:tr>
      <w:tr w14:paraId="59DC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1CAC5B4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Fluid-resuscitation,N(%)</w:t>
            </w:r>
          </w:p>
        </w:tc>
        <w:tc>
          <w:tcPr>
            <w:tcW w:w="1738" w:type="dxa"/>
            <w:tcBorders>
              <w:top w:val="nil"/>
              <w:left w:val="nil"/>
              <w:bottom w:val="nil"/>
              <w:right w:val="nil"/>
            </w:tcBorders>
            <w:vAlign w:val="center"/>
          </w:tcPr>
          <w:p w14:paraId="7776F12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258(95.2%)</w:t>
            </w:r>
          </w:p>
        </w:tc>
        <w:tc>
          <w:tcPr>
            <w:tcW w:w="1738" w:type="dxa"/>
            <w:tcBorders>
              <w:top w:val="nil"/>
              <w:left w:val="nil"/>
              <w:bottom w:val="nil"/>
              <w:right w:val="nil"/>
            </w:tcBorders>
            <w:vAlign w:val="center"/>
          </w:tcPr>
          <w:p w14:paraId="32A4639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225(93.4%)</w:t>
            </w:r>
          </w:p>
        </w:tc>
        <w:tc>
          <w:tcPr>
            <w:tcW w:w="1738" w:type="dxa"/>
            <w:tcBorders>
              <w:top w:val="nil"/>
              <w:left w:val="nil"/>
              <w:bottom w:val="nil"/>
              <w:right w:val="nil"/>
            </w:tcBorders>
            <w:vAlign w:val="center"/>
          </w:tcPr>
          <w:p w14:paraId="02CB287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13(100%)</w:t>
            </w:r>
          </w:p>
        </w:tc>
        <w:tc>
          <w:tcPr>
            <w:tcW w:w="1738" w:type="dxa"/>
            <w:tcBorders>
              <w:top w:val="nil"/>
              <w:left w:val="nil"/>
              <w:bottom w:val="nil"/>
              <w:right w:val="nil"/>
            </w:tcBorders>
            <w:vAlign w:val="center"/>
          </w:tcPr>
          <w:p w14:paraId="5CC1FF2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75(92.6%)</w:t>
            </w:r>
          </w:p>
        </w:tc>
        <w:tc>
          <w:tcPr>
            <w:tcW w:w="805" w:type="dxa"/>
            <w:tcBorders>
              <w:top w:val="nil"/>
              <w:left w:val="nil"/>
              <w:bottom w:val="nil"/>
              <w:right w:val="nil"/>
            </w:tcBorders>
            <w:vAlign w:val="center"/>
          </w:tcPr>
          <w:p w14:paraId="20BC200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0.572</w:t>
            </w:r>
          </w:p>
        </w:tc>
      </w:tr>
      <w:tr w14:paraId="7C8E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40F3FB1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Antibiotic,N(%)</w:t>
            </w:r>
          </w:p>
        </w:tc>
        <w:tc>
          <w:tcPr>
            <w:tcW w:w="1738" w:type="dxa"/>
            <w:tcBorders>
              <w:top w:val="nil"/>
              <w:left w:val="nil"/>
              <w:bottom w:val="nil"/>
              <w:right w:val="nil"/>
            </w:tcBorders>
            <w:vAlign w:val="center"/>
          </w:tcPr>
          <w:p w14:paraId="46CF790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243(89.7%)</w:t>
            </w:r>
          </w:p>
        </w:tc>
        <w:tc>
          <w:tcPr>
            <w:tcW w:w="1738" w:type="dxa"/>
            <w:tcBorders>
              <w:top w:val="nil"/>
              <w:left w:val="nil"/>
              <w:bottom w:val="nil"/>
              <w:right w:val="nil"/>
            </w:tcBorders>
            <w:vAlign w:val="center"/>
          </w:tcPr>
          <w:p w14:paraId="6FAC20E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195(80.9%)</w:t>
            </w:r>
          </w:p>
        </w:tc>
        <w:tc>
          <w:tcPr>
            <w:tcW w:w="1738" w:type="dxa"/>
            <w:tcBorders>
              <w:top w:val="nil"/>
              <w:left w:val="nil"/>
              <w:bottom w:val="nil"/>
              <w:right w:val="nil"/>
            </w:tcBorders>
            <w:vAlign w:val="center"/>
          </w:tcPr>
          <w:p w14:paraId="3AB2CFB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12(92.3%)</w:t>
            </w:r>
          </w:p>
        </w:tc>
        <w:tc>
          <w:tcPr>
            <w:tcW w:w="1738" w:type="dxa"/>
            <w:tcBorders>
              <w:top w:val="nil"/>
              <w:left w:val="nil"/>
              <w:bottom w:val="nil"/>
              <w:right w:val="nil"/>
            </w:tcBorders>
            <w:vAlign w:val="center"/>
          </w:tcPr>
          <w:p w14:paraId="26C1FAA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65(80.2%)</w:t>
            </w:r>
          </w:p>
        </w:tc>
        <w:tc>
          <w:tcPr>
            <w:tcW w:w="805" w:type="dxa"/>
            <w:tcBorders>
              <w:top w:val="nil"/>
              <w:left w:val="nil"/>
              <w:bottom w:val="nil"/>
              <w:right w:val="nil"/>
            </w:tcBorders>
            <w:vAlign w:val="center"/>
          </w:tcPr>
          <w:p w14:paraId="50A03EC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0.021</w:t>
            </w:r>
          </w:p>
        </w:tc>
      </w:tr>
      <w:tr w14:paraId="3019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252FF3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Renal failure,N(%)</w:t>
            </w:r>
          </w:p>
        </w:tc>
        <w:tc>
          <w:tcPr>
            <w:tcW w:w="1738" w:type="dxa"/>
            <w:tcBorders>
              <w:top w:val="nil"/>
              <w:left w:val="nil"/>
              <w:bottom w:val="nil"/>
              <w:right w:val="nil"/>
            </w:tcBorders>
            <w:vAlign w:val="center"/>
          </w:tcPr>
          <w:p w14:paraId="51CBF74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129(47.6%)</w:t>
            </w:r>
          </w:p>
        </w:tc>
        <w:tc>
          <w:tcPr>
            <w:tcW w:w="1738" w:type="dxa"/>
            <w:tcBorders>
              <w:top w:val="nil"/>
              <w:left w:val="nil"/>
              <w:bottom w:val="nil"/>
              <w:right w:val="nil"/>
            </w:tcBorders>
            <w:vAlign w:val="center"/>
          </w:tcPr>
          <w:p w14:paraId="4538C36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95(39.4%)</w:t>
            </w:r>
          </w:p>
        </w:tc>
        <w:tc>
          <w:tcPr>
            <w:tcW w:w="1738" w:type="dxa"/>
            <w:tcBorders>
              <w:top w:val="nil"/>
              <w:left w:val="nil"/>
              <w:bottom w:val="nil"/>
              <w:right w:val="nil"/>
            </w:tcBorders>
            <w:vAlign w:val="center"/>
          </w:tcPr>
          <w:p w14:paraId="36456E1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2(15.4%)</w:t>
            </w:r>
          </w:p>
        </w:tc>
        <w:tc>
          <w:tcPr>
            <w:tcW w:w="1738" w:type="dxa"/>
            <w:tcBorders>
              <w:top w:val="nil"/>
              <w:left w:val="nil"/>
              <w:bottom w:val="nil"/>
              <w:right w:val="nil"/>
            </w:tcBorders>
            <w:vAlign w:val="center"/>
          </w:tcPr>
          <w:p w14:paraId="2EB9577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46(56.8%)</w:t>
            </w:r>
          </w:p>
        </w:tc>
        <w:tc>
          <w:tcPr>
            <w:tcW w:w="805" w:type="dxa"/>
            <w:tcBorders>
              <w:top w:val="nil"/>
              <w:left w:val="nil"/>
              <w:bottom w:val="nil"/>
              <w:right w:val="nil"/>
            </w:tcBorders>
            <w:vAlign w:val="center"/>
          </w:tcPr>
          <w:p w14:paraId="64FDB29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0.005</w:t>
            </w:r>
          </w:p>
        </w:tc>
      </w:tr>
      <w:tr w14:paraId="0861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76D669D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Respiratory failure,N(%)</w:t>
            </w:r>
          </w:p>
        </w:tc>
        <w:tc>
          <w:tcPr>
            <w:tcW w:w="1738" w:type="dxa"/>
            <w:tcBorders>
              <w:top w:val="nil"/>
              <w:left w:val="nil"/>
              <w:bottom w:val="nil"/>
              <w:right w:val="nil"/>
            </w:tcBorders>
            <w:vAlign w:val="center"/>
          </w:tcPr>
          <w:p w14:paraId="4193FEA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74(27.3%)</w:t>
            </w:r>
          </w:p>
        </w:tc>
        <w:tc>
          <w:tcPr>
            <w:tcW w:w="1738" w:type="dxa"/>
            <w:tcBorders>
              <w:top w:val="nil"/>
              <w:left w:val="nil"/>
              <w:bottom w:val="nil"/>
              <w:right w:val="nil"/>
            </w:tcBorders>
            <w:vAlign w:val="center"/>
          </w:tcPr>
          <w:p w14:paraId="5541CD6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62(25.7%)</w:t>
            </w:r>
          </w:p>
        </w:tc>
        <w:tc>
          <w:tcPr>
            <w:tcW w:w="1738" w:type="dxa"/>
            <w:tcBorders>
              <w:top w:val="nil"/>
              <w:left w:val="nil"/>
              <w:bottom w:val="nil"/>
              <w:right w:val="nil"/>
            </w:tcBorders>
            <w:vAlign w:val="center"/>
          </w:tcPr>
          <w:p w14:paraId="3174CAD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3(23.1%)</w:t>
            </w:r>
          </w:p>
        </w:tc>
        <w:tc>
          <w:tcPr>
            <w:tcW w:w="1738" w:type="dxa"/>
            <w:tcBorders>
              <w:top w:val="nil"/>
              <w:left w:val="nil"/>
              <w:bottom w:val="nil"/>
              <w:right w:val="nil"/>
            </w:tcBorders>
            <w:vAlign w:val="center"/>
          </w:tcPr>
          <w:p w14:paraId="1BBE0F7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27(33.3%)</w:t>
            </w:r>
          </w:p>
        </w:tc>
        <w:tc>
          <w:tcPr>
            <w:tcW w:w="805" w:type="dxa"/>
            <w:tcBorders>
              <w:top w:val="nil"/>
              <w:left w:val="nil"/>
              <w:bottom w:val="nil"/>
              <w:right w:val="nil"/>
            </w:tcBorders>
            <w:vAlign w:val="center"/>
          </w:tcPr>
          <w:p w14:paraId="478C921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0.594</w:t>
            </w:r>
          </w:p>
        </w:tc>
      </w:tr>
      <w:tr w14:paraId="3F10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527B1C8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Sepsis,N(%)</w:t>
            </w:r>
          </w:p>
        </w:tc>
        <w:tc>
          <w:tcPr>
            <w:tcW w:w="1738" w:type="dxa"/>
            <w:tcBorders>
              <w:top w:val="nil"/>
              <w:left w:val="nil"/>
              <w:bottom w:val="nil"/>
              <w:right w:val="nil"/>
            </w:tcBorders>
            <w:vAlign w:val="center"/>
          </w:tcPr>
          <w:p w14:paraId="656332C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159(58.7%)</w:t>
            </w:r>
          </w:p>
        </w:tc>
        <w:tc>
          <w:tcPr>
            <w:tcW w:w="1738" w:type="dxa"/>
            <w:tcBorders>
              <w:top w:val="nil"/>
              <w:left w:val="nil"/>
              <w:bottom w:val="nil"/>
              <w:right w:val="nil"/>
            </w:tcBorders>
            <w:vAlign w:val="center"/>
          </w:tcPr>
          <w:p w14:paraId="4BA99F6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138(57.3%)</w:t>
            </w:r>
          </w:p>
        </w:tc>
        <w:tc>
          <w:tcPr>
            <w:tcW w:w="1738" w:type="dxa"/>
            <w:tcBorders>
              <w:top w:val="nil"/>
              <w:left w:val="nil"/>
              <w:bottom w:val="nil"/>
              <w:right w:val="nil"/>
            </w:tcBorders>
            <w:vAlign w:val="center"/>
          </w:tcPr>
          <w:p w14:paraId="6BE8290A">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9(69.2%)</w:t>
            </w:r>
          </w:p>
        </w:tc>
        <w:tc>
          <w:tcPr>
            <w:tcW w:w="1738" w:type="dxa"/>
            <w:tcBorders>
              <w:top w:val="nil"/>
              <w:left w:val="nil"/>
              <w:bottom w:val="nil"/>
              <w:right w:val="nil"/>
            </w:tcBorders>
            <w:vAlign w:val="center"/>
          </w:tcPr>
          <w:p w14:paraId="3606A95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47(58.0%)</w:t>
            </w:r>
          </w:p>
        </w:tc>
        <w:tc>
          <w:tcPr>
            <w:tcW w:w="805" w:type="dxa"/>
            <w:tcBorders>
              <w:top w:val="nil"/>
              <w:left w:val="nil"/>
              <w:bottom w:val="nil"/>
              <w:right w:val="nil"/>
            </w:tcBorders>
            <w:vAlign w:val="center"/>
          </w:tcPr>
          <w:p w14:paraId="5F9646B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0.858</w:t>
            </w:r>
          </w:p>
        </w:tc>
      </w:tr>
      <w:tr w14:paraId="7EC8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614C689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Ventilation,N(%)</w:t>
            </w:r>
          </w:p>
        </w:tc>
        <w:tc>
          <w:tcPr>
            <w:tcW w:w="1738" w:type="dxa"/>
            <w:tcBorders>
              <w:top w:val="nil"/>
              <w:left w:val="nil"/>
              <w:bottom w:val="nil"/>
              <w:right w:val="nil"/>
            </w:tcBorders>
            <w:vAlign w:val="center"/>
          </w:tcPr>
          <w:p w14:paraId="784C03F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108(39.9%)</w:t>
            </w:r>
          </w:p>
        </w:tc>
        <w:tc>
          <w:tcPr>
            <w:tcW w:w="1738" w:type="dxa"/>
            <w:tcBorders>
              <w:top w:val="nil"/>
              <w:left w:val="nil"/>
              <w:bottom w:val="nil"/>
              <w:right w:val="nil"/>
            </w:tcBorders>
            <w:vAlign w:val="center"/>
          </w:tcPr>
          <w:p w14:paraId="2BF164D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98(40.7%)</w:t>
            </w:r>
          </w:p>
        </w:tc>
        <w:tc>
          <w:tcPr>
            <w:tcW w:w="1738" w:type="dxa"/>
            <w:tcBorders>
              <w:top w:val="nil"/>
              <w:left w:val="nil"/>
              <w:bottom w:val="nil"/>
              <w:right w:val="nil"/>
            </w:tcBorders>
            <w:vAlign w:val="center"/>
          </w:tcPr>
          <w:p w14:paraId="353614C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5(38.5%)</w:t>
            </w:r>
          </w:p>
        </w:tc>
        <w:tc>
          <w:tcPr>
            <w:tcW w:w="1738" w:type="dxa"/>
            <w:tcBorders>
              <w:top w:val="nil"/>
              <w:left w:val="nil"/>
              <w:bottom w:val="nil"/>
              <w:right w:val="nil"/>
            </w:tcBorders>
            <w:vAlign w:val="center"/>
          </w:tcPr>
          <w:p w14:paraId="67974F1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34(42.0%)</w:t>
            </w:r>
          </w:p>
        </w:tc>
        <w:tc>
          <w:tcPr>
            <w:tcW w:w="805" w:type="dxa"/>
            <w:tcBorders>
              <w:top w:val="nil"/>
              <w:left w:val="nil"/>
              <w:bottom w:val="nil"/>
              <w:right w:val="nil"/>
            </w:tcBorders>
            <w:vAlign w:val="center"/>
          </w:tcPr>
          <w:p w14:paraId="68EAB80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0.986</w:t>
            </w:r>
          </w:p>
        </w:tc>
      </w:tr>
      <w:tr w14:paraId="57E2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72CDF7B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CRRT,N(%)</w:t>
            </w:r>
          </w:p>
        </w:tc>
        <w:tc>
          <w:tcPr>
            <w:tcW w:w="1738" w:type="dxa"/>
            <w:tcBorders>
              <w:top w:val="nil"/>
              <w:left w:val="nil"/>
              <w:bottom w:val="nil"/>
              <w:right w:val="nil"/>
            </w:tcBorders>
            <w:vAlign w:val="center"/>
          </w:tcPr>
          <w:p w14:paraId="34D6846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8(3.0%)</w:t>
            </w:r>
          </w:p>
        </w:tc>
        <w:tc>
          <w:tcPr>
            <w:tcW w:w="1738" w:type="dxa"/>
            <w:tcBorders>
              <w:top w:val="nil"/>
              <w:left w:val="nil"/>
              <w:bottom w:val="nil"/>
              <w:right w:val="nil"/>
            </w:tcBorders>
            <w:vAlign w:val="center"/>
          </w:tcPr>
          <w:p w14:paraId="4F20E87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14(5.8%)</w:t>
            </w:r>
          </w:p>
        </w:tc>
        <w:tc>
          <w:tcPr>
            <w:tcW w:w="1738" w:type="dxa"/>
            <w:tcBorders>
              <w:top w:val="nil"/>
              <w:left w:val="nil"/>
              <w:bottom w:val="nil"/>
              <w:right w:val="nil"/>
            </w:tcBorders>
            <w:vAlign w:val="center"/>
          </w:tcPr>
          <w:p w14:paraId="2382216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w:t>
            </w:r>
          </w:p>
        </w:tc>
        <w:tc>
          <w:tcPr>
            <w:tcW w:w="1738" w:type="dxa"/>
            <w:tcBorders>
              <w:top w:val="nil"/>
              <w:left w:val="nil"/>
              <w:bottom w:val="nil"/>
              <w:right w:val="nil"/>
            </w:tcBorders>
            <w:vAlign w:val="center"/>
          </w:tcPr>
          <w:p w14:paraId="69DF5E2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1(1.2%)</w:t>
            </w:r>
          </w:p>
        </w:tc>
        <w:tc>
          <w:tcPr>
            <w:tcW w:w="805" w:type="dxa"/>
            <w:tcBorders>
              <w:top w:val="nil"/>
              <w:left w:val="nil"/>
              <w:bottom w:val="nil"/>
              <w:right w:val="nil"/>
            </w:tcBorders>
            <w:vAlign w:val="center"/>
          </w:tcPr>
          <w:p w14:paraId="5275E2C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0.160</w:t>
            </w:r>
          </w:p>
        </w:tc>
      </w:tr>
      <w:tr w14:paraId="065D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52F582B9">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LOS in ICU,Day</w:t>
            </w:r>
          </w:p>
        </w:tc>
        <w:tc>
          <w:tcPr>
            <w:tcW w:w="1738" w:type="dxa"/>
            <w:tcBorders>
              <w:top w:val="nil"/>
              <w:left w:val="nil"/>
              <w:bottom w:val="nil"/>
              <w:right w:val="nil"/>
            </w:tcBorders>
            <w:vAlign w:val="center"/>
          </w:tcPr>
          <w:p w14:paraId="5E9B7D0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2.4(1.4,5.0)</w:t>
            </w:r>
          </w:p>
        </w:tc>
        <w:tc>
          <w:tcPr>
            <w:tcW w:w="1738" w:type="dxa"/>
            <w:tcBorders>
              <w:top w:val="nil"/>
              <w:left w:val="nil"/>
              <w:bottom w:val="nil"/>
              <w:right w:val="nil"/>
            </w:tcBorders>
            <w:vAlign w:val="center"/>
          </w:tcPr>
          <w:p w14:paraId="027FDFF8">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2.7(1.2,6.2)</w:t>
            </w:r>
          </w:p>
        </w:tc>
        <w:tc>
          <w:tcPr>
            <w:tcW w:w="1738" w:type="dxa"/>
            <w:tcBorders>
              <w:top w:val="nil"/>
              <w:left w:val="nil"/>
              <w:bottom w:val="nil"/>
              <w:right w:val="nil"/>
            </w:tcBorders>
            <w:vAlign w:val="center"/>
          </w:tcPr>
          <w:p w14:paraId="7E9D775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2.7(1.8,9.5)</w:t>
            </w:r>
          </w:p>
        </w:tc>
        <w:tc>
          <w:tcPr>
            <w:tcW w:w="1738" w:type="dxa"/>
            <w:tcBorders>
              <w:top w:val="nil"/>
              <w:left w:val="nil"/>
              <w:bottom w:val="nil"/>
              <w:right w:val="nil"/>
            </w:tcBorders>
            <w:vAlign w:val="center"/>
          </w:tcPr>
          <w:p w14:paraId="08AB288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3.1(1.6,6.9)</w:t>
            </w:r>
          </w:p>
        </w:tc>
        <w:tc>
          <w:tcPr>
            <w:tcW w:w="805" w:type="dxa"/>
            <w:tcBorders>
              <w:top w:val="nil"/>
              <w:left w:val="nil"/>
              <w:bottom w:val="nil"/>
              <w:right w:val="nil"/>
            </w:tcBorders>
            <w:vAlign w:val="center"/>
          </w:tcPr>
          <w:p w14:paraId="66BF093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0.485</w:t>
            </w:r>
          </w:p>
        </w:tc>
      </w:tr>
      <w:tr w14:paraId="3B05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08163B7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Icu mortality,N(%)</w:t>
            </w:r>
          </w:p>
        </w:tc>
        <w:tc>
          <w:tcPr>
            <w:tcW w:w="1738" w:type="dxa"/>
            <w:tcBorders>
              <w:top w:val="nil"/>
              <w:left w:val="nil"/>
              <w:bottom w:val="nil"/>
              <w:right w:val="nil"/>
            </w:tcBorders>
            <w:vAlign w:val="center"/>
          </w:tcPr>
          <w:p w14:paraId="157681C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14(5.2%)</w:t>
            </w:r>
          </w:p>
        </w:tc>
        <w:tc>
          <w:tcPr>
            <w:tcW w:w="1738" w:type="dxa"/>
            <w:tcBorders>
              <w:top w:val="nil"/>
              <w:left w:val="nil"/>
              <w:bottom w:val="nil"/>
              <w:right w:val="nil"/>
            </w:tcBorders>
            <w:vAlign w:val="center"/>
          </w:tcPr>
          <w:p w14:paraId="24A6829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11(4.6%)</w:t>
            </w:r>
          </w:p>
        </w:tc>
        <w:tc>
          <w:tcPr>
            <w:tcW w:w="1738" w:type="dxa"/>
            <w:tcBorders>
              <w:top w:val="nil"/>
              <w:left w:val="nil"/>
              <w:bottom w:val="nil"/>
              <w:right w:val="nil"/>
            </w:tcBorders>
            <w:vAlign w:val="center"/>
          </w:tcPr>
          <w:p w14:paraId="7300DA2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2(15.4%)</w:t>
            </w:r>
          </w:p>
        </w:tc>
        <w:tc>
          <w:tcPr>
            <w:tcW w:w="1738" w:type="dxa"/>
            <w:tcBorders>
              <w:top w:val="nil"/>
              <w:left w:val="nil"/>
              <w:bottom w:val="nil"/>
              <w:right w:val="nil"/>
            </w:tcBorders>
            <w:vAlign w:val="center"/>
          </w:tcPr>
          <w:p w14:paraId="5BACB97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9(11.1%)</w:t>
            </w:r>
          </w:p>
        </w:tc>
        <w:tc>
          <w:tcPr>
            <w:tcW w:w="805" w:type="dxa"/>
            <w:tcBorders>
              <w:top w:val="nil"/>
              <w:left w:val="nil"/>
              <w:bottom w:val="nil"/>
              <w:right w:val="nil"/>
            </w:tcBorders>
            <w:vAlign w:val="center"/>
          </w:tcPr>
          <w:p w14:paraId="5C6ED30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0.070</w:t>
            </w:r>
          </w:p>
        </w:tc>
      </w:tr>
      <w:tr w14:paraId="468A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068C705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Inhospital mortality,N(%)</w:t>
            </w:r>
          </w:p>
        </w:tc>
        <w:tc>
          <w:tcPr>
            <w:tcW w:w="1738" w:type="dxa"/>
            <w:tcBorders>
              <w:top w:val="nil"/>
              <w:left w:val="nil"/>
              <w:bottom w:val="nil"/>
              <w:right w:val="nil"/>
            </w:tcBorders>
            <w:vAlign w:val="center"/>
          </w:tcPr>
          <w:p w14:paraId="7624EF31">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26(9.6%)</w:t>
            </w:r>
          </w:p>
        </w:tc>
        <w:tc>
          <w:tcPr>
            <w:tcW w:w="1738" w:type="dxa"/>
            <w:tcBorders>
              <w:top w:val="nil"/>
              <w:left w:val="nil"/>
              <w:bottom w:val="nil"/>
              <w:right w:val="nil"/>
            </w:tcBorders>
            <w:vAlign w:val="center"/>
          </w:tcPr>
          <w:p w14:paraId="4E41D19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28(11.6%)</w:t>
            </w:r>
          </w:p>
        </w:tc>
        <w:tc>
          <w:tcPr>
            <w:tcW w:w="1738" w:type="dxa"/>
            <w:tcBorders>
              <w:top w:val="nil"/>
              <w:left w:val="nil"/>
              <w:bottom w:val="nil"/>
              <w:right w:val="nil"/>
            </w:tcBorders>
            <w:vAlign w:val="center"/>
          </w:tcPr>
          <w:p w14:paraId="34B5A59F">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2(15.4%)</w:t>
            </w:r>
          </w:p>
        </w:tc>
        <w:tc>
          <w:tcPr>
            <w:tcW w:w="1738" w:type="dxa"/>
            <w:tcBorders>
              <w:top w:val="nil"/>
              <w:left w:val="nil"/>
              <w:bottom w:val="nil"/>
              <w:right w:val="nil"/>
            </w:tcBorders>
            <w:vAlign w:val="center"/>
          </w:tcPr>
          <w:p w14:paraId="6C1539F4">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16(19.8%)</w:t>
            </w:r>
          </w:p>
        </w:tc>
        <w:tc>
          <w:tcPr>
            <w:tcW w:w="805" w:type="dxa"/>
            <w:tcBorders>
              <w:top w:val="nil"/>
              <w:left w:val="nil"/>
              <w:bottom w:val="nil"/>
              <w:right w:val="nil"/>
            </w:tcBorders>
            <w:vAlign w:val="center"/>
          </w:tcPr>
          <w:p w14:paraId="41F5833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0.097</w:t>
            </w:r>
          </w:p>
        </w:tc>
      </w:tr>
      <w:tr w14:paraId="194C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nil"/>
              <w:right w:val="nil"/>
            </w:tcBorders>
            <w:vAlign w:val="center"/>
          </w:tcPr>
          <w:p w14:paraId="31AB0DF2">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28-day mortality,N (%)</w:t>
            </w:r>
          </w:p>
        </w:tc>
        <w:tc>
          <w:tcPr>
            <w:tcW w:w="1738" w:type="dxa"/>
            <w:tcBorders>
              <w:top w:val="nil"/>
              <w:left w:val="nil"/>
              <w:bottom w:val="nil"/>
              <w:right w:val="nil"/>
            </w:tcBorders>
            <w:vAlign w:val="center"/>
          </w:tcPr>
          <w:p w14:paraId="7F288363">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21(7.7%)</w:t>
            </w:r>
          </w:p>
        </w:tc>
        <w:tc>
          <w:tcPr>
            <w:tcW w:w="1738" w:type="dxa"/>
            <w:tcBorders>
              <w:top w:val="nil"/>
              <w:left w:val="nil"/>
              <w:bottom w:val="nil"/>
              <w:right w:val="nil"/>
            </w:tcBorders>
            <w:vAlign w:val="center"/>
          </w:tcPr>
          <w:p w14:paraId="0F98B19D">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25(10.4%)</w:t>
            </w:r>
          </w:p>
        </w:tc>
        <w:tc>
          <w:tcPr>
            <w:tcW w:w="1738" w:type="dxa"/>
            <w:tcBorders>
              <w:top w:val="nil"/>
              <w:left w:val="nil"/>
              <w:bottom w:val="nil"/>
              <w:right w:val="nil"/>
            </w:tcBorders>
            <w:vAlign w:val="center"/>
          </w:tcPr>
          <w:p w14:paraId="3D480500">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2(15.4%)</w:t>
            </w:r>
          </w:p>
        </w:tc>
        <w:tc>
          <w:tcPr>
            <w:tcW w:w="1738" w:type="dxa"/>
            <w:tcBorders>
              <w:top w:val="nil"/>
              <w:left w:val="nil"/>
              <w:bottom w:val="nil"/>
              <w:right w:val="nil"/>
            </w:tcBorders>
            <w:vAlign w:val="center"/>
          </w:tcPr>
          <w:p w14:paraId="2E100AE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17(21.0%)</w:t>
            </w:r>
          </w:p>
        </w:tc>
        <w:tc>
          <w:tcPr>
            <w:tcW w:w="805" w:type="dxa"/>
            <w:tcBorders>
              <w:top w:val="nil"/>
              <w:left w:val="nil"/>
              <w:bottom w:val="nil"/>
              <w:right w:val="nil"/>
            </w:tcBorders>
            <w:vAlign w:val="center"/>
          </w:tcPr>
          <w:p w14:paraId="2B1DB80C">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0.008</w:t>
            </w:r>
          </w:p>
        </w:tc>
      </w:tr>
      <w:tr w14:paraId="30DD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289" w:type="dxa"/>
            <w:tcBorders>
              <w:top w:val="nil"/>
              <w:left w:val="nil"/>
              <w:bottom w:val="single" w:color="auto" w:sz="12" w:space="0"/>
              <w:right w:val="nil"/>
            </w:tcBorders>
            <w:vAlign w:val="center"/>
          </w:tcPr>
          <w:p w14:paraId="72D02CD7">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90-day mortality,N (%)</w:t>
            </w:r>
          </w:p>
        </w:tc>
        <w:tc>
          <w:tcPr>
            <w:tcW w:w="1738" w:type="dxa"/>
            <w:tcBorders>
              <w:top w:val="nil"/>
              <w:left w:val="nil"/>
              <w:bottom w:val="single" w:color="auto" w:sz="12" w:space="0"/>
              <w:right w:val="nil"/>
            </w:tcBorders>
            <w:vAlign w:val="center"/>
          </w:tcPr>
          <w:p w14:paraId="68942946">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52(19.2%)</w:t>
            </w:r>
          </w:p>
        </w:tc>
        <w:tc>
          <w:tcPr>
            <w:tcW w:w="1738" w:type="dxa"/>
            <w:tcBorders>
              <w:top w:val="nil"/>
              <w:left w:val="nil"/>
              <w:bottom w:val="single" w:color="auto" w:sz="12" w:space="0"/>
              <w:right w:val="nil"/>
            </w:tcBorders>
            <w:vAlign w:val="center"/>
          </w:tcPr>
          <w:p w14:paraId="59408C9E">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44(18.3%)</w:t>
            </w:r>
          </w:p>
        </w:tc>
        <w:tc>
          <w:tcPr>
            <w:tcW w:w="1738" w:type="dxa"/>
            <w:tcBorders>
              <w:top w:val="nil"/>
              <w:left w:val="nil"/>
              <w:bottom w:val="single" w:color="auto" w:sz="12" w:space="0"/>
              <w:right w:val="nil"/>
            </w:tcBorders>
            <w:vAlign w:val="center"/>
          </w:tcPr>
          <w:p w14:paraId="5DDEDD8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3(23.1%)</w:t>
            </w:r>
          </w:p>
        </w:tc>
        <w:tc>
          <w:tcPr>
            <w:tcW w:w="1738" w:type="dxa"/>
            <w:tcBorders>
              <w:top w:val="nil"/>
              <w:left w:val="nil"/>
              <w:bottom w:val="single" w:color="auto" w:sz="12" w:space="0"/>
              <w:right w:val="nil"/>
            </w:tcBorders>
            <w:vAlign w:val="center"/>
          </w:tcPr>
          <w:p w14:paraId="39C7322B">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27(33.3%)</w:t>
            </w:r>
          </w:p>
        </w:tc>
        <w:tc>
          <w:tcPr>
            <w:tcW w:w="805" w:type="dxa"/>
            <w:tcBorders>
              <w:top w:val="nil"/>
              <w:left w:val="nil"/>
              <w:bottom w:val="single" w:color="auto" w:sz="12" w:space="0"/>
              <w:right w:val="nil"/>
            </w:tcBorders>
            <w:vAlign w:val="center"/>
          </w:tcPr>
          <w:p w14:paraId="249E7F05">
            <w:pPr>
              <w:keepNext w:val="0"/>
              <w:keepLines w:val="0"/>
              <w:pageBreakBefore w:val="0"/>
              <w:kinsoku/>
              <w:wordWrap/>
              <w:overflowPunct/>
              <w:topLinePunct w:val="0"/>
              <w:bidi w:val="0"/>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0.027</w:t>
            </w:r>
          </w:p>
        </w:tc>
      </w:tr>
    </w:tbl>
    <w:p w14:paraId="558F3616">
      <w:pPr>
        <w:rPr>
          <w:rFonts w:hint="eastAsia" w:eastAsiaTheme="minorEastAsia"/>
          <w:lang w:eastAsia="zh-CN"/>
        </w:rPr>
      </w:pPr>
    </w:p>
    <w:sectPr>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郭琴玉" w:date="2026-08-31T20:49:55Z" w:initials="">
    <w:p w14:paraId="4B468BB7">
      <w:pPr>
        <w:pStyle w:val="4"/>
      </w:pPr>
      <w:r>
        <w:rPr>
          <w:rFonts w:hint="eastAsia"/>
        </w:rPr>
        <w:t>The ethics statement has been supplemented in the Declarations section.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B468BB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Italic">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E8AA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B00D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B1B00D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郭琴玉">
    <w15:presenceInfo w15:providerId="WPS Office" w15:userId="35372095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Gastroenter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2sr5vvldww50et259xtp2mfpxar95s25ez&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8&lt;/item&gt;&lt;item&gt;19&lt;/item&gt;&lt;item&gt;20&lt;/item&gt;&lt;item&gt;21&lt;/item&gt;&lt;item&gt;22&lt;/item&gt;&lt;item&gt;23&lt;/item&gt;&lt;item&gt;24&lt;/item&gt;&lt;item&gt;25&lt;/item&gt;&lt;item&gt;26&lt;/item&gt;&lt;/record-ids&gt;&lt;/item&gt;&lt;/Libraries&gt;"/>
  </w:docVars>
  <w:rsids>
    <w:rsidRoot w:val="53DD067D"/>
    <w:rsid w:val="006E51C3"/>
    <w:rsid w:val="00B91DBF"/>
    <w:rsid w:val="01DB6F78"/>
    <w:rsid w:val="025A5C68"/>
    <w:rsid w:val="03E017D2"/>
    <w:rsid w:val="05AC4062"/>
    <w:rsid w:val="06431DD6"/>
    <w:rsid w:val="064A387B"/>
    <w:rsid w:val="068400A0"/>
    <w:rsid w:val="06B50E10"/>
    <w:rsid w:val="06E96BF0"/>
    <w:rsid w:val="07BC033E"/>
    <w:rsid w:val="08396A0E"/>
    <w:rsid w:val="08A94889"/>
    <w:rsid w:val="08F24482"/>
    <w:rsid w:val="09060CCF"/>
    <w:rsid w:val="09E97995"/>
    <w:rsid w:val="0A52707D"/>
    <w:rsid w:val="0AD97CBD"/>
    <w:rsid w:val="0B21104E"/>
    <w:rsid w:val="0B2E72C7"/>
    <w:rsid w:val="0B45790A"/>
    <w:rsid w:val="0BFF25BC"/>
    <w:rsid w:val="0C5806CC"/>
    <w:rsid w:val="0C953DB4"/>
    <w:rsid w:val="0CA737D5"/>
    <w:rsid w:val="0D00648B"/>
    <w:rsid w:val="0D7D62E4"/>
    <w:rsid w:val="0E550E35"/>
    <w:rsid w:val="0E747874"/>
    <w:rsid w:val="0E8100DC"/>
    <w:rsid w:val="0EAA7C1C"/>
    <w:rsid w:val="0F2F36F8"/>
    <w:rsid w:val="0F484622"/>
    <w:rsid w:val="0F587009"/>
    <w:rsid w:val="0FED14FF"/>
    <w:rsid w:val="10262C63"/>
    <w:rsid w:val="10905347"/>
    <w:rsid w:val="11234E2D"/>
    <w:rsid w:val="114D01EF"/>
    <w:rsid w:val="11E43BE6"/>
    <w:rsid w:val="12080923"/>
    <w:rsid w:val="12E8656E"/>
    <w:rsid w:val="138F1AA0"/>
    <w:rsid w:val="13B82867"/>
    <w:rsid w:val="13BC126E"/>
    <w:rsid w:val="13E77B33"/>
    <w:rsid w:val="14EC51E3"/>
    <w:rsid w:val="14F86A77"/>
    <w:rsid w:val="151237B6"/>
    <w:rsid w:val="1525798D"/>
    <w:rsid w:val="15DB706A"/>
    <w:rsid w:val="167C6BF3"/>
    <w:rsid w:val="16A20B69"/>
    <w:rsid w:val="16AF4AC3"/>
    <w:rsid w:val="16F93C3E"/>
    <w:rsid w:val="172267FB"/>
    <w:rsid w:val="17BE19D3"/>
    <w:rsid w:val="184077D8"/>
    <w:rsid w:val="190A4CA3"/>
    <w:rsid w:val="19512E99"/>
    <w:rsid w:val="19BE3F0C"/>
    <w:rsid w:val="19DD2A7D"/>
    <w:rsid w:val="19DD4C7B"/>
    <w:rsid w:val="19E21103"/>
    <w:rsid w:val="1C9A47BD"/>
    <w:rsid w:val="1CBE1E69"/>
    <w:rsid w:val="1D1866C7"/>
    <w:rsid w:val="1D40568D"/>
    <w:rsid w:val="1D6E6C2D"/>
    <w:rsid w:val="1E161EE3"/>
    <w:rsid w:val="1FE21B57"/>
    <w:rsid w:val="204123F7"/>
    <w:rsid w:val="20FA2EAA"/>
    <w:rsid w:val="214C7431"/>
    <w:rsid w:val="21521E4A"/>
    <w:rsid w:val="21641254"/>
    <w:rsid w:val="216E53E7"/>
    <w:rsid w:val="21775CF7"/>
    <w:rsid w:val="21A26B3B"/>
    <w:rsid w:val="21B93937"/>
    <w:rsid w:val="21E309B4"/>
    <w:rsid w:val="2237219C"/>
    <w:rsid w:val="22D420FB"/>
    <w:rsid w:val="2305495A"/>
    <w:rsid w:val="2308045D"/>
    <w:rsid w:val="233D40F4"/>
    <w:rsid w:val="234C7F9E"/>
    <w:rsid w:val="23713D9D"/>
    <w:rsid w:val="24952391"/>
    <w:rsid w:val="25223279"/>
    <w:rsid w:val="255B4D05"/>
    <w:rsid w:val="25E90563"/>
    <w:rsid w:val="26E813E1"/>
    <w:rsid w:val="2759240E"/>
    <w:rsid w:val="27F05BD9"/>
    <w:rsid w:val="280023AD"/>
    <w:rsid w:val="281F4E60"/>
    <w:rsid w:val="286456C1"/>
    <w:rsid w:val="28FB414E"/>
    <w:rsid w:val="29546686"/>
    <w:rsid w:val="29D14827"/>
    <w:rsid w:val="2A3B1CD8"/>
    <w:rsid w:val="2A7C3754"/>
    <w:rsid w:val="2A9071E3"/>
    <w:rsid w:val="2AC94DBF"/>
    <w:rsid w:val="2B201920"/>
    <w:rsid w:val="2B24304D"/>
    <w:rsid w:val="2C63688F"/>
    <w:rsid w:val="2CB8206C"/>
    <w:rsid w:val="2CD63A89"/>
    <w:rsid w:val="2D5E607D"/>
    <w:rsid w:val="2E1A1CB3"/>
    <w:rsid w:val="2E490C01"/>
    <w:rsid w:val="2E97707E"/>
    <w:rsid w:val="2E9932A3"/>
    <w:rsid w:val="2EFF6701"/>
    <w:rsid w:val="2F062BB5"/>
    <w:rsid w:val="2F6E12E0"/>
    <w:rsid w:val="2FCA6176"/>
    <w:rsid w:val="2FDB4087"/>
    <w:rsid w:val="30291A13"/>
    <w:rsid w:val="319C292D"/>
    <w:rsid w:val="31D668AF"/>
    <w:rsid w:val="321F2DC7"/>
    <w:rsid w:val="3224724F"/>
    <w:rsid w:val="325767A5"/>
    <w:rsid w:val="32AD1732"/>
    <w:rsid w:val="33902CD2"/>
    <w:rsid w:val="33D535A4"/>
    <w:rsid w:val="33DA5D63"/>
    <w:rsid w:val="34432ACD"/>
    <w:rsid w:val="347E3BAB"/>
    <w:rsid w:val="351D324F"/>
    <w:rsid w:val="352D676C"/>
    <w:rsid w:val="35587EBF"/>
    <w:rsid w:val="35BB5A78"/>
    <w:rsid w:val="36260A17"/>
    <w:rsid w:val="365C268B"/>
    <w:rsid w:val="365F74DC"/>
    <w:rsid w:val="366D1C16"/>
    <w:rsid w:val="36C02C1A"/>
    <w:rsid w:val="37436ACA"/>
    <w:rsid w:val="374C2A45"/>
    <w:rsid w:val="375E25FC"/>
    <w:rsid w:val="377E4518"/>
    <w:rsid w:val="38170F5F"/>
    <w:rsid w:val="38232AA8"/>
    <w:rsid w:val="38887767"/>
    <w:rsid w:val="38C537E4"/>
    <w:rsid w:val="38EE7BF2"/>
    <w:rsid w:val="39093C9F"/>
    <w:rsid w:val="39C03EA5"/>
    <w:rsid w:val="3A067668"/>
    <w:rsid w:val="3A087445"/>
    <w:rsid w:val="3A67745F"/>
    <w:rsid w:val="3AF947CF"/>
    <w:rsid w:val="3B2E527A"/>
    <w:rsid w:val="3C076F0B"/>
    <w:rsid w:val="3C9C5ED7"/>
    <w:rsid w:val="3CB44AA5"/>
    <w:rsid w:val="3D0A7413"/>
    <w:rsid w:val="3D263B7E"/>
    <w:rsid w:val="3D721E57"/>
    <w:rsid w:val="3E4A03BF"/>
    <w:rsid w:val="3ED90D1D"/>
    <w:rsid w:val="3F04526F"/>
    <w:rsid w:val="3F057D64"/>
    <w:rsid w:val="3F640AB8"/>
    <w:rsid w:val="3F676329"/>
    <w:rsid w:val="3FD768CC"/>
    <w:rsid w:val="41C0099D"/>
    <w:rsid w:val="42AB29D0"/>
    <w:rsid w:val="42B404A3"/>
    <w:rsid w:val="42C615B8"/>
    <w:rsid w:val="434C71F8"/>
    <w:rsid w:val="434F017C"/>
    <w:rsid w:val="43546802"/>
    <w:rsid w:val="4364101B"/>
    <w:rsid w:val="43B93FA8"/>
    <w:rsid w:val="43FE4D82"/>
    <w:rsid w:val="44177BC5"/>
    <w:rsid w:val="44184095"/>
    <w:rsid w:val="443E41B9"/>
    <w:rsid w:val="4488337C"/>
    <w:rsid w:val="451F1690"/>
    <w:rsid w:val="470C4453"/>
    <w:rsid w:val="473F25F0"/>
    <w:rsid w:val="47633879"/>
    <w:rsid w:val="47B24801"/>
    <w:rsid w:val="48ED6E34"/>
    <w:rsid w:val="49C45812"/>
    <w:rsid w:val="49D06612"/>
    <w:rsid w:val="4ABF10E5"/>
    <w:rsid w:val="4D920CB6"/>
    <w:rsid w:val="4E781049"/>
    <w:rsid w:val="4FC43269"/>
    <w:rsid w:val="4FF05EC6"/>
    <w:rsid w:val="50B15470"/>
    <w:rsid w:val="52360AEF"/>
    <w:rsid w:val="525941F7"/>
    <w:rsid w:val="532E1087"/>
    <w:rsid w:val="53391617"/>
    <w:rsid w:val="53DD067D"/>
    <w:rsid w:val="53E126F6"/>
    <w:rsid w:val="53F91A55"/>
    <w:rsid w:val="55AE2AAB"/>
    <w:rsid w:val="55C51FC5"/>
    <w:rsid w:val="5604532D"/>
    <w:rsid w:val="565076BF"/>
    <w:rsid w:val="566A2753"/>
    <w:rsid w:val="56792D6E"/>
    <w:rsid w:val="57B35D3A"/>
    <w:rsid w:val="57F731DF"/>
    <w:rsid w:val="586B0F9F"/>
    <w:rsid w:val="589D0BB5"/>
    <w:rsid w:val="58F16C7A"/>
    <w:rsid w:val="58FA6F0C"/>
    <w:rsid w:val="5A052B3B"/>
    <w:rsid w:val="5AA95605"/>
    <w:rsid w:val="5AB64F46"/>
    <w:rsid w:val="5AFE1DDF"/>
    <w:rsid w:val="5B0069DA"/>
    <w:rsid w:val="5B490AD6"/>
    <w:rsid w:val="5B5163B3"/>
    <w:rsid w:val="5B765E19"/>
    <w:rsid w:val="5BA16563"/>
    <w:rsid w:val="5C4C0F7D"/>
    <w:rsid w:val="5CAC1F18"/>
    <w:rsid w:val="5D7F7CF2"/>
    <w:rsid w:val="5DD13BCE"/>
    <w:rsid w:val="5DE31F95"/>
    <w:rsid w:val="5ECB28DF"/>
    <w:rsid w:val="5EE15B4F"/>
    <w:rsid w:val="5F3715C2"/>
    <w:rsid w:val="5F8935CB"/>
    <w:rsid w:val="601D05BB"/>
    <w:rsid w:val="60BC04C4"/>
    <w:rsid w:val="60CE3C62"/>
    <w:rsid w:val="614B102D"/>
    <w:rsid w:val="61836C08"/>
    <w:rsid w:val="61BF0FEC"/>
    <w:rsid w:val="630A191C"/>
    <w:rsid w:val="638B61DA"/>
    <w:rsid w:val="63AF0497"/>
    <w:rsid w:val="63CF6AC6"/>
    <w:rsid w:val="63D619DB"/>
    <w:rsid w:val="6411743B"/>
    <w:rsid w:val="642E6B65"/>
    <w:rsid w:val="648604FA"/>
    <w:rsid w:val="64C47FDF"/>
    <w:rsid w:val="65351598"/>
    <w:rsid w:val="66A3383B"/>
    <w:rsid w:val="677D22DE"/>
    <w:rsid w:val="679E2C8B"/>
    <w:rsid w:val="687761F1"/>
    <w:rsid w:val="68C6432A"/>
    <w:rsid w:val="69075AE0"/>
    <w:rsid w:val="69BC28BE"/>
    <w:rsid w:val="69E01F40"/>
    <w:rsid w:val="6A2820A4"/>
    <w:rsid w:val="6A2D7FEB"/>
    <w:rsid w:val="6A4B0471"/>
    <w:rsid w:val="6B057B25"/>
    <w:rsid w:val="6BE70117"/>
    <w:rsid w:val="6C2D5008"/>
    <w:rsid w:val="6CD26C28"/>
    <w:rsid w:val="6D7C272C"/>
    <w:rsid w:val="6EA63EC8"/>
    <w:rsid w:val="6F413BF1"/>
    <w:rsid w:val="6F9F49B0"/>
    <w:rsid w:val="6FFB1846"/>
    <w:rsid w:val="72170B15"/>
    <w:rsid w:val="7265409A"/>
    <w:rsid w:val="72ED5B8D"/>
    <w:rsid w:val="73727F0B"/>
    <w:rsid w:val="744228E5"/>
    <w:rsid w:val="74C43975"/>
    <w:rsid w:val="74EC4B62"/>
    <w:rsid w:val="76637BC6"/>
    <w:rsid w:val="76931A1A"/>
    <w:rsid w:val="76D4359C"/>
    <w:rsid w:val="76F87D58"/>
    <w:rsid w:val="772067E2"/>
    <w:rsid w:val="77D47E28"/>
    <w:rsid w:val="77EE3960"/>
    <w:rsid w:val="788A3163"/>
    <w:rsid w:val="79690914"/>
    <w:rsid w:val="798E2128"/>
    <w:rsid w:val="79A951B4"/>
    <w:rsid w:val="79B7167F"/>
    <w:rsid w:val="79C11BD2"/>
    <w:rsid w:val="7A202934"/>
    <w:rsid w:val="7A301431"/>
    <w:rsid w:val="7AF6674C"/>
    <w:rsid w:val="7B027FE0"/>
    <w:rsid w:val="7B2D68A5"/>
    <w:rsid w:val="7D140B97"/>
    <w:rsid w:val="7D564FB1"/>
    <w:rsid w:val="7D6612F8"/>
    <w:rsid w:val="7E142CC9"/>
    <w:rsid w:val="7E300197"/>
    <w:rsid w:val="7EDC1B88"/>
    <w:rsid w:val="7FCE4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9"/>
    <w:qFormat/>
    <w:uiPriority w:val="0"/>
    <w:pPr>
      <w:tabs>
        <w:tab w:val="center" w:pos="4153"/>
        <w:tab w:val="right" w:pos="8306"/>
      </w:tabs>
      <w:snapToGrid w:val="0"/>
      <w:jc w:val="left"/>
    </w:pPr>
    <w:rPr>
      <w:sz w:val="18"/>
      <w:szCs w:val="18"/>
    </w:rPr>
  </w:style>
  <w:style w:type="paragraph" w:styleId="6">
    <w:name w:val="header"/>
    <w:basedOn w:val="1"/>
    <w:link w:val="18"/>
    <w:qFormat/>
    <w:uiPriority w:val="0"/>
    <w:pPr>
      <w:tabs>
        <w:tab w:val="center" w:pos="4153"/>
        <w:tab w:val="right" w:pos="8306"/>
      </w:tabs>
      <w:snapToGrid w:val="0"/>
      <w:jc w:val="center"/>
    </w:pPr>
    <w:rPr>
      <w:sz w:val="18"/>
      <w:szCs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qFormat/>
    <w:uiPriority w:val="0"/>
    <w:rPr>
      <w:color w:val="0026E5" w:themeColor="hyperlink"/>
      <w:u w:val="single"/>
      <w14:textFill>
        <w14:solidFill>
          <w14:schemeClr w14:val="hlink"/>
        </w14:solidFill>
      </w14:textFill>
    </w:rPr>
  </w:style>
  <w:style w:type="paragraph" w:customStyle="1" w:styleId="14">
    <w:name w:val="EndNote Bibliography Title"/>
    <w:basedOn w:val="1"/>
    <w:link w:val="15"/>
    <w:qFormat/>
    <w:uiPriority w:val="0"/>
    <w:pPr>
      <w:jc w:val="center"/>
    </w:pPr>
    <w:rPr>
      <w:rFonts w:ascii="Calibri" w:hAnsi="Calibri" w:cs="Calibri"/>
      <w:sz w:val="20"/>
    </w:rPr>
  </w:style>
  <w:style w:type="character" w:customStyle="1" w:styleId="15">
    <w:name w:val="EndNote Bibliography Title 字符"/>
    <w:basedOn w:val="10"/>
    <w:link w:val="14"/>
    <w:qFormat/>
    <w:uiPriority w:val="0"/>
    <w:rPr>
      <w:rFonts w:ascii="Calibri" w:hAnsi="Calibri" w:cs="Calibri"/>
      <w:sz w:val="20"/>
    </w:rPr>
  </w:style>
  <w:style w:type="paragraph" w:customStyle="1" w:styleId="16">
    <w:name w:val="EndNote Bibliography"/>
    <w:basedOn w:val="1"/>
    <w:link w:val="17"/>
    <w:qFormat/>
    <w:uiPriority w:val="0"/>
    <w:rPr>
      <w:rFonts w:ascii="Calibri" w:hAnsi="Calibri" w:cs="Calibri"/>
      <w:sz w:val="20"/>
    </w:rPr>
  </w:style>
  <w:style w:type="character" w:customStyle="1" w:styleId="17">
    <w:name w:val="EndNote Bibliography 字符"/>
    <w:basedOn w:val="10"/>
    <w:link w:val="16"/>
    <w:qFormat/>
    <w:uiPriority w:val="0"/>
    <w:rPr>
      <w:rFonts w:ascii="Calibri" w:hAnsi="Calibri" w:cs="Calibri"/>
      <w:sz w:val="20"/>
    </w:rPr>
  </w:style>
  <w:style w:type="character" w:customStyle="1" w:styleId="18">
    <w:name w:val="页眉 字符"/>
    <w:basedOn w:val="10"/>
    <w:link w:val="6"/>
    <w:qFormat/>
    <w:uiPriority w:val="0"/>
    <w:rPr>
      <w:sz w:val="18"/>
      <w:szCs w:val="18"/>
    </w:rPr>
  </w:style>
  <w:style w:type="character" w:customStyle="1" w:styleId="19">
    <w:name w:val="页脚 字符"/>
    <w:basedOn w:val="10"/>
    <w:link w:val="5"/>
    <w:qFormat/>
    <w:uiPriority w:val="0"/>
    <w:rPr>
      <w:sz w:val="18"/>
      <w:szCs w:val="18"/>
    </w:rPr>
  </w:style>
  <w:style w:type="character" w:customStyle="1" w:styleId="20">
    <w:name w:val="Unresolved Mention"/>
    <w:basedOn w:val="1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tiff"/><Relationship Id="rId8" Type="http://schemas.openxmlformats.org/officeDocument/2006/relationships/image" Target="media/image2.tiff"/><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3016</Words>
  <Characters>18775</Characters>
  <Lines>0</Lines>
  <Paragraphs>0</Paragraphs>
  <TotalTime>1</TotalTime>
  <ScaleCrop>false</ScaleCrop>
  <LinksUpToDate>false</LinksUpToDate>
  <CharactersWithSpaces>21704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2025-11-23T14:22:00Z</dcterms:created>
  <dc:creator>Qinyu Guo</dc:creator>
  <cp:lastModifiedBy>郭琴玉</cp:lastModifiedBy>
  <dcterms:modified xsi:type="dcterms:W3CDTF">2026-08-31T12:50:24Z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7B2519626CB54047A18D2B7EF2F23559_13</vt:lpwstr>
  </property>
  <property fmtid="{D5CDD505-2E9C-101B-9397-08002B2CF9AE}" pid="4" name="KSOTemplateDocerSaveRecord">
    <vt:lpwstr>eyJoZGlkIjoiOTk2Y2U1ZTczMjQ3YWFkNjdhYTAzNTJmM2FkNWI4OGMiLCJ1c2VySWQiOiIxNjM1NDEzNDAzIn0=</vt:lpwstr>
  </property>
</Properties>
</file>