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1A3DA" w14:textId="7A78392E" w:rsidR="00AF4D10" w:rsidRPr="00AF4D10" w:rsidRDefault="00AF4D10" w:rsidP="00AF4D10">
      <w:pPr>
        <w:shd w:val="clear" w:color="auto" w:fill="FFFFFF"/>
        <w:spacing w:after="240" w:line="240" w:lineRule="auto"/>
        <w:rPr>
          <w:rFonts w:ascii="Segoe UI" w:eastAsia="Times New Roman" w:hAnsi="Segoe UI" w:cs="Segoe UI"/>
          <w:color w:val="0F1115"/>
          <w:kern w:val="0"/>
          <w:sz w:val="24"/>
          <w:szCs w:val="24"/>
          <w14:ligatures w14:val="none"/>
        </w:rPr>
      </w:pPr>
      <w:bookmarkStart w:id="0" w:name="_Hlk221231534"/>
      <w:r w:rsidRPr="00AF4D10">
        <w:rPr>
          <w:rFonts w:ascii="Segoe UI" w:eastAsia="Times New Roman" w:hAnsi="Segoe UI" w:cs="Segoe UI"/>
          <w:b/>
          <w:bCs/>
          <w:color w:val="0F1115"/>
          <w:kern w:val="0"/>
          <w:sz w:val="24"/>
          <w:szCs w:val="24"/>
          <w14:ligatures w14:val="none"/>
        </w:rPr>
        <w:t>Comprehensive Sensitivity Analysis Report: Robustness of Age-Standardized Incidence Rate (ASIR) for Stomach cancer</w:t>
      </w:r>
      <w:r w:rsidRPr="00AF4D10">
        <w:rPr>
          <w:rFonts w:ascii="Segoe UI" w:eastAsia="Times New Roman" w:hAnsi="Segoe UI" w:cs="Segoe UI"/>
          <w:b/>
          <w:bCs/>
          <w:color w:val="0F1115"/>
          <w:kern w:val="0"/>
          <w:sz w:val="24"/>
          <w:szCs w:val="24"/>
          <w14:ligatures w14:val="none"/>
        </w:rPr>
        <w:t xml:space="preserve"> </w:t>
      </w:r>
      <w:r w:rsidRPr="00AF4D10">
        <w:rPr>
          <w:rFonts w:ascii="Segoe UI" w:eastAsia="Times New Roman" w:hAnsi="Segoe UI" w:cs="Segoe UI"/>
          <w:b/>
          <w:bCs/>
          <w:color w:val="0F1115"/>
          <w:kern w:val="0"/>
          <w:sz w:val="24"/>
          <w:szCs w:val="24"/>
          <w14:ligatures w14:val="none"/>
        </w:rPr>
        <w:t>to Choice of Standard Population</w:t>
      </w:r>
    </w:p>
    <w:bookmarkEnd w:id="0"/>
    <w:p w14:paraId="00C7C195" w14:textId="77777777" w:rsidR="00AF4D10" w:rsidRPr="00AF4D10" w:rsidRDefault="00AF4D10" w:rsidP="00AF4D10">
      <w:pPr>
        <w:spacing w:before="480" w:after="480" w:line="240" w:lineRule="auto"/>
        <w:rPr>
          <w:rFonts w:ascii="Segoe UI" w:eastAsia="Times New Roman" w:hAnsi="Segoe UI" w:cs="Segoe UI"/>
          <w:kern w:val="0"/>
          <w:sz w:val="24"/>
          <w:szCs w:val="24"/>
          <w14:ligatures w14:val="none"/>
        </w:rPr>
      </w:pPr>
      <w:r w:rsidRPr="00AF4D10">
        <w:rPr>
          <w:rFonts w:ascii="Times New Roman" w:eastAsia="Times New Roman" w:hAnsi="Times New Roman" w:cs="Times New Roman"/>
          <w:kern w:val="0"/>
          <w:sz w:val="24"/>
          <w:szCs w:val="24"/>
          <w14:ligatures w14:val="none"/>
        </w:rPr>
        <w:pict w14:anchorId="705A4116">
          <v:rect id="_x0000_i1025" style="width:0;height:.75pt" o:hralign="center" o:hrstd="t" o:hr="t" fillcolor="#a0a0a0" stroked="f"/>
        </w:pict>
      </w:r>
    </w:p>
    <w:p w14:paraId="0A5A2D60" w14:textId="77777777" w:rsidR="00AF4D10" w:rsidRPr="00AF4D10" w:rsidRDefault="00AF4D10" w:rsidP="00AF4D10">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AF4D10">
        <w:rPr>
          <w:rFonts w:ascii="Segoe UI" w:eastAsia="Times New Roman" w:hAnsi="Segoe UI" w:cs="Segoe UI"/>
          <w:b/>
          <w:bCs/>
          <w:color w:val="0F1115"/>
          <w:kern w:val="0"/>
          <w:sz w:val="30"/>
          <w:szCs w:val="30"/>
          <w14:ligatures w14:val="none"/>
        </w:rPr>
        <w:t>1. Introduction and Rationale</w:t>
      </w:r>
    </w:p>
    <w:p w14:paraId="408B70DA" w14:textId="68BCFA89"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t>The primary analysis of Stomach cancer</w:t>
      </w:r>
      <w:r w:rsidRPr="00AF4D10">
        <w:rPr>
          <w:rFonts w:ascii="Segoe UI" w:eastAsia="Times New Roman" w:hAnsi="Segoe UI" w:cs="Segoe UI"/>
          <w:color w:val="0F1115"/>
          <w:kern w:val="0"/>
          <w:sz w:val="24"/>
          <w:szCs w:val="24"/>
          <w14:ligatures w14:val="none"/>
        </w:rPr>
        <w:t xml:space="preserve"> </w:t>
      </w:r>
      <w:r w:rsidRPr="00AF4D10">
        <w:rPr>
          <w:rFonts w:ascii="Segoe UI" w:eastAsia="Times New Roman" w:hAnsi="Segoe UI" w:cs="Segoe UI"/>
          <w:color w:val="0F1115"/>
          <w:kern w:val="0"/>
          <w:sz w:val="24"/>
          <w:szCs w:val="24"/>
          <w14:ligatures w14:val="none"/>
        </w:rPr>
        <w:t>incidence for the province used the </w:t>
      </w:r>
      <w:r w:rsidRPr="00AF4D10">
        <w:rPr>
          <w:rFonts w:ascii="Segoe UI" w:eastAsia="Times New Roman" w:hAnsi="Segoe UI" w:cs="Segoe UI"/>
          <w:b/>
          <w:bCs/>
          <w:color w:val="0F1115"/>
          <w:kern w:val="0"/>
          <w:sz w:val="24"/>
          <w:szCs w:val="24"/>
          <w14:ligatures w14:val="none"/>
        </w:rPr>
        <w:t>World Health Organization (WHO) 2000-2025</w:t>
      </w:r>
      <w:r w:rsidRPr="00AF4D10">
        <w:rPr>
          <w:rFonts w:ascii="Segoe UI" w:eastAsia="Times New Roman" w:hAnsi="Segoe UI" w:cs="Segoe UI"/>
          <w:color w:val="0F1115"/>
          <w:kern w:val="0"/>
          <w:sz w:val="24"/>
          <w:szCs w:val="24"/>
          <w14:ligatures w14:val="none"/>
        </w:rPr>
        <w:t> standard population for age-standardization. A key methodological consideration in comparative epidemiology is whether the choice of a standard population meaningfully influences the final results, potentially affecting the interpretation of disease burden. This sensitivity analysis was performed to assess the robustness of the calculated Age-Standardized Incidence Rate (ASIR) by employing an alternative, widely recognized standard—the </w:t>
      </w:r>
      <w:r w:rsidRPr="00AF4D10">
        <w:rPr>
          <w:rFonts w:ascii="Segoe UI" w:eastAsia="Times New Roman" w:hAnsi="Segoe UI" w:cs="Segoe UI"/>
          <w:b/>
          <w:bCs/>
          <w:color w:val="0F1115"/>
          <w:kern w:val="0"/>
          <w:sz w:val="24"/>
          <w:szCs w:val="24"/>
          <w14:ligatures w14:val="none"/>
        </w:rPr>
        <w:t>1966 Segi/Doll World Standard Population</w:t>
      </w:r>
      <w:r w:rsidRPr="00AF4D10">
        <w:rPr>
          <w:rFonts w:ascii="Segoe UI" w:eastAsia="Times New Roman" w:hAnsi="Segoe UI" w:cs="Segoe UI"/>
          <w:color w:val="0F1115"/>
          <w:kern w:val="0"/>
          <w:sz w:val="24"/>
          <w:szCs w:val="24"/>
          <w14:ligatures w14:val="none"/>
        </w:rPr>
        <w:t>.</w:t>
      </w:r>
    </w:p>
    <w:p w14:paraId="40752A48"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Objective:</w:t>
      </w:r>
      <w:r w:rsidRPr="00AF4D10">
        <w:rPr>
          <w:rFonts w:ascii="Segoe UI" w:eastAsia="Times New Roman" w:hAnsi="Segoe UI" w:cs="Segoe UI"/>
          <w:color w:val="0F1115"/>
          <w:kern w:val="0"/>
          <w:sz w:val="24"/>
          <w:szCs w:val="24"/>
          <w14:ligatures w14:val="none"/>
        </w:rPr>
        <w:t> To determine if the relative burden of gastric cancer, as quantified by the ASIR, is sensitive to the selection of the standard population structure.</w:t>
      </w:r>
    </w:p>
    <w:p w14:paraId="69E3EE76" w14:textId="77777777" w:rsidR="00AF4D10" w:rsidRPr="00AF4D10" w:rsidRDefault="00AF4D10" w:rsidP="00AF4D10">
      <w:pPr>
        <w:spacing w:before="480" w:after="480" w:line="240" w:lineRule="auto"/>
        <w:rPr>
          <w:rFonts w:ascii="Segoe UI" w:eastAsia="Times New Roman" w:hAnsi="Segoe UI" w:cs="Segoe UI"/>
          <w:kern w:val="0"/>
          <w:sz w:val="24"/>
          <w:szCs w:val="24"/>
          <w14:ligatures w14:val="none"/>
        </w:rPr>
      </w:pPr>
      <w:r w:rsidRPr="00AF4D10">
        <w:rPr>
          <w:rFonts w:ascii="Times New Roman" w:eastAsia="Times New Roman" w:hAnsi="Times New Roman" w:cs="Times New Roman"/>
          <w:kern w:val="0"/>
          <w:sz w:val="24"/>
          <w:szCs w:val="24"/>
          <w14:ligatures w14:val="none"/>
        </w:rPr>
        <w:pict w14:anchorId="517FDEEE">
          <v:rect id="_x0000_i1026" style="width:0;height:.75pt" o:hralign="center" o:hrstd="t" o:hr="t" fillcolor="#a0a0a0" stroked="f"/>
        </w:pict>
      </w:r>
    </w:p>
    <w:p w14:paraId="68400AB1" w14:textId="77777777" w:rsidR="00AF4D10" w:rsidRPr="00AF4D10" w:rsidRDefault="00AF4D10" w:rsidP="00AF4D10">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AF4D10">
        <w:rPr>
          <w:rFonts w:ascii="Segoe UI" w:eastAsia="Times New Roman" w:hAnsi="Segoe UI" w:cs="Segoe UI"/>
          <w:b/>
          <w:bCs/>
          <w:color w:val="0F1115"/>
          <w:kern w:val="0"/>
          <w:sz w:val="30"/>
          <w:szCs w:val="30"/>
          <w14:ligatures w14:val="none"/>
        </w:rPr>
        <w:t>2. Methods</w:t>
      </w:r>
    </w:p>
    <w:p w14:paraId="7BE722BB" w14:textId="77777777" w:rsidR="00AF4D10" w:rsidRPr="00AF4D10" w:rsidRDefault="00AF4D10" w:rsidP="00AF4D10">
      <w:pPr>
        <w:shd w:val="clear" w:color="auto" w:fill="FFFFFF"/>
        <w:spacing w:before="240" w:after="240" w:line="420" w:lineRule="atLeast"/>
        <w:outlineLvl w:val="3"/>
        <w:rPr>
          <w:rFonts w:ascii="Segoe UI" w:eastAsia="Times New Roman" w:hAnsi="Segoe UI" w:cs="Segoe UI"/>
          <w:b/>
          <w:bCs/>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2.1. Data and Primary Calculation</w:t>
      </w:r>
    </w:p>
    <w:p w14:paraId="6D2C587E"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t>The base data for the entire province consisted of:</w:t>
      </w:r>
    </w:p>
    <w:p w14:paraId="594BBDA7" w14:textId="77777777" w:rsidR="00AF4D10" w:rsidRPr="00AF4D10" w:rsidRDefault="00AF4D10" w:rsidP="00AF4D10">
      <w:pPr>
        <w:numPr>
          <w:ilvl w:val="0"/>
          <w:numId w:val="1"/>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Cases:</w:t>
      </w:r>
      <w:r w:rsidRPr="00AF4D10">
        <w:rPr>
          <w:rFonts w:ascii="Segoe UI" w:eastAsia="Times New Roman" w:hAnsi="Segoe UI" w:cs="Segoe UI"/>
          <w:color w:val="0F1115"/>
          <w:kern w:val="0"/>
          <w:sz w:val="24"/>
          <w:szCs w:val="24"/>
          <w14:ligatures w14:val="none"/>
        </w:rPr>
        <w:t> 267 incident gastric cancer cases for 2019, stratified into 18 five-year age groups (0-4 through 85+).</w:t>
      </w:r>
    </w:p>
    <w:p w14:paraId="49B78E74" w14:textId="77777777" w:rsidR="00AF4D10" w:rsidRPr="00AF4D10" w:rsidRDefault="00AF4D10" w:rsidP="00AF4D10">
      <w:pPr>
        <w:numPr>
          <w:ilvl w:val="0"/>
          <w:numId w:val="1"/>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Population:</w:t>
      </w:r>
      <w:r w:rsidRPr="00AF4D10">
        <w:rPr>
          <w:rFonts w:ascii="Segoe UI" w:eastAsia="Times New Roman" w:hAnsi="Segoe UI" w:cs="Segoe UI"/>
          <w:color w:val="0F1115"/>
          <w:kern w:val="0"/>
          <w:sz w:val="24"/>
          <w:szCs w:val="24"/>
          <w14:ligatures w14:val="none"/>
        </w:rPr>
        <w:t> The corresponding 2019 mid-year population (</w:t>
      </w:r>
      <w:r w:rsidRPr="00AF4D10">
        <w:rPr>
          <w:rFonts w:ascii="Consolas" w:eastAsia="Times New Roman" w:hAnsi="Consolas" w:cs="Courier New"/>
          <w:color w:val="0F1115"/>
          <w:kern w:val="0"/>
          <w:sz w:val="21"/>
          <w:szCs w:val="21"/>
          <w:shd w:val="clear" w:color="auto" w:fill="EBEEF2"/>
          <w14:ligatures w14:val="none"/>
        </w:rPr>
        <w:t>N = 1,792,663</w:t>
      </w:r>
      <w:r w:rsidRPr="00AF4D10">
        <w:rPr>
          <w:rFonts w:ascii="Segoe UI" w:eastAsia="Times New Roman" w:hAnsi="Segoe UI" w:cs="Segoe UI"/>
          <w:color w:val="0F1115"/>
          <w:kern w:val="0"/>
          <w:sz w:val="24"/>
          <w:szCs w:val="24"/>
          <w14:ligatures w14:val="none"/>
        </w:rPr>
        <w:t>), stratified identically, sourced from the Integrated Health System (SIB).</w:t>
      </w:r>
      <w:r w:rsidRPr="00AF4D10">
        <w:rPr>
          <w:rFonts w:ascii="Segoe UI" w:eastAsia="Times New Roman" w:hAnsi="Segoe UI" w:cs="Segoe UI"/>
          <w:color w:val="0F1115"/>
          <w:kern w:val="0"/>
          <w:sz w:val="24"/>
          <w:szCs w:val="24"/>
          <w14:ligatures w14:val="none"/>
        </w:rPr>
        <w:br/>
        <w:t>Age-specific incidence rates (</w:t>
      </w:r>
      <w:r w:rsidRPr="00AF4D10">
        <w:rPr>
          <w:rFonts w:ascii="Consolas" w:eastAsia="Times New Roman" w:hAnsi="Consolas" w:cs="Courier New"/>
          <w:color w:val="0F1115"/>
          <w:kern w:val="0"/>
          <w:sz w:val="21"/>
          <w:szCs w:val="21"/>
          <w:shd w:val="clear" w:color="auto" w:fill="EBEEF2"/>
          <w14:ligatures w14:val="none"/>
        </w:rPr>
        <w:t>aᵢ</w:t>
      </w:r>
      <w:r w:rsidRPr="00AF4D10">
        <w:rPr>
          <w:rFonts w:ascii="Segoe UI" w:eastAsia="Times New Roman" w:hAnsi="Segoe UI" w:cs="Segoe UI"/>
          <w:color w:val="0F1115"/>
          <w:kern w:val="0"/>
          <w:sz w:val="24"/>
          <w:szCs w:val="24"/>
          <w14:ligatures w14:val="none"/>
        </w:rPr>
        <w:t>) were calculated for each group *</w:t>
      </w:r>
      <w:proofErr w:type="spellStart"/>
      <w:r w:rsidRPr="00AF4D10">
        <w:rPr>
          <w:rFonts w:ascii="Segoe UI" w:eastAsia="Times New Roman" w:hAnsi="Segoe UI" w:cs="Segoe UI"/>
          <w:color w:val="0F1115"/>
          <w:kern w:val="0"/>
          <w:sz w:val="24"/>
          <w:szCs w:val="24"/>
          <w14:ligatures w14:val="none"/>
        </w:rPr>
        <w:t>i</w:t>
      </w:r>
      <w:proofErr w:type="spellEnd"/>
      <w:r w:rsidRPr="00AF4D10">
        <w:rPr>
          <w:rFonts w:ascii="Segoe UI" w:eastAsia="Times New Roman" w:hAnsi="Segoe UI" w:cs="Segoe UI"/>
          <w:color w:val="0F1115"/>
          <w:kern w:val="0"/>
          <w:sz w:val="24"/>
          <w:szCs w:val="24"/>
          <w14:ligatures w14:val="none"/>
        </w:rPr>
        <w:t>* as: </w:t>
      </w:r>
      <w:r w:rsidRPr="00AF4D10">
        <w:rPr>
          <w:rFonts w:ascii="Consolas" w:eastAsia="Times New Roman" w:hAnsi="Consolas" w:cs="Courier New"/>
          <w:color w:val="0F1115"/>
          <w:kern w:val="0"/>
          <w:sz w:val="21"/>
          <w:szCs w:val="21"/>
          <w:shd w:val="clear" w:color="auto" w:fill="EBEEF2"/>
          <w14:ligatures w14:val="none"/>
        </w:rPr>
        <w:t>aᵢ = (Casesᵢ / Populationᵢ) × 100,000</w:t>
      </w:r>
      <w:r w:rsidRPr="00AF4D10">
        <w:rPr>
          <w:rFonts w:ascii="Segoe UI" w:eastAsia="Times New Roman" w:hAnsi="Segoe UI" w:cs="Segoe UI"/>
          <w:color w:val="0F1115"/>
          <w:kern w:val="0"/>
          <w:sz w:val="24"/>
          <w:szCs w:val="24"/>
          <w14:ligatures w14:val="none"/>
        </w:rPr>
        <w:t>.</w:t>
      </w:r>
    </w:p>
    <w:p w14:paraId="21E0C95D" w14:textId="77777777" w:rsidR="00AF4D10" w:rsidRPr="00AF4D10" w:rsidRDefault="00AF4D10" w:rsidP="00AF4D10">
      <w:pPr>
        <w:shd w:val="clear" w:color="auto" w:fill="FFFFFF"/>
        <w:spacing w:before="240" w:after="240" w:line="420" w:lineRule="atLeast"/>
        <w:outlineLvl w:val="3"/>
        <w:rPr>
          <w:rFonts w:ascii="Segoe UI" w:eastAsia="Times New Roman" w:hAnsi="Segoe UI" w:cs="Segoe UI"/>
          <w:b/>
          <w:bCs/>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2.2. Standard Populations for Comparison</w:t>
      </w:r>
    </w:p>
    <w:p w14:paraId="4799CABA"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t>Two distinct world standard populations were used:</w:t>
      </w:r>
    </w:p>
    <w:p w14:paraId="72032885" w14:textId="77777777" w:rsidR="00AF4D10" w:rsidRPr="00AF4D10" w:rsidRDefault="00AF4D10" w:rsidP="00AF4D10">
      <w:pPr>
        <w:numPr>
          <w:ilvl w:val="0"/>
          <w:numId w:val="2"/>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lastRenderedPageBreak/>
        <w:t>Primary Standard (WHO 2000-2025):</w:t>
      </w:r>
      <w:r w:rsidRPr="00AF4D10">
        <w:rPr>
          <w:rFonts w:ascii="Segoe UI" w:eastAsia="Times New Roman" w:hAnsi="Segoe UI" w:cs="Segoe UI"/>
          <w:color w:val="0F1115"/>
          <w:kern w:val="0"/>
          <w:sz w:val="24"/>
          <w:szCs w:val="24"/>
          <w14:ligatures w14:val="none"/>
        </w:rPr>
        <w:t> Represents a contemporary, slightly "aging" global population structure. It assigns greater proportional weight to older age groups compared to historical standards.</w:t>
      </w:r>
    </w:p>
    <w:p w14:paraId="7E36662E" w14:textId="77777777" w:rsidR="00AF4D10" w:rsidRPr="00AF4D10" w:rsidRDefault="00AF4D10" w:rsidP="00AF4D10">
      <w:pPr>
        <w:numPr>
          <w:ilvl w:val="0"/>
          <w:numId w:val="2"/>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Alternative Standard (Segi 1966):</w:t>
      </w:r>
      <w:r w:rsidRPr="00AF4D10">
        <w:rPr>
          <w:rFonts w:ascii="Segoe UI" w:eastAsia="Times New Roman" w:hAnsi="Segoe UI" w:cs="Segoe UI"/>
          <w:color w:val="0F1115"/>
          <w:kern w:val="0"/>
          <w:sz w:val="24"/>
          <w:szCs w:val="24"/>
          <w14:ligatures w14:val="none"/>
        </w:rPr>
        <w:t> Represents a younger historical global population structure, with a higher proportion of weight assigned to younger age groups.</w:t>
      </w:r>
    </w:p>
    <w:p w14:paraId="07FAFA43" w14:textId="77777777" w:rsidR="00AF4D10" w:rsidRPr="00AF4D10" w:rsidRDefault="00AF4D10" w:rsidP="00AF4D10">
      <w:pPr>
        <w:shd w:val="clear" w:color="auto" w:fill="FFFFFF"/>
        <w:spacing w:before="240" w:after="240" w:line="420" w:lineRule="atLeast"/>
        <w:outlineLvl w:val="3"/>
        <w:rPr>
          <w:rFonts w:ascii="Segoe UI" w:eastAsia="Times New Roman" w:hAnsi="Segoe UI" w:cs="Segoe UI"/>
          <w:b/>
          <w:bCs/>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2.3. Analytical Procedure</w:t>
      </w:r>
    </w:p>
    <w:p w14:paraId="425F8015"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t>The direct method of age-standardization was applied separately with each standard.</w:t>
      </w:r>
      <w:r w:rsidRPr="00AF4D10">
        <w:rPr>
          <w:rFonts w:ascii="Segoe UI" w:eastAsia="Times New Roman" w:hAnsi="Segoe UI" w:cs="Segoe UI"/>
          <w:color w:val="0F1115"/>
          <w:kern w:val="0"/>
          <w:sz w:val="24"/>
          <w:szCs w:val="24"/>
          <w14:ligatures w14:val="none"/>
        </w:rPr>
        <w:br/>
        <w:t>The ASIR was calculated as: </w:t>
      </w:r>
      <w:r w:rsidRPr="00AF4D10">
        <w:rPr>
          <w:rFonts w:ascii="Consolas" w:eastAsia="Times New Roman" w:hAnsi="Consolas" w:cs="Courier New"/>
          <w:color w:val="0F1115"/>
          <w:kern w:val="0"/>
          <w:sz w:val="21"/>
          <w:szCs w:val="21"/>
          <w:shd w:val="clear" w:color="auto" w:fill="EBEEF2"/>
          <w14:ligatures w14:val="none"/>
        </w:rPr>
        <w:t>ASIR = [ Σ (aᵢ × wᵢ</w:t>
      </w:r>
      <w:proofErr w:type="gramStart"/>
      <w:r w:rsidRPr="00AF4D10">
        <w:rPr>
          <w:rFonts w:ascii="Consolas" w:eastAsia="Times New Roman" w:hAnsi="Consolas" w:cs="Courier New"/>
          <w:color w:val="0F1115"/>
          <w:kern w:val="0"/>
          <w:sz w:val="21"/>
          <w:szCs w:val="21"/>
          <w:shd w:val="clear" w:color="auto" w:fill="EBEEF2"/>
          <w14:ligatures w14:val="none"/>
        </w:rPr>
        <w:t>) ]</w:t>
      </w:r>
      <w:proofErr w:type="gramEnd"/>
      <w:r w:rsidRPr="00AF4D10">
        <w:rPr>
          <w:rFonts w:ascii="Consolas" w:eastAsia="Times New Roman" w:hAnsi="Consolas" w:cs="Courier New"/>
          <w:color w:val="0F1115"/>
          <w:kern w:val="0"/>
          <w:sz w:val="21"/>
          <w:szCs w:val="21"/>
          <w:shd w:val="clear" w:color="auto" w:fill="EBEEF2"/>
          <w14:ligatures w14:val="none"/>
        </w:rPr>
        <w:t xml:space="preserve"> / 10</w:t>
      </w:r>
      <w:r w:rsidRPr="00AF4D10">
        <w:rPr>
          <w:rFonts w:ascii="Segoe UI" w:eastAsia="Times New Roman" w:hAnsi="Segoe UI" w:cs="Segoe UI"/>
          <w:color w:val="0F1115"/>
          <w:kern w:val="0"/>
          <w:sz w:val="24"/>
          <w:szCs w:val="24"/>
          <w14:ligatures w14:val="none"/>
        </w:rPr>
        <w:br/>
        <w:t>where </w:t>
      </w:r>
      <w:r w:rsidRPr="00AF4D10">
        <w:rPr>
          <w:rFonts w:ascii="Consolas" w:eastAsia="Times New Roman" w:hAnsi="Consolas" w:cs="Courier New"/>
          <w:color w:val="0F1115"/>
          <w:kern w:val="0"/>
          <w:sz w:val="21"/>
          <w:szCs w:val="21"/>
          <w:shd w:val="clear" w:color="auto" w:fill="EBEEF2"/>
          <w14:ligatures w14:val="none"/>
        </w:rPr>
        <w:t>wᵢ</w:t>
      </w:r>
      <w:r w:rsidRPr="00AF4D10">
        <w:rPr>
          <w:rFonts w:ascii="Segoe UI" w:eastAsia="Times New Roman" w:hAnsi="Segoe UI" w:cs="Segoe UI"/>
          <w:color w:val="0F1115"/>
          <w:kern w:val="0"/>
          <w:sz w:val="24"/>
          <w:szCs w:val="24"/>
          <w14:ligatures w14:val="none"/>
        </w:rPr>
        <w:t> is the weight of age group *</w:t>
      </w:r>
      <w:proofErr w:type="spellStart"/>
      <w:r w:rsidRPr="00AF4D10">
        <w:rPr>
          <w:rFonts w:ascii="Segoe UI" w:eastAsia="Times New Roman" w:hAnsi="Segoe UI" w:cs="Segoe UI"/>
          <w:color w:val="0F1115"/>
          <w:kern w:val="0"/>
          <w:sz w:val="24"/>
          <w:szCs w:val="24"/>
          <w14:ligatures w14:val="none"/>
        </w:rPr>
        <w:t>i</w:t>
      </w:r>
      <w:proofErr w:type="spellEnd"/>
      <w:r w:rsidRPr="00AF4D10">
        <w:rPr>
          <w:rFonts w:ascii="Segoe UI" w:eastAsia="Times New Roman" w:hAnsi="Segoe UI" w:cs="Segoe UI"/>
          <w:color w:val="0F1115"/>
          <w:kern w:val="0"/>
          <w:sz w:val="24"/>
          <w:szCs w:val="24"/>
          <w14:ligatures w14:val="none"/>
        </w:rPr>
        <w:t>* in the standard population (summing to 1,000,000). The result is expressed per 100,000 person-years.</w:t>
      </w:r>
    </w:p>
    <w:p w14:paraId="64C171C1" w14:textId="77777777" w:rsidR="00AF4D10" w:rsidRPr="00AF4D10" w:rsidRDefault="00AF4D10" w:rsidP="00AF4D10">
      <w:pPr>
        <w:spacing w:before="480" w:after="480" w:line="240" w:lineRule="auto"/>
        <w:rPr>
          <w:rFonts w:ascii="Segoe UI" w:eastAsia="Times New Roman" w:hAnsi="Segoe UI" w:cs="Segoe UI"/>
          <w:kern w:val="0"/>
          <w:sz w:val="24"/>
          <w:szCs w:val="24"/>
          <w14:ligatures w14:val="none"/>
        </w:rPr>
      </w:pPr>
      <w:r w:rsidRPr="00AF4D10">
        <w:rPr>
          <w:rFonts w:ascii="Times New Roman" w:eastAsia="Times New Roman" w:hAnsi="Times New Roman" w:cs="Times New Roman"/>
          <w:kern w:val="0"/>
          <w:sz w:val="24"/>
          <w:szCs w:val="24"/>
          <w14:ligatures w14:val="none"/>
        </w:rPr>
        <w:pict w14:anchorId="319826B4">
          <v:rect id="_x0000_i1027" style="width:0;height:.75pt" o:hralign="center" o:hrstd="t" o:hr="t" fillcolor="#a0a0a0" stroked="f"/>
        </w:pict>
      </w:r>
    </w:p>
    <w:p w14:paraId="6C35E7EE" w14:textId="77777777" w:rsidR="00AF4D10" w:rsidRPr="00AF4D10" w:rsidRDefault="00AF4D10" w:rsidP="00AF4D10">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AF4D10">
        <w:rPr>
          <w:rFonts w:ascii="Segoe UI" w:eastAsia="Times New Roman" w:hAnsi="Segoe UI" w:cs="Segoe UI"/>
          <w:b/>
          <w:bCs/>
          <w:color w:val="0F1115"/>
          <w:kern w:val="0"/>
          <w:sz w:val="30"/>
          <w:szCs w:val="30"/>
          <w14:ligatures w14:val="none"/>
        </w:rPr>
        <w:t>3. Results</w:t>
      </w:r>
    </w:p>
    <w:p w14:paraId="6B0F8819" w14:textId="77777777" w:rsidR="00AF4D10" w:rsidRPr="00AF4D10" w:rsidRDefault="00AF4D10" w:rsidP="00AF4D10">
      <w:pPr>
        <w:shd w:val="clear" w:color="auto" w:fill="FFFFFF"/>
        <w:spacing w:before="240" w:after="240" w:line="420" w:lineRule="atLeast"/>
        <w:outlineLvl w:val="3"/>
        <w:rPr>
          <w:rFonts w:ascii="Segoe UI" w:eastAsia="Times New Roman" w:hAnsi="Segoe UI" w:cs="Segoe UI"/>
          <w:b/>
          <w:bCs/>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3.1. Calculated Incidence Rates</w:t>
      </w:r>
    </w:p>
    <w:p w14:paraId="4DE523FD"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t>The analysis produced the following key rates:</w:t>
      </w:r>
    </w:p>
    <w:tbl>
      <w:tblPr>
        <w:tblW w:w="11280" w:type="dxa"/>
        <w:tblCellMar>
          <w:top w:w="15" w:type="dxa"/>
          <w:left w:w="15" w:type="dxa"/>
          <w:bottom w:w="15" w:type="dxa"/>
          <w:right w:w="15" w:type="dxa"/>
        </w:tblCellMar>
        <w:tblLook w:val="04A0" w:firstRow="1" w:lastRow="0" w:firstColumn="1" w:lastColumn="0" w:noHBand="0" w:noVBand="1"/>
      </w:tblPr>
      <w:tblGrid>
        <w:gridCol w:w="2180"/>
        <w:gridCol w:w="3546"/>
        <w:gridCol w:w="5554"/>
      </w:tblGrid>
      <w:tr w:rsidR="00AF4D10" w:rsidRPr="00AF4D10" w14:paraId="307F0C57" w14:textId="77777777">
        <w:trPr>
          <w:tblHeader/>
        </w:trPr>
        <w:tc>
          <w:tcPr>
            <w:tcW w:w="0" w:type="auto"/>
            <w:tcBorders>
              <w:top w:val="nil"/>
            </w:tcBorders>
            <w:tcMar>
              <w:top w:w="150" w:type="dxa"/>
              <w:left w:w="0" w:type="dxa"/>
              <w:bottom w:w="150" w:type="dxa"/>
              <w:right w:w="240" w:type="dxa"/>
            </w:tcMar>
            <w:vAlign w:val="center"/>
            <w:hideMark/>
          </w:tcPr>
          <w:p w14:paraId="6AA272F4"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Measure</w:t>
            </w:r>
          </w:p>
        </w:tc>
        <w:tc>
          <w:tcPr>
            <w:tcW w:w="0" w:type="auto"/>
            <w:tcBorders>
              <w:top w:val="nil"/>
            </w:tcBorders>
            <w:tcMar>
              <w:top w:w="150" w:type="dxa"/>
              <w:left w:w="240" w:type="dxa"/>
              <w:bottom w:w="150" w:type="dxa"/>
              <w:right w:w="240" w:type="dxa"/>
            </w:tcMar>
            <w:vAlign w:val="center"/>
            <w:hideMark/>
          </w:tcPr>
          <w:p w14:paraId="7520F6DE"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Incidence Rate (per 100,000 person-years)</w:t>
            </w:r>
          </w:p>
        </w:tc>
        <w:tc>
          <w:tcPr>
            <w:tcW w:w="0" w:type="auto"/>
            <w:tcBorders>
              <w:top w:val="nil"/>
            </w:tcBorders>
            <w:tcMar>
              <w:top w:w="150" w:type="dxa"/>
              <w:left w:w="240" w:type="dxa"/>
              <w:bottom w:w="150" w:type="dxa"/>
              <w:right w:w="240" w:type="dxa"/>
            </w:tcMar>
            <w:vAlign w:val="center"/>
            <w:hideMark/>
          </w:tcPr>
          <w:p w14:paraId="0CABA900"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Notes</w:t>
            </w:r>
          </w:p>
        </w:tc>
      </w:tr>
      <w:tr w:rsidR="00AF4D10" w:rsidRPr="00AF4D10" w14:paraId="65681685" w14:textId="77777777">
        <w:tc>
          <w:tcPr>
            <w:tcW w:w="0" w:type="auto"/>
            <w:tcMar>
              <w:top w:w="150" w:type="dxa"/>
              <w:left w:w="0" w:type="dxa"/>
              <w:bottom w:w="150" w:type="dxa"/>
              <w:right w:w="240" w:type="dxa"/>
            </w:tcMar>
            <w:vAlign w:val="center"/>
            <w:hideMark/>
          </w:tcPr>
          <w:p w14:paraId="150926F2"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Crude Rate</w:t>
            </w:r>
          </w:p>
        </w:tc>
        <w:tc>
          <w:tcPr>
            <w:tcW w:w="0" w:type="auto"/>
            <w:tcMar>
              <w:top w:w="150" w:type="dxa"/>
              <w:left w:w="240" w:type="dxa"/>
              <w:bottom w:w="150" w:type="dxa"/>
              <w:right w:w="240" w:type="dxa"/>
            </w:tcMar>
            <w:vAlign w:val="center"/>
            <w:hideMark/>
          </w:tcPr>
          <w:p w14:paraId="1B27D461"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14.9</w:t>
            </w:r>
          </w:p>
        </w:tc>
        <w:tc>
          <w:tcPr>
            <w:tcW w:w="0" w:type="auto"/>
            <w:tcMar>
              <w:top w:w="150" w:type="dxa"/>
              <w:left w:w="240" w:type="dxa"/>
              <w:bottom w:w="150" w:type="dxa"/>
              <w:right w:w="0" w:type="dxa"/>
            </w:tcMar>
            <w:vAlign w:val="center"/>
            <w:hideMark/>
          </w:tcPr>
          <w:p w14:paraId="620B4522"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Unadjusted rate, highly influenced by the province's specific age structure.</w:t>
            </w:r>
          </w:p>
        </w:tc>
      </w:tr>
      <w:tr w:rsidR="00AF4D10" w:rsidRPr="00AF4D10" w14:paraId="0840ADE8" w14:textId="77777777">
        <w:tc>
          <w:tcPr>
            <w:tcW w:w="0" w:type="auto"/>
            <w:tcMar>
              <w:top w:w="150" w:type="dxa"/>
              <w:left w:w="0" w:type="dxa"/>
              <w:bottom w:w="150" w:type="dxa"/>
              <w:right w:w="240" w:type="dxa"/>
            </w:tcMar>
            <w:vAlign w:val="center"/>
            <w:hideMark/>
          </w:tcPr>
          <w:p w14:paraId="6534DF1B"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ASIR (WHO 2000-2025)</w:t>
            </w:r>
          </w:p>
        </w:tc>
        <w:tc>
          <w:tcPr>
            <w:tcW w:w="0" w:type="auto"/>
            <w:tcMar>
              <w:top w:w="150" w:type="dxa"/>
              <w:left w:w="240" w:type="dxa"/>
              <w:bottom w:w="150" w:type="dxa"/>
              <w:right w:w="240" w:type="dxa"/>
            </w:tcMar>
            <w:vAlign w:val="center"/>
            <w:hideMark/>
          </w:tcPr>
          <w:p w14:paraId="385FF323"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18.8</w:t>
            </w:r>
          </w:p>
        </w:tc>
        <w:tc>
          <w:tcPr>
            <w:tcW w:w="0" w:type="auto"/>
            <w:tcMar>
              <w:top w:w="150" w:type="dxa"/>
              <w:left w:w="240" w:type="dxa"/>
              <w:bottom w:w="150" w:type="dxa"/>
              <w:right w:w="0" w:type="dxa"/>
            </w:tcMar>
            <w:vAlign w:val="center"/>
            <w:hideMark/>
          </w:tcPr>
          <w:p w14:paraId="53FF67DF"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Primary result for contemporary comparison.</w:t>
            </w:r>
          </w:p>
        </w:tc>
      </w:tr>
      <w:tr w:rsidR="00AF4D10" w:rsidRPr="00AF4D10" w14:paraId="0FCEB615" w14:textId="77777777">
        <w:tc>
          <w:tcPr>
            <w:tcW w:w="0" w:type="auto"/>
            <w:tcMar>
              <w:top w:w="150" w:type="dxa"/>
              <w:left w:w="0" w:type="dxa"/>
              <w:bottom w:w="150" w:type="dxa"/>
              <w:right w:w="240" w:type="dxa"/>
            </w:tcMar>
            <w:vAlign w:val="center"/>
            <w:hideMark/>
          </w:tcPr>
          <w:p w14:paraId="345C533B"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ASIR (Segi 1966)</w:t>
            </w:r>
          </w:p>
        </w:tc>
        <w:tc>
          <w:tcPr>
            <w:tcW w:w="0" w:type="auto"/>
            <w:tcMar>
              <w:top w:w="150" w:type="dxa"/>
              <w:left w:w="240" w:type="dxa"/>
              <w:bottom w:w="150" w:type="dxa"/>
              <w:right w:w="240" w:type="dxa"/>
            </w:tcMar>
            <w:vAlign w:val="center"/>
            <w:hideMark/>
          </w:tcPr>
          <w:p w14:paraId="54F1CFE1"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b/>
                <w:bCs/>
                <w:kern w:val="0"/>
                <w:sz w:val="23"/>
                <w:szCs w:val="23"/>
                <w14:ligatures w14:val="none"/>
              </w:rPr>
              <w:t>16.7</w:t>
            </w:r>
          </w:p>
        </w:tc>
        <w:tc>
          <w:tcPr>
            <w:tcW w:w="0" w:type="auto"/>
            <w:tcMar>
              <w:top w:w="150" w:type="dxa"/>
              <w:left w:w="240" w:type="dxa"/>
              <w:bottom w:w="150" w:type="dxa"/>
              <w:right w:w="0" w:type="dxa"/>
            </w:tcMar>
            <w:vAlign w:val="center"/>
            <w:hideMark/>
          </w:tcPr>
          <w:p w14:paraId="5BC0D596" w14:textId="77777777" w:rsidR="00AF4D10" w:rsidRPr="00AF4D10" w:rsidRDefault="00AF4D10" w:rsidP="00AF4D10">
            <w:pPr>
              <w:spacing w:after="0" w:line="375" w:lineRule="atLeast"/>
              <w:rPr>
                <w:rFonts w:ascii="Segoe UI" w:eastAsia="Times New Roman" w:hAnsi="Segoe UI" w:cs="Segoe UI"/>
                <w:kern w:val="0"/>
                <w:sz w:val="23"/>
                <w:szCs w:val="23"/>
                <w14:ligatures w14:val="none"/>
              </w:rPr>
            </w:pPr>
            <w:r w:rsidRPr="00AF4D10">
              <w:rPr>
                <w:rFonts w:ascii="Segoe UI" w:eastAsia="Times New Roman" w:hAnsi="Segoe UI" w:cs="Segoe UI"/>
                <w:kern w:val="0"/>
                <w:sz w:val="23"/>
                <w:szCs w:val="23"/>
                <w14:ligatures w14:val="none"/>
              </w:rPr>
              <w:t>Result from sensitivity analysis.</w:t>
            </w:r>
          </w:p>
        </w:tc>
      </w:tr>
    </w:tbl>
    <w:p w14:paraId="082C0E43" w14:textId="77777777" w:rsidR="00AF4D10" w:rsidRPr="00AF4D10" w:rsidRDefault="00AF4D10" w:rsidP="00AF4D10">
      <w:pPr>
        <w:shd w:val="clear" w:color="auto" w:fill="FFFFFF"/>
        <w:spacing w:before="240" w:after="120" w:line="420" w:lineRule="atLeast"/>
        <w:outlineLvl w:val="3"/>
        <w:rPr>
          <w:rFonts w:ascii="Segoe UI" w:eastAsia="Times New Roman" w:hAnsi="Segoe UI" w:cs="Segoe UI"/>
          <w:b/>
          <w:bCs/>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3.2. Quantitative Comparison of ASIRs</w:t>
      </w:r>
    </w:p>
    <w:p w14:paraId="1D2BD085" w14:textId="77777777" w:rsidR="00AF4D10" w:rsidRPr="00AF4D10" w:rsidRDefault="00AF4D10" w:rsidP="00AF4D10">
      <w:pPr>
        <w:numPr>
          <w:ilvl w:val="0"/>
          <w:numId w:val="3"/>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Absolute Difference:</w:t>
      </w:r>
      <w:r w:rsidRPr="00AF4D10">
        <w:rPr>
          <w:rFonts w:ascii="Segoe UI" w:eastAsia="Times New Roman" w:hAnsi="Segoe UI" w:cs="Segoe UI"/>
          <w:color w:val="0F1115"/>
          <w:kern w:val="0"/>
          <w:sz w:val="24"/>
          <w:szCs w:val="24"/>
          <w14:ligatures w14:val="none"/>
        </w:rPr>
        <w:t> </w:t>
      </w:r>
      <w:r w:rsidRPr="00AF4D10">
        <w:rPr>
          <w:rFonts w:ascii="Consolas" w:eastAsia="Times New Roman" w:hAnsi="Consolas" w:cs="Courier New"/>
          <w:color w:val="0F1115"/>
          <w:kern w:val="0"/>
          <w:sz w:val="21"/>
          <w:szCs w:val="21"/>
          <w:shd w:val="clear" w:color="auto" w:fill="EBEEF2"/>
          <w14:ligatures w14:val="none"/>
        </w:rPr>
        <w:t>18.8 - 16.7 = 2.1</w:t>
      </w:r>
      <w:r w:rsidRPr="00AF4D10">
        <w:rPr>
          <w:rFonts w:ascii="Segoe UI" w:eastAsia="Times New Roman" w:hAnsi="Segoe UI" w:cs="Segoe UI"/>
          <w:color w:val="0F1115"/>
          <w:kern w:val="0"/>
          <w:sz w:val="24"/>
          <w:szCs w:val="24"/>
          <w14:ligatures w14:val="none"/>
        </w:rPr>
        <w:t> per 100,000.</w:t>
      </w:r>
    </w:p>
    <w:p w14:paraId="34EB504A" w14:textId="77777777" w:rsidR="00AF4D10" w:rsidRPr="00AF4D10" w:rsidRDefault="00AF4D10" w:rsidP="00AF4D10">
      <w:pPr>
        <w:numPr>
          <w:ilvl w:val="0"/>
          <w:numId w:val="3"/>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Relative Percentage Difference:</w:t>
      </w:r>
      <w:r w:rsidRPr="00AF4D10">
        <w:rPr>
          <w:rFonts w:ascii="Segoe UI" w:eastAsia="Times New Roman" w:hAnsi="Segoe UI" w:cs="Segoe UI"/>
          <w:color w:val="0F1115"/>
          <w:kern w:val="0"/>
          <w:sz w:val="24"/>
          <w:szCs w:val="24"/>
          <w14:ligatures w14:val="none"/>
        </w:rPr>
        <w:t> </w:t>
      </w:r>
      <w:r w:rsidRPr="00AF4D10">
        <w:rPr>
          <w:rFonts w:ascii="Consolas" w:eastAsia="Times New Roman" w:hAnsi="Consolas" w:cs="Courier New"/>
          <w:color w:val="0F1115"/>
          <w:kern w:val="0"/>
          <w:sz w:val="21"/>
          <w:szCs w:val="21"/>
          <w:shd w:val="clear" w:color="auto" w:fill="EBEEF2"/>
          <w14:ligatures w14:val="none"/>
        </w:rPr>
        <w:t>(2.1 / 18.8) × 100% ≈ 11.2%</w:t>
      </w:r>
      <w:r w:rsidRPr="00AF4D10">
        <w:rPr>
          <w:rFonts w:ascii="Segoe UI" w:eastAsia="Times New Roman" w:hAnsi="Segoe UI" w:cs="Segoe UI"/>
          <w:color w:val="0F1115"/>
          <w:kern w:val="0"/>
          <w:sz w:val="24"/>
          <w:szCs w:val="24"/>
          <w14:ligatures w14:val="none"/>
        </w:rPr>
        <w:t>.</w:t>
      </w:r>
    </w:p>
    <w:p w14:paraId="4273F5C8" w14:textId="77777777" w:rsidR="00AF4D10" w:rsidRPr="00AF4D10" w:rsidRDefault="00AF4D10" w:rsidP="00AF4D10">
      <w:pPr>
        <w:shd w:val="clear" w:color="auto" w:fill="FFFFFF"/>
        <w:spacing w:before="240" w:after="24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color w:val="0F1115"/>
          <w:kern w:val="0"/>
          <w:sz w:val="24"/>
          <w:szCs w:val="24"/>
          <w14:ligatures w14:val="none"/>
        </w:rPr>
        <w:lastRenderedPageBreak/>
        <w:t>This difference is in the </w:t>
      </w:r>
      <w:r w:rsidRPr="00AF4D10">
        <w:rPr>
          <w:rFonts w:ascii="Segoe UI" w:eastAsia="Times New Roman" w:hAnsi="Segoe UI" w:cs="Segoe UI"/>
          <w:b/>
          <w:bCs/>
          <w:color w:val="0F1115"/>
          <w:kern w:val="0"/>
          <w:sz w:val="24"/>
          <w:szCs w:val="24"/>
          <w14:ligatures w14:val="none"/>
        </w:rPr>
        <w:t>expected direction</w:t>
      </w:r>
      <w:r w:rsidRPr="00AF4D10">
        <w:rPr>
          <w:rFonts w:ascii="Segoe UI" w:eastAsia="Times New Roman" w:hAnsi="Segoe UI" w:cs="Segoe UI"/>
          <w:color w:val="0F1115"/>
          <w:kern w:val="0"/>
          <w:sz w:val="24"/>
          <w:szCs w:val="24"/>
          <w14:ligatures w14:val="none"/>
        </w:rPr>
        <w:t>. The WHO standard, with its older structure, gives more weight to the age groups (55+) where gastric cancer incidence is highest (see calculated </w:t>
      </w:r>
      <w:r w:rsidRPr="00AF4D10">
        <w:rPr>
          <w:rFonts w:ascii="Consolas" w:eastAsia="Times New Roman" w:hAnsi="Consolas" w:cs="Courier New"/>
          <w:color w:val="0F1115"/>
          <w:kern w:val="0"/>
          <w:sz w:val="21"/>
          <w:szCs w:val="21"/>
          <w:shd w:val="clear" w:color="auto" w:fill="EBEEF2"/>
          <w14:ligatures w14:val="none"/>
        </w:rPr>
        <w:t>aᵢ</w:t>
      </w:r>
      <w:r w:rsidRPr="00AF4D10">
        <w:rPr>
          <w:rFonts w:ascii="Segoe UI" w:eastAsia="Times New Roman" w:hAnsi="Segoe UI" w:cs="Segoe UI"/>
          <w:color w:val="0F1115"/>
          <w:kern w:val="0"/>
          <w:sz w:val="24"/>
          <w:szCs w:val="24"/>
          <w14:ligatures w14:val="none"/>
        </w:rPr>
        <w:t> values of 37.17 to 213.14), thus yielding a higher ASIR. The Segi standard, with its younger structure, down-weights these older groups, resulting in a lower ASIR.</w:t>
      </w:r>
    </w:p>
    <w:p w14:paraId="298FF41F" w14:textId="77777777" w:rsidR="00AF4D10" w:rsidRPr="00AF4D10" w:rsidRDefault="00AF4D10" w:rsidP="00AF4D10">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AF4D10">
        <w:rPr>
          <w:rFonts w:ascii="Segoe UI" w:eastAsia="Times New Roman" w:hAnsi="Segoe UI" w:cs="Segoe UI"/>
          <w:b/>
          <w:bCs/>
          <w:color w:val="0F1115"/>
          <w:kern w:val="0"/>
          <w:sz w:val="30"/>
          <w:szCs w:val="30"/>
          <w14:ligatures w14:val="none"/>
        </w:rPr>
        <w:t>Interpretation and Conclusion</w:t>
      </w:r>
    </w:p>
    <w:p w14:paraId="1295086E" w14:textId="77777777" w:rsidR="00AF4D10" w:rsidRPr="00AF4D10" w:rsidRDefault="00AF4D10" w:rsidP="00AF4D10">
      <w:pPr>
        <w:numPr>
          <w:ilvl w:val="0"/>
          <w:numId w:val="4"/>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Confirmation of Robustness</w:t>
      </w:r>
      <w:r w:rsidRPr="00AF4D10">
        <w:rPr>
          <w:rFonts w:ascii="Segoe UI" w:eastAsia="Times New Roman" w:hAnsi="Segoe UI" w:cs="Segoe UI"/>
          <w:color w:val="0F1115"/>
          <w:kern w:val="0"/>
          <w:sz w:val="24"/>
          <w:szCs w:val="24"/>
          <w14:ligatures w14:val="none"/>
        </w:rPr>
        <w:t>: The central finding of a </w:t>
      </w:r>
      <w:r w:rsidRPr="00AF4D10">
        <w:rPr>
          <w:rFonts w:ascii="Segoe UI" w:eastAsia="Times New Roman" w:hAnsi="Segoe UI" w:cs="Segoe UI"/>
          <w:b/>
          <w:bCs/>
          <w:color w:val="0F1115"/>
          <w:kern w:val="0"/>
          <w:sz w:val="24"/>
          <w:szCs w:val="24"/>
          <w14:ligatures w14:val="none"/>
        </w:rPr>
        <w:t>significantly elevated age-standardized burden of gastric cancer</w:t>
      </w:r>
      <w:r w:rsidRPr="00AF4D10">
        <w:rPr>
          <w:rFonts w:ascii="Segoe UI" w:eastAsia="Times New Roman" w:hAnsi="Segoe UI" w:cs="Segoe UI"/>
          <w:color w:val="0F1115"/>
          <w:kern w:val="0"/>
          <w:sz w:val="24"/>
          <w:szCs w:val="24"/>
          <w14:ligatures w14:val="none"/>
        </w:rPr>
        <w:t> in the province is confirmed by both standards. The ASIR calculated with the Segi 1966 standard (16.7) remains markedly higher than the crude rate (14.9) and aligns in magnitude with the primary result.</w:t>
      </w:r>
    </w:p>
    <w:p w14:paraId="7A711C27" w14:textId="77777777" w:rsidR="00AF4D10" w:rsidRPr="00AF4D10" w:rsidRDefault="00AF4D10" w:rsidP="00AF4D10">
      <w:pPr>
        <w:numPr>
          <w:ilvl w:val="0"/>
          <w:numId w:val="4"/>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Expected and Explainable Variance</w:t>
      </w:r>
      <w:r w:rsidRPr="00AF4D10">
        <w:rPr>
          <w:rFonts w:ascii="Segoe UI" w:eastAsia="Times New Roman" w:hAnsi="Segoe UI" w:cs="Segoe UI"/>
          <w:color w:val="0F1115"/>
          <w:kern w:val="0"/>
          <w:sz w:val="24"/>
          <w:szCs w:val="24"/>
          <w14:ligatures w14:val="none"/>
        </w:rPr>
        <w:t>: The observed 11.2% variance between the two ASIRs is not an error or inconsistency, but a </w:t>
      </w:r>
      <w:r w:rsidRPr="00AF4D10">
        <w:rPr>
          <w:rFonts w:ascii="Segoe UI" w:eastAsia="Times New Roman" w:hAnsi="Segoe UI" w:cs="Segoe UI"/>
          <w:b/>
          <w:bCs/>
          <w:color w:val="0F1115"/>
          <w:kern w:val="0"/>
          <w:sz w:val="24"/>
          <w:szCs w:val="24"/>
          <w14:ligatures w14:val="none"/>
        </w:rPr>
        <w:t>mathematical certainty</w:t>
      </w:r>
      <w:r w:rsidRPr="00AF4D10">
        <w:rPr>
          <w:rFonts w:ascii="Segoe UI" w:eastAsia="Times New Roman" w:hAnsi="Segoe UI" w:cs="Segoe UI"/>
          <w:color w:val="0F1115"/>
          <w:kern w:val="0"/>
          <w:sz w:val="24"/>
          <w:szCs w:val="24"/>
          <w14:ligatures w14:val="none"/>
        </w:rPr>
        <w:t> arising from the difference in the age structures of the two standards. It reflects exactly how the choice of standard re-weights the observed age-specific data. The consistency in the </w:t>
      </w:r>
      <w:r w:rsidRPr="00AF4D10">
        <w:rPr>
          <w:rFonts w:ascii="Segoe UI" w:eastAsia="Times New Roman" w:hAnsi="Segoe UI" w:cs="Segoe UI"/>
          <w:i/>
          <w:iCs/>
          <w:color w:val="0F1115"/>
          <w:kern w:val="0"/>
          <w:sz w:val="24"/>
          <w:szCs w:val="24"/>
          <w14:ligatures w14:val="none"/>
        </w:rPr>
        <w:t>direction and order of magnitude</w:t>
      </w:r>
      <w:r w:rsidRPr="00AF4D10">
        <w:rPr>
          <w:rFonts w:ascii="Segoe UI" w:eastAsia="Times New Roman" w:hAnsi="Segoe UI" w:cs="Segoe UI"/>
          <w:color w:val="0F1115"/>
          <w:kern w:val="0"/>
          <w:sz w:val="24"/>
          <w:szCs w:val="24"/>
          <w14:ligatures w14:val="none"/>
        </w:rPr>
        <w:t> of the result is the key indicator of robustness.</w:t>
      </w:r>
    </w:p>
    <w:p w14:paraId="60520D36" w14:textId="77777777" w:rsidR="00AF4D10" w:rsidRPr="00AF4D10" w:rsidRDefault="00AF4D10" w:rsidP="00AF4D10">
      <w:pPr>
        <w:numPr>
          <w:ilvl w:val="0"/>
          <w:numId w:val="4"/>
        </w:numPr>
        <w:shd w:val="clear" w:color="auto" w:fill="FFFFFF"/>
        <w:spacing w:after="0" w:line="240" w:lineRule="auto"/>
        <w:rPr>
          <w:rFonts w:ascii="Segoe UI" w:eastAsia="Times New Roman" w:hAnsi="Segoe UI" w:cs="Segoe UI"/>
          <w:color w:val="0F1115"/>
          <w:kern w:val="0"/>
          <w:sz w:val="24"/>
          <w:szCs w:val="24"/>
          <w14:ligatures w14:val="none"/>
        </w:rPr>
      </w:pPr>
      <w:r w:rsidRPr="00AF4D10">
        <w:rPr>
          <w:rFonts w:ascii="Segoe UI" w:eastAsia="Times New Roman" w:hAnsi="Segoe UI" w:cs="Segoe UI"/>
          <w:b/>
          <w:bCs/>
          <w:color w:val="0F1115"/>
          <w:kern w:val="0"/>
          <w:sz w:val="24"/>
          <w:szCs w:val="24"/>
          <w14:ligatures w14:val="none"/>
        </w:rPr>
        <w:t>Methodological Implication</w:t>
      </w:r>
      <w:r w:rsidRPr="00AF4D10">
        <w:rPr>
          <w:rFonts w:ascii="Segoe UI" w:eastAsia="Times New Roman" w:hAnsi="Segoe UI" w:cs="Segoe UI"/>
          <w:color w:val="0F1115"/>
          <w:kern w:val="0"/>
          <w:sz w:val="24"/>
          <w:szCs w:val="24"/>
          <w14:ligatures w14:val="none"/>
        </w:rPr>
        <w:t>: This analysis demonstrates that while the </w:t>
      </w:r>
      <w:r w:rsidRPr="00AF4D10">
        <w:rPr>
          <w:rFonts w:ascii="Segoe UI" w:eastAsia="Times New Roman" w:hAnsi="Segoe UI" w:cs="Segoe UI"/>
          <w:b/>
          <w:bCs/>
          <w:color w:val="0F1115"/>
          <w:kern w:val="0"/>
          <w:sz w:val="24"/>
          <w:szCs w:val="24"/>
          <w14:ligatures w14:val="none"/>
        </w:rPr>
        <w:t>absolute numerical value</w:t>
      </w:r>
      <w:r w:rsidRPr="00AF4D10">
        <w:rPr>
          <w:rFonts w:ascii="Segoe UI" w:eastAsia="Times New Roman" w:hAnsi="Segoe UI" w:cs="Segoe UI"/>
          <w:color w:val="0F1115"/>
          <w:kern w:val="0"/>
          <w:sz w:val="24"/>
          <w:szCs w:val="24"/>
          <w14:ligatures w14:val="none"/>
        </w:rPr>
        <w:t> of an ASIR is dependent on the chosen standard, the </w:t>
      </w:r>
      <w:r w:rsidRPr="00AF4D10">
        <w:rPr>
          <w:rFonts w:ascii="Segoe UI" w:eastAsia="Times New Roman" w:hAnsi="Segoe UI" w:cs="Segoe UI"/>
          <w:b/>
          <w:bCs/>
          <w:color w:val="0F1115"/>
          <w:kern w:val="0"/>
          <w:sz w:val="24"/>
          <w:szCs w:val="24"/>
          <w14:ligatures w14:val="none"/>
        </w:rPr>
        <w:t>substantive conclusion</w:t>
      </w:r>
      <w:r w:rsidRPr="00AF4D10">
        <w:rPr>
          <w:rFonts w:ascii="Segoe UI" w:eastAsia="Times New Roman" w:hAnsi="Segoe UI" w:cs="Segoe UI"/>
          <w:color w:val="0F1115"/>
          <w:kern w:val="0"/>
          <w:sz w:val="24"/>
          <w:szCs w:val="24"/>
          <w14:ligatures w14:val="none"/>
        </w:rPr>
        <w:t> regarding a high relative disease burden is </w:t>
      </w:r>
      <w:r w:rsidRPr="00AF4D10">
        <w:rPr>
          <w:rFonts w:ascii="Segoe UI" w:eastAsia="Times New Roman" w:hAnsi="Segoe UI" w:cs="Segoe UI"/>
          <w:b/>
          <w:bCs/>
          <w:color w:val="0F1115"/>
          <w:kern w:val="0"/>
          <w:sz w:val="24"/>
          <w:szCs w:val="24"/>
          <w14:ligatures w14:val="none"/>
        </w:rPr>
        <w:t>robust</w:t>
      </w:r>
      <w:r w:rsidRPr="00AF4D10">
        <w:rPr>
          <w:rFonts w:ascii="Segoe UI" w:eastAsia="Times New Roman" w:hAnsi="Segoe UI" w:cs="Segoe UI"/>
          <w:color w:val="0F1115"/>
          <w:kern w:val="0"/>
          <w:sz w:val="24"/>
          <w:szCs w:val="24"/>
          <w14:ligatures w14:val="none"/>
        </w:rPr>
        <w:t> to this methodological choice. The primary result (ASIR WHO = 18.8) is not an artifact of a particular standard but a stable estimate.</w:t>
      </w:r>
    </w:p>
    <w:p w14:paraId="1E1AB2E4" w14:textId="77777777" w:rsidR="00045152" w:rsidRDefault="00045152"/>
    <w:sectPr w:rsidR="00045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7E9"/>
    <w:multiLevelType w:val="multilevel"/>
    <w:tmpl w:val="D1A8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A4829"/>
    <w:multiLevelType w:val="multilevel"/>
    <w:tmpl w:val="FE14D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56491A"/>
    <w:multiLevelType w:val="multilevel"/>
    <w:tmpl w:val="6F885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B92C56"/>
    <w:multiLevelType w:val="multilevel"/>
    <w:tmpl w:val="39B4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201429">
    <w:abstractNumId w:val="0"/>
  </w:num>
  <w:num w:numId="2" w16cid:durableId="310599348">
    <w:abstractNumId w:val="1"/>
  </w:num>
  <w:num w:numId="3" w16cid:durableId="1524709664">
    <w:abstractNumId w:val="3"/>
  </w:num>
  <w:num w:numId="4" w16cid:durableId="2097631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A3"/>
    <w:rsid w:val="00045152"/>
    <w:rsid w:val="00170D77"/>
    <w:rsid w:val="00220321"/>
    <w:rsid w:val="002209A5"/>
    <w:rsid w:val="0029419A"/>
    <w:rsid w:val="00300019"/>
    <w:rsid w:val="00380309"/>
    <w:rsid w:val="003A030A"/>
    <w:rsid w:val="00464C12"/>
    <w:rsid w:val="00491B93"/>
    <w:rsid w:val="004D17A3"/>
    <w:rsid w:val="005478A3"/>
    <w:rsid w:val="00863F54"/>
    <w:rsid w:val="00886DBD"/>
    <w:rsid w:val="00AF4D10"/>
    <w:rsid w:val="00C11E40"/>
    <w:rsid w:val="00D94E46"/>
    <w:rsid w:val="00E659EC"/>
    <w:rsid w:val="00ED4376"/>
    <w:rsid w:val="00FD69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EAC93-6392-48C0-9CDA-77E235E3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
    <w:basedOn w:val="Normal"/>
    <w:next w:val="Normal"/>
    <w:link w:val="Heading1Char"/>
    <w:autoRedefine/>
    <w:uiPriority w:val="9"/>
    <w:qFormat/>
    <w:rsid w:val="00220321"/>
    <w:pPr>
      <w:keepNext/>
      <w:keepLines/>
      <w:bidi/>
      <w:spacing w:before="240" w:after="0" w:line="480" w:lineRule="auto"/>
      <w:outlineLvl w:val="0"/>
    </w:pPr>
    <w:rPr>
      <w:rFonts w:ascii="B Titr" w:eastAsia="Times New Roman" w:hAnsi="B Titr" w:cs="B Titr"/>
      <w:b/>
      <w:bCs/>
      <w:sz w:val="32"/>
      <w:szCs w:val="32"/>
    </w:rPr>
  </w:style>
  <w:style w:type="paragraph" w:styleId="Heading2">
    <w:name w:val="heading 2"/>
    <w:aliases w:val="11"/>
    <w:basedOn w:val="Normal"/>
    <w:next w:val="Normal"/>
    <w:link w:val="Heading2Char"/>
    <w:autoRedefine/>
    <w:uiPriority w:val="9"/>
    <w:unhideWhenUsed/>
    <w:qFormat/>
    <w:rsid w:val="00220321"/>
    <w:pPr>
      <w:keepNext/>
      <w:keepLines/>
      <w:bidi/>
      <w:spacing w:before="40" w:after="0"/>
      <w:outlineLvl w:val="1"/>
    </w:pPr>
    <w:rPr>
      <w:rFonts w:ascii="B Titr" w:eastAsiaTheme="majorEastAsia" w:hAnsi="B Titr" w:cs="B Titr"/>
      <w:b/>
      <w:bCs/>
      <w:sz w:val="28"/>
      <w:szCs w:val="28"/>
    </w:rPr>
  </w:style>
  <w:style w:type="paragraph" w:styleId="Heading3">
    <w:name w:val="heading 3"/>
    <w:aliases w:val="111"/>
    <w:basedOn w:val="Normal"/>
    <w:next w:val="Normal"/>
    <w:link w:val="Heading3Char"/>
    <w:autoRedefine/>
    <w:uiPriority w:val="9"/>
    <w:unhideWhenUsed/>
    <w:qFormat/>
    <w:rsid w:val="00220321"/>
    <w:pPr>
      <w:keepNext/>
      <w:keepLines/>
      <w:bidi/>
      <w:spacing w:after="0" w:line="480" w:lineRule="auto"/>
      <w:outlineLvl w:val="2"/>
    </w:pPr>
    <w:rPr>
      <w:rFonts w:ascii="B Titr" w:eastAsia="Times New Roman" w:hAnsi="B Titr" w:cs="B Titr"/>
      <w:bCs/>
      <w:color w:val="00B0F0"/>
      <w:sz w:val="24"/>
      <w:szCs w:val="28"/>
    </w:rPr>
  </w:style>
  <w:style w:type="paragraph" w:styleId="Heading4">
    <w:name w:val="heading 4"/>
    <w:basedOn w:val="Normal"/>
    <w:next w:val="Normal"/>
    <w:link w:val="Heading4Char"/>
    <w:uiPriority w:val="9"/>
    <w:semiHidden/>
    <w:unhideWhenUsed/>
    <w:qFormat/>
    <w:rsid w:val="004D17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17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17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7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7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7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فهرست اشکال"/>
    <w:basedOn w:val="Normal"/>
    <w:autoRedefine/>
    <w:qFormat/>
    <w:rsid w:val="00ED4376"/>
    <w:pPr>
      <w:bidi/>
    </w:pPr>
    <w:rPr>
      <w:rFonts w:ascii="B Nazanin" w:hAnsi="B Nazanin" w:cs="B Nazanin"/>
      <w:noProof/>
      <w:sz w:val="24"/>
      <w:szCs w:val="24"/>
    </w:rPr>
  </w:style>
  <w:style w:type="paragraph" w:styleId="TableofFigures">
    <w:name w:val="table of figures"/>
    <w:basedOn w:val="Normal"/>
    <w:next w:val="Normal"/>
    <w:autoRedefine/>
    <w:uiPriority w:val="99"/>
    <w:semiHidden/>
    <w:unhideWhenUsed/>
    <w:qFormat/>
    <w:rsid w:val="00ED4376"/>
    <w:pPr>
      <w:spacing w:after="0"/>
    </w:pPr>
    <w:rPr>
      <w:rFonts w:ascii="B Nazanin" w:hAnsi="B Nazanin"/>
      <w:sz w:val="24"/>
    </w:rPr>
  </w:style>
  <w:style w:type="paragraph" w:customStyle="1" w:styleId="a0">
    <w:name w:val="متن"/>
    <w:basedOn w:val="Normal"/>
    <w:autoRedefine/>
    <w:qFormat/>
    <w:rsid w:val="00C11E40"/>
    <w:rPr>
      <w:rFonts w:ascii="B Nazanin" w:hAnsi="B Nazanin"/>
      <w:sz w:val="28"/>
    </w:rPr>
  </w:style>
  <w:style w:type="paragraph" w:customStyle="1" w:styleId="14">
    <w:name w:val="متن14"/>
    <w:basedOn w:val="Normal"/>
    <w:link w:val="14Char"/>
    <w:autoRedefine/>
    <w:qFormat/>
    <w:rsid w:val="005478A3"/>
    <w:pPr>
      <w:bidi/>
    </w:pPr>
    <w:rPr>
      <w:rFonts w:ascii="B Nazanin" w:hAnsi="B Nazanin" w:cs="B Nazanin"/>
      <w:color w:val="000000" w:themeColor="text1"/>
      <w:sz w:val="28"/>
      <w:szCs w:val="28"/>
      <w:lang w:bidi="fa-IR"/>
    </w:rPr>
  </w:style>
  <w:style w:type="character" w:customStyle="1" w:styleId="14Char">
    <w:name w:val="متن14 Char"/>
    <w:basedOn w:val="DefaultParagraphFont"/>
    <w:link w:val="14"/>
    <w:rsid w:val="005478A3"/>
    <w:rPr>
      <w:rFonts w:ascii="B Nazanin" w:hAnsi="B Nazanin" w:cs="B Nazanin"/>
      <w:color w:val="000000" w:themeColor="text1"/>
      <w:sz w:val="28"/>
      <w:szCs w:val="28"/>
      <w:lang w:bidi="fa-IR"/>
    </w:rPr>
  </w:style>
  <w:style w:type="character" w:customStyle="1" w:styleId="Heading1Char">
    <w:name w:val="Heading 1 Char"/>
    <w:aliases w:val="1 Char"/>
    <w:basedOn w:val="DefaultParagraphFont"/>
    <w:link w:val="Heading1"/>
    <w:uiPriority w:val="9"/>
    <w:rsid w:val="00220321"/>
    <w:rPr>
      <w:rFonts w:ascii="B Titr" w:eastAsia="Times New Roman" w:hAnsi="B Titr" w:cs="B Titr"/>
      <w:b/>
      <w:bCs/>
      <w:sz w:val="32"/>
      <w:szCs w:val="32"/>
    </w:rPr>
  </w:style>
  <w:style w:type="character" w:customStyle="1" w:styleId="Heading2Char">
    <w:name w:val="Heading 2 Char"/>
    <w:aliases w:val="11 Char"/>
    <w:basedOn w:val="DefaultParagraphFont"/>
    <w:link w:val="Heading2"/>
    <w:uiPriority w:val="9"/>
    <w:rsid w:val="00220321"/>
    <w:rPr>
      <w:rFonts w:ascii="B Titr" w:eastAsiaTheme="majorEastAsia" w:hAnsi="B Titr" w:cs="B Titr"/>
      <w:b/>
      <w:bCs/>
      <w:sz w:val="28"/>
      <w:szCs w:val="28"/>
    </w:rPr>
  </w:style>
  <w:style w:type="character" w:customStyle="1" w:styleId="Heading3Char">
    <w:name w:val="Heading 3 Char"/>
    <w:aliases w:val="111 Char"/>
    <w:basedOn w:val="DefaultParagraphFont"/>
    <w:link w:val="Heading3"/>
    <w:uiPriority w:val="9"/>
    <w:rsid w:val="00220321"/>
    <w:rPr>
      <w:rFonts w:ascii="B Titr" w:eastAsia="Times New Roman" w:hAnsi="B Titr" w:cs="B Titr"/>
      <w:bCs/>
      <w:color w:val="00B0F0"/>
      <w:sz w:val="24"/>
      <w:szCs w:val="28"/>
    </w:rPr>
  </w:style>
  <w:style w:type="paragraph" w:customStyle="1" w:styleId="1-1">
    <w:name w:val="1-1"/>
    <w:basedOn w:val="Heading3"/>
    <w:link w:val="1-1Char"/>
    <w:autoRedefine/>
    <w:qFormat/>
    <w:rsid w:val="0029419A"/>
    <w:pPr>
      <w:keepLines w:val="0"/>
      <w:spacing w:line="240" w:lineRule="auto"/>
      <w:ind w:left="993" w:right="623" w:firstLine="284"/>
    </w:pPr>
    <w:rPr>
      <w:rFonts w:eastAsia="Calibri"/>
      <w:noProof/>
      <w:color w:val="000000"/>
      <w:sz w:val="28"/>
      <w:szCs w:val="20"/>
    </w:rPr>
  </w:style>
  <w:style w:type="character" w:customStyle="1" w:styleId="1-1Char">
    <w:name w:val="1-1 Char"/>
    <w:basedOn w:val="Heading3Char"/>
    <w:link w:val="1-1"/>
    <w:rsid w:val="0029419A"/>
    <w:rPr>
      <w:rFonts w:ascii="B Titr" w:eastAsia="Calibri" w:hAnsi="B Titr" w:cs="B Titr"/>
      <w:bCs/>
      <w:noProof/>
      <w:color w:val="000000"/>
      <w:sz w:val="28"/>
      <w:szCs w:val="20"/>
    </w:rPr>
  </w:style>
  <w:style w:type="paragraph" w:customStyle="1" w:styleId="a1">
    <w:name w:val="فهرست جدول"/>
    <w:basedOn w:val="Normal"/>
    <w:autoRedefine/>
    <w:qFormat/>
    <w:rsid w:val="00FD69F7"/>
    <w:pPr>
      <w:bidi/>
      <w:spacing w:after="240" w:line="360" w:lineRule="auto"/>
      <w:ind w:left="720"/>
      <w:jc w:val="center"/>
    </w:pPr>
    <w:rPr>
      <w:rFonts w:ascii="B Nazanin" w:eastAsia="Calibri" w:hAnsi="B Nazanin" w:cs="B Nazanin"/>
      <w:kern w:val="0"/>
      <w:sz w:val="24"/>
      <w:szCs w:val="24"/>
      <w:lang w:bidi="fa-IR"/>
      <w14:ligatures w14:val="none"/>
    </w:rPr>
  </w:style>
  <w:style w:type="character" w:customStyle="1" w:styleId="Heading4Char">
    <w:name w:val="Heading 4 Char"/>
    <w:basedOn w:val="DefaultParagraphFont"/>
    <w:link w:val="Heading4"/>
    <w:uiPriority w:val="9"/>
    <w:semiHidden/>
    <w:rsid w:val="004D17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17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17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7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7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7A3"/>
    <w:rPr>
      <w:rFonts w:eastAsiaTheme="majorEastAsia" w:cstheme="majorBidi"/>
      <w:color w:val="272727" w:themeColor="text1" w:themeTint="D8"/>
    </w:rPr>
  </w:style>
  <w:style w:type="paragraph" w:styleId="Title">
    <w:name w:val="Title"/>
    <w:basedOn w:val="Normal"/>
    <w:next w:val="Normal"/>
    <w:link w:val="TitleChar"/>
    <w:uiPriority w:val="10"/>
    <w:qFormat/>
    <w:rsid w:val="004D1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7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7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7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7A3"/>
    <w:pPr>
      <w:spacing w:before="160"/>
      <w:jc w:val="center"/>
    </w:pPr>
    <w:rPr>
      <w:i/>
      <w:iCs/>
      <w:color w:val="404040" w:themeColor="text1" w:themeTint="BF"/>
    </w:rPr>
  </w:style>
  <w:style w:type="character" w:customStyle="1" w:styleId="QuoteChar">
    <w:name w:val="Quote Char"/>
    <w:basedOn w:val="DefaultParagraphFont"/>
    <w:link w:val="Quote"/>
    <w:uiPriority w:val="29"/>
    <w:rsid w:val="004D17A3"/>
    <w:rPr>
      <w:i/>
      <w:iCs/>
      <w:color w:val="404040" w:themeColor="text1" w:themeTint="BF"/>
    </w:rPr>
  </w:style>
  <w:style w:type="paragraph" w:styleId="ListParagraph">
    <w:name w:val="List Paragraph"/>
    <w:basedOn w:val="Normal"/>
    <w:uiPriority w:val="34"/>
    <w:qFormat/>
    <w:rsid w:val="004D17A3"/>
    <w:pPr>
      <w:ind w:left="720"/>
      <w:contextualSpacing/>
    </w:pPr>
  </w:style>
  <w:style w:type="character" w:styleId="IntenseEmphasis">
    <w:name w:val="Intense Emphasis"/>
    <w:basedOn w:val="DefaultParagraphFont"/>
    <w:uiPriority w:val="21"/>
    <w:qFormat/>
    <w:rsid w:val="004D17A3"/>
    <w:rPr>
      <w:i/>
      <w:iCs/>
      <w:color w:val="2F5496" w:themeColor="accent1" w:themeShade="BF"/>
    </w:rPr>
  </w:style>
  <w:style w:type="paragraph" w:styleId="IntenseQuote">
    <w:name w:val="Intense Quote"/>
    <w:basedOn w:val="Normal"/>
    <w:next w:val="Normal"/>
    <w:link w:val="IntenseQuoteChar"/>
    <w:uiPriority w:val="30"/>
    <w:qFormat/>
    <w:rsid w:val="004D17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17A3"/>
    <w:rPr>
      <w:i/>
      <w:iCs/>
      <w:color w:val="2F5496" w:themeColor="accent1" w:themeShade="BF"/>
    </w:rPr>
  </w:style>
  <w:style w:type="character" w:styleId="IntenseReference">
    <w:name w:val="Intense Reference"/>
    <w:basedOn w:val="DefaultParagraphFont"/>
    <w:uiPriority w:val="32"/>
    <w:qFormat/>
    <w:rsid w:val="004D17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dc:description/>
  <cp:lastModifiedBy>alpha</cp:lastModifiedBy>
  <cp:revision>2</cp:revision>
  <dcterms:created xsi:type="dcterms:W3CDTF">2026-02-05T21:17:00Z</dcterms:created>
  <dcterms:modified xsi:type="dcterms:W3CDTF">2026-02-05T23:01:00Z</dcterms:modified>
</cp:coreProperties>
</file>