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11C" w:rsidRPr="001A0D04" w:rsidRDefault="005E366E">
      <w:pPr>
        <w:rPr>
          <w:b/>
          <w:bCs/>
          <w:sz w:val="24"/>
        </w:rPr>
      </w:pPr>
      <w:r>
        <w:rPr>
          <w:b/>
          <w:bCs/>
          <w:sz w:val="24"/>
        </w:rPr>
        <w:t>Additional file 1</w:t>
      </w:r>
    </w:p>
    <w:p w:rsidR="00F2150E" w:rsidRPr="003245C0" w:rsidRDefault="00F2150E" w:rsidP="00F2150E">
      <w:pPr>
        <w:spacing w:line="240" w:lineRule="auto"/>
        <w:rPr>
          <w:b/>
          <w:bCs/>
          <w:sz w:val="20"/>
          <w:szCs w:val="20"/>
        </w:rPr>
      </w:pPr>
      <w:r w:rsidRPr="003245C0">
        <w:rPr>
          <w:b/>
          <w:bCs/>
          <w:sz w:val="20"/>
          <w:szCs w:val="20"/>
        </w:rPr>
        <w:t xml:space="preserve">Table </w:t>
      </w:r>
      <w:r w:rsidR="00C15793">
        <w:rPr>
          <w:b/>
          <w:bCs/>
          <w:sz w:val="20"/>
          <w:szCs w:val="20"/>
        </w:rPr>
        <w:t>S</w:t>
      </w:r>
      <w:r w:rsidRPr="003245C0">
        <w:rPr>
          <w:b/>
          <w:bCs/>
          <w:sz w:val="20"/>
          <w:szCs w:val="20"/>
        </w:rPr>
        <w:t xml:space="preserve">1: </w:t>
      </w:r>
      <w:r w:rsidRPr="00200B34">
        <w:rPr>
          <w:b/>
          <w:bCs/>
          <w:sz w:val="20"/>
          <w:szCs w:val="20"/>
        </w:rPr>
        <w:t>Details of included studies</w:t>
      </w:r>
    </w:p>
    <w:tbl>
      <w:tblPr>
        <w:tblStyle w:val="TableGrid"/>
        <w:tblW w:w="14247" w:type="dxa"/>
        <w:tblLook w:val="04A0"/>
      </w:tblPr>
      <w:tblGrid>
        <w:gridCol w:w="3025"/>
        <w:gridCol w:w="3759"/>
        <w:gridCol w:w="3918"/>
        <w:gridCol w:w="1476"/>
        <w:gridCol w:w="2069"/>
      </w:tblGrid>
      <w:tr w:rsidR="00F2150E" w:rsidRPr="001A779A" w:rsidTr="009D5EC5">
        <w:trPr>
          <w:trHeight w:val="463"/>
          <w:tblHeader/>
        </w:trPr>
        <w:tc>
          <w:tcPr>
            <w:tcW w:w="3025" w:type="dxa"/>
          </w:tcPr>
          <w:p w:rsidR="00F2150E" w:rsidRPr="001A779A" w:rsidRDefault="00F2150E" w:rsidP="008D32BC">
            <w:pPr>
              <w:rPr>
                <w:rFonts w:asciiTheme="majorHAnsi" w:hAnsiTheme="majorHAnsi" w:cstheme="majorHAnsi"/>
                <w:b/>
                <w:bCs/>
                <w:sz w:val="16"/>
                <w:szCs w:val="16"/>
              </w:rPr>
            </w:pPr>
            <w:r w:rsidRPr="001A779A">
              <w:rPr>
                <w:rFonts w:asciiTheme="majorHAnsi" w:hAnsiTheme="majorHAnsi" w:cstheme="majorHAnsi"/>
                <w:b/>
                <w:bCs/>
                <w:sz w:val="16"/>
                <w:szCs w:val="16"/>
              </w:rPr>
              <w:t xml:space="preserve">Author(s) </w:t>
            </w:r>
          </w:p>
        </w:tc>
        <w:tc>
          <w:tcPr>
            <w:tcW w:w="3759" w:type="dxa"/>
          </w:tcPr>
          <w:p w:rsidR="00F2150E" w:rsidRPr="001A779A" w:rsidRDefault="00F2150E" w:rsidP="008D32BC">
            <w:pPr>
              <w:rPr>
                <w:rFonts w:asciiTheme="majorHAnsi" w:hAnsiTheme="majorHAnsi" w:cstheme="majorHAnsi"/>
                <w:b/>
                <w:bCs/>
                <w:sz w:val="16"/>
                <w:szCs w:val="16"/>
              </w:rPr>
            </w:pPr>
            <w:r w:rsidRPr="001A779A">
              <w:rPr>
                <w:rFonts w:asciiTheme="majorHAnsi" w:hAnsiTheme="majorHAnsi" w:cstheme="majorHAnsi"/>
                <w:b/>
                <w:bCs/>
                <w:sz w:val="16"/>
                <w:szCs w:val="16"/>
              </w:rPr>
              <w:t>Aim</w:t>
            </w:r>
          </w:p>
        </w:tc>
        <w:tc>
          <w:tcPr>
            <w:tcW w:w="3918" w:type="dxa"/>
          </w:tcPr>
          <w:p w:rsidR="00F2150E" w:rsidRPr="001A779A" w:rsidRDefault="00F2150E" w:rsidP="008D32BC">
            <w:pPr>
              <w:rPr>
                <w:rFonts w:asciiTheme="majorHAnsi" w:hAnsiTheme="majorHAnsi" w:cstheme="majorHAnsi"/>
                <w:b/>
                <w:bCs/>
                <w:sz w:val="16"/>
                <w:szCs w:val="16"/>
              </w:rPr>
            </w:pPr>
            <w:r w:rsidRPr="001A779A">
              <w:rPr>
                <w:rFonts w:asciiTheme="majorHAnsi" w:hAnsiTheme="majorHAnsi" w:cstheme="majorHAnsi"/>
                <w:b/>
                <w:bCs/>
                <w:sz w:val="16"/>
                <w:szCs w:val="16"/>
              </w:rPr>
              <w:t>Population and sample size</w:t>
            </w:r>
          </w:p>
        </w:tc>
        <w:tc>
          <w:tcPr>
            <w:tcW w:w="1476" w:type="dxa"/>
          </w:tcPr>
          <w:p w:rsidR="00F2150E" w:rsidRPr="001A779A" w:rsidRDefault="00F2150E" w:rsidP="008D32BC">
            <w:pPr>
              <w:rPr>
                <w:rFonts w:asciiTheme="majorHAnsi" w:hAnsiTheme="majorHAnsi" w:cstheme="majorHAnsi"/>
                <w:b/>
                <w:bCs/>
                <w:sz w:val="16"/>
                <w:szCs w:val="16"/>
              </w:rPr>
            </w:pPr>
            <w:r w:rsidRPr="001A779A">
              <w:rPr>
                <w:rFonts w:asciiTheme="majorHAnsi" w:hAnsiTheme="majorHAnsi" w:cstheme="majorHAnsi"/>
                <w:b/>
                <w:bCs/>
                <w:sz w:val="16"/>
                <w:szCs w:val="16"/>
              </w:rPr>
              <w:t>Location</w:t>
            </w:r>
          </w:p>
        </w:tc>
        <w:tc>
          <w:tcPr>
            <w:tcW w:w="2069" w:type="dxa"/>
          </w:tcPr>
          <w:p w:rsidR="00F2150E" w:rsidRPr="001A779A" w:rsidRDefault="00F2150E" w:rsidP="008D32BC">
            <w:pPr>
              <w:rPr>
                <w:rFonts w:asciiTheme="majorHAnsi" w:hAnsiTheme="majorHAnsi" w:cstheme="majorHAnsi"/>
                <w:b/>
                <w:bCs/>
                <w:sz w:val="16"/>
                <w:szCs w:val="16"/>
              </w:rPr>
            </w:pPr>
            <w:r w:rsidRPr="001A779A">
              <w:rPr>
                <w:rFonts w:asciiTheme="majorHAnsi" w:hAnsiTheme="majorHAnsi" w:cstheme="majorHAnsi"/>
                <w:b/>
                <w:bCs/>
                <w:sz w:val="16"/>
                <w:szCs w:val="16"/>
              </w:rPr>
              <w:t>Programme</w:t>
            </w:r>
          </w:p>
          <w:p w:rsidR="00F2150E" w:rsidRPr="001A779A" w:rsidRDefault="00F2150E" w:rsidP="008D32BC">
            <w:pPr>
              <w:rPr>
                <w:rFonts w:asciiTheme="majorHAnsi" w:hAnsiTheme="majorHAnsi" w:cstheme="majorHAnsi"/>
                <w:b/>
                <w:bCs/>
                <w:sz w:val="16"/>
                <w:szCs w:val="16"/>
              </w:rPr>
            </w:pPr>
            <w:r w:rsidRPr="001A779A">
              <w:rPr>
                <w:rFonts w:asciiTheme="majorHAnsi" w:hAnsiTheme="majorHAnsi" w:cstheme="majorHAnsi"/>
                <w:b/>
                <w:bCs/>
                <w:sz w:val="16"/>
                <w:szCs w:val="16"/>
              </w:rPr>
              <w:t>/Intervention</w:t>
            </w:r>
          </w:p>
        </w:tc>
      </w:tr>
      <w:tr w:rsidR="00F2150E" w:rsidRPr="001A779A" w:rsidTr="009D5EC5">
        <w:trPr>
          <w:cantSplit/>
          <w:trHeight w:val="300"/>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Alves et  al (2006)</w:t>
            </w:r>
            <w:r w:rsidR="001249B9">
              <w:rPr>
                <w:rFonts w:asciiTheme="majorHAnsi" w:hAnsiTheme="majorHAnsi" w:cstheme="majorHAnsi"/>
                <w:sz w:val="16"/>
                <w:szCs w:val="16"/>
              </w:rPr>
              <w:t xml:space="preserve"> [41]</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To examine the cultural differences in nature-related activities among Hispanic and Anglo-American elderly. To analyse the content of nature-related activities based on selected attributes of quality of life.  To provide culturally sensitive recommendations for future-related health interventions in institutional settings. </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15 Spanish-speaking Hispanic and 15 English-speaking Anglo-American elderly people (institutionalised)</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USA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9D5EC5">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Bengtsson &amp; Carlsson (2013)</w:t>
            </w:r>
            <w:r w:rsidR="001249B9">
              <w:rPr>
                <w:rFonts w:asciiTheme="majorHAnsi" w:hAnsiTheme="majorHAnsi" w:cstheme="majorHAnsi"/>
                <w:sz w:val="16"/>
                <w:szCs w:val="16"/>
              </w:rPr>
              <w:t xml:space="preserve"> [39]</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describe older persons’ experiences of outdoor environments at nursing homes in terms of what factors are important and in what way they are important.</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12 residents from three nursing homes (74-96 years; M = 86</w:t>
            </w:r>
            <w:r>
              <w:rPr>
                <w:rFonts w:asciiTheme="majorHAnsi" w:hAnsiTheme="majorHAnsi" w:cstheme="majorHAnsi"/>
                <w:sz w:val="16"/>
                <w:szCs w:val="16"/>
              </w:rPr>
              <w:t xml:space="preserve"> years</w:t>
            </w:r>
            <w:r w:rsidRPr="001A779A">
              <w:rPr>
                <w:rFonts w:asciiTheme="majorHAnsi" w:hAnsiTheme="majorHAnsi" w:cstheme="majorHAnsi"/>
                <w:sz w:val="16"/>
                <w:szCs w:val="16"/>
              </w:rPr>
              <w:t>).  No details on gender.</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 Sweden</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9D5EC5">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Bhatti (2006)</w:t>
            </w:r>
            <w:r w:rsidR="001249B9">
              <w:rPr>
                <w:rFonts w:asciiTheme="majorHAnsi" w:hAnsiTheme="majorHAnsi" w:cstheme="majorHAnsi"/>
                <w:sz w:val="16"/>
                <w:szCs w:val="16"/>
              </w:rPr>
              <w:t xml:space="preserve"> [44]</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highlight the importance of garden and gardening to older people. To understand the importance of ageing on the social construction of home, in which the garden is a significant site.</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Mass Observation Data Archive – Garden and Gardening Directive  (244 returns) &amp; Growing Older Directive (429 returns) (15 extracts used)</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UK</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9D5EC5">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Boyes (2013)</w:t>
            </w:r>
            <w:r w:rsidR="001249B9">
              <w:rPr>
                <w:rFonts w:asciiTheme="majorHAnsi" w:hAnsiTheme="majorHAnsi" w:cstheme="majorHAnsi"/>
                <w:sz w:val="16"/>
                <w:szCs w:val="16"/>
              </w:rPr>
              <w:t xml:space="preserve"> [53]</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explore the ways older people engage in outdoor adventure activities in a community-based programme</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6 older adults (63-80 years) (4 women &amp; 2 men)</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New Zealand</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Third Age Adventure Programme</w:t>
            </w:r>
            <w:r>
              <w:rPr>
                <w:rFonts w:asciiTheme="majorHAnsi" w:hAnsiTheme="majorHAnsi" w:cstheme="majorHAnsi"/>
                <w:sz w:val="16"/>
                <w:szCs w:val="16"/>
              </w:rPr>
              <w:t xml:space="preserve"> (</w:t>
            </w:r>
            <w:r w:rsidRPr="001A779A">
              <w:rPr>
                <w:rFonts w:asciiTheme="majorHAnsi" w:hAnsiTheme="majorHAnsi" w:cstheme="majorHAnsi"/>
                <w:sz w:val="16"/>
                <w:szCs w:val="16"/>
              </w:rPr>
              <w:t xml:space="preserve"> had been running for 5 years)</w:t>
            </w:r>
          </w:p>
        </w:tc>
      </w:tr>
      <w:tr w:rsidR="00F2150E" w:rsidRPr="001A779A" w:rsidTr="009D5EC5">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Burton &amp; Sheehan (2010)</w:t>
            </w:r>
            <w:r w:rsidR="001249B9">
              <w:rPr>
                <w:rFonts w:asciiTheme="majorHAnsi" w:hAnsiTheme="majorHAnsi" w:cstheme="majorHAnsi"/>
                <w:sz w:val="16"/>
                <w:szCs w:val="16"/>
              </w:rPr>
              <w:t xml:space="preserve"> [34]</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identify the aspects of care-home design that appear to have the</w:t>
            </w:r>
            <w:r>
              <w:rPr>
                <w:rFonts w:asciiTheme="majorHAnsi" w:hAnsiTheme="majorHAnsi" w:cstheme="majorHAnsi"/>
                <w:sz w:val="16"/>
                <w:szCs w:val="16"/>
              </w:rPr>
              <w:t xml:space="preserve"> greatest influence on the well</w:t>
            </w:r>
            <w:r w:rsidRPr="001A779A">
              <w:rPr>
                <w:rFonts w:asciiTheme="majorHAnsi" w:hAnsiTheme="majorHAnsi" w:cstheme="majorHAnsi"/>
                <w:sz w:val="16"/>
                <w:szCs w:val="16"/>
              </w:rPr>
              <w:t>being of older residents.</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81 residents in 20 care homes (</w:t>
            </w:r>
            <w:r>
              <w:rPr>
                <w:rFonts w:asciiTheme="majorHAnsi" w:hAnsiTheme="majorHAnsi" w:cstheme="majorHAnsi"/>
                <w:sz w:val="16"/>
                <w:szCs w:val="16"/>
              </w:rPr>
              <w:t>M = 85 years; 59 women, 22 men</w:t>
            </w:r>
            <w:r w:rsidRPr="001A779A">
              <w:rPr>
                <w:rFonts w:asciiTheme="majorHAnsi" w:hAnsiTheme="majorHAnsi" w:cstheme="majorHAnsi"/>
                <w:sz w:val="16"/>
                <w:szCs w:val="16"/>
              </w:rPr>
              <w:t>)</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England</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9D5EC5">
        <w:trPr>
          <w:cantSplit/>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Butler &amp; Cohen (2010)</w:t>
            </w:r>
            <w:r w:rsidR="001249B9">
              <w:rPr>
                <w:rFonts w:asciiTheme="majorHAnsi" w:hAnsiTheme="majorHAnsi" w:cstheme="majorHAnsi"/>
                <w:sz w:val="16"/>
                <w:szCs w:val="16"/>
              </w:rPr>
              <w:t xml:space="preserve"> [38]</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To examine how elders living in nonmetropolitan regions in northeastern United States perceived their rural surroundings and the contribution </w:t>
            </w:r>
            <w:r>
              <w:rPr>
                <w:rFonts w:asciiTheme="majorHAnsi" w:hAnsiTheme="majorHAnsi" w:cstheme="majorHAnsi"/>
                <w:sz w:val="16"/>
                <w:szCs w:val="16"/>
              </w:rPr>
              <w:t>of nature in their overall well</w:t>
            </w:r>
            <w:r w:rsidRPr="001A779A">
              <w:rPr>
                <w:rFonts w:asciiTheme="majorHAnsi" w:hAnsiTheme="majorHAnsi" w:cstheme="majorHAnsi"/>
                <w:sz w:val="16"/>
                <w:szCs w:val="16"/>
              </w:rPr>
              <w:t>being.</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Study 1 – 66 participants (34 volunteers and 32 of their clients; 62</w:t>
            </w:r>
            <w:r>
              <w:rPr>
                <w:rFonts w:asciiTheme="majorHAnsi" w:hAnsiTheme="majorHAnsi" w:cstheme="majorHAnsi"/>
                <w:sz w:val="16"/>
                <w:szCs w:val="16"/>
              </w:rPr>
              <w:t>-99 years, M = 78 years; 54 women, 16</w:t>
            </w:r>
            <w:r w:rsidRPr="001A779A">
              <w:rPr>
                <w:rFonts w:asciiTheme="majorHAnsi" w:hAnsiTheme="majorHAnsi" w:cstheme="majorHAnsi"/>
                <w:sz w:val="16"/>
                <w:szCs w:val="16"/>
              </w:rPr>
              <w:t xml:space="preserve"> men); Study 2 – 8 pa</w:t>
            </w:r>
            <w:r>
              <w:rPr>
                <w:rFonts w:asciiTheme="majorHAnsi" w:hAnsiTheme="majorHAnsi" w:cstheme="majorHAnsi"/>
                <w:sz w:val="16"/>
                <w:szCs w:val="16"/>
              </w:rPr>
              <w:t xml:space="preserve">rticipants (70-95 years; 5 women and 3 </w:t>
            </w:r>
            <w:r w:rsidRPr="001A779A">
              <w:rPr>
                <w:rFonts w:asciiTheme="majorHAnsi" w:hAnsiTheme="majorHAnsi" w:cstheme="majorHAnsi"/>
                <w:sz w:val="16"/>
                <w:szCs w:val="16"/>
              </w:rPr>
              <w:t>men)</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USA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Programme – study 1 was a federally funded elder-helping –</w:t>
            </w:r>
            <w:r w:rsidR="0012120B">
              <w:rPr>
                <w:rFonts w:asciiTheme="majorHAnsi" w:hAnsiTheme="majorHAnsi" w:cstheme="majorHAnsi"/>
                <w:sz w:val="16"/>
                <w:szCs w:val="16"/>
              </w:rPr>
              <w:t xml:space="preserve"> </w:t>
            </w:r>
            <w:r w:rsidRPr="001A779A">
              <w:rPr>
                <w:rFonts w:asciiTheme="majorHAnsi" w:hAnsiTheme="majorHAnsi" w:cstheme="majorHAnsi"/>
                <w:sz w:val="16"/>
                <w:szCs w:val="16"/>
              </w:rPr>
              <w:t>elder volunteer program, the Senior Companion Program.</w:t>
            </w:r>
          </w:p>
        </w:tc>
      </w:tr>
      <w:tr w:rsidR="00F2150E" w:rsidRPr="001A779A" w:rsidTr="009D5EC5">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Day (2008)</w:t>
            </w:r>
            <w:r w:rsidR="001249B9">
              <w:rPr>
                <w:rFonts w:asciiTheme="majorHAnsi" w:hAnsiTheme="majorHAnsi" w:cstheme="majorHAnsi"/>
                <w:sz w:val="16"/>
                <w:szCs w:val="16"/>
              </w:rPr>
              <w:t xml:space="preserve"> [35]</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explore the ways in which the local outdoor physical environment may support or challenge older people’s health.</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45 older people (62-over 90 years). No details on gender.</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Scotland</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9D5EC5">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Duggan et al (2008)</w:t>
            </w:r>
            <w:r w:rsidR="001249B9">
              <w:rPr>
                <w:rFonts w:asciiTheme="majorHAnsi" w:hAnsiTheme="majorHAnsi" w:cstheme="majorHAnsi"/>
                <w:sz w:val="16"/>
                <w:szCs w:val="16"/>
              </w:rPr>
              <w:t xml:space="preserve"> [49]</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To report on the voices of people with </w:t>
            </w:r>
            <w:r w:rsidRPr="00B45456">
              <w:rPr>
                <w:rFonts w:asciiTheme="majorHAnsi" w:hAnsiTheme="majorHAnsi" w:cstheme="majorHAnsi"/>
                <w:sz w:val="16"/>
                <w:szCs w:val="16"/>
              </w:rPr>
              <w:t>early to moderate</w:t>
            </w:r>
            <w:r w:rsidRPr="001A779A">
              <w:rPr>
                <w:rFonts w:asciiTheme="majorHAnsi" w:hAnsiTheme="majorHAnsi" w:cstheme="majorHAnsi"/>
                <w:color w:val="0070C0"/>
                <w:sz w:val="16"/>
                <w:szCs w:val="16"/>
              </w:rPr>
              <w:t xml:space="preserve"> </w:t>
            </w:r>
            <w:r w:rsidRPr="001A779A">
              <w:rPr>
                <w:rFonts w:asciiTheme="majorHAnsi" w:hAnsiTheme="majorHAnsi" w:cstheme="majorHAnsi"/>
                <w:sz w:val="16"/>
                <w:szCs w:val="16"/>
              </w:rPr>
              <w:t xml:space="preserve">dementia </w:t>
            </w:r>
            <w:r>
              <w:rPr>
                <w:rFonts w:asciiTheme="majorHAnsi" w:hAnsiTheme="majorHAnsi" w:cstheme="majorHAnsi"/>
                <w:sz w:val="16"/>
                <w:szCs w:val="16"/>
              </w:rPr>
              <w:t xml:space="preserve">living in their own home </w:t>
            </w:r>
            <w:r w:rsidRPr="001A779A">
              <w:rPr>
                <w:rFonts w:asciiTheme="majorHAnsi" w:hAnsiTheme="majorHAnsi" w:cstheme="majorHAnsi"/>
                <w:sz w:val="16"/>
                <w:szCs w:val="16"/>
              </w:rPr>
              <w:t>concerning their use of the outdoor environment and how dementia impacts on it.</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22 people with early to moderate dementia (71-84 years) (11 men &amp; 11 women)</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UK</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9D5EC5">
        <w:trPr>
          <w:trHeight w:val="286"/>
        </w:trPr>
        <w:tc>
          <w:tcPr>
            <w:tcW w:w="3025" w:type="dxa"/>
          </w:tcPr>
          <w:p w:rsidR="00F2150E" w:rsidRPr="001A779A" w:rsidRDefault="00F2150E" w:rsidP="009D5EC5">
            <w:pPr>
              <w:rPr>
                <w:rFonts w:asciiTheme="majorHAnsi" w:hAnsiTheme="majorHAnsi" w:cstheme="majorHAnsi"/>
                <w:sz w:val="16"/>
                <w:szCs w:val="16"/>
              </w:rPr>
            </w:pPr>
            <w:r w:rsidRPr="001A779A">
              <w:rPr>
                <w:rFonts w:asciiTheme="majorHAnsi" w:hAnsiTheme="majorHAnsi" w:cstheme="majorHAnsi"/>
                <w:sz w:val="16"/>
                <w:szCs w:val="16"/>
              </w:rPr>
              <w:t>Durvasula et al (2010)</w:t>
            </w:r>
            <w:r w:rsidR="001249B9">
              <w:rPr>
                <w:rFonts w:asciiTheme="majorHAnsi" w:hAnsiTheme="majorHAnsi" w:cstheme="majorHAnsi"/>
                <w:sz w:val="16"/>
                <w:szCs w:val="16"/>
              </w:rPr>
              <w:t xml:space="preserve"> [50]</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ascertain the current and early life attitudes to sunlight exposure in older people living in intermediate care facilities.  To determine the participants’ knowledge of vitamin D and its effects.</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57 residents (70-107 years) (39 women &amp; 18 men;</w:t>
            </w:r>
            <w:r w:rsidRPr="001A779A">
              <w:rPr>
                <w:rFonts w:asciiTheme="majorHAnsi" w:hAnsiTheme="majorHAnsi" w:cstheme="majorHAnsi"/>
                <w:color w:val="0070C0"/>
                <w:sz w:val="16"/>
                <w:szCs w:val="16"/>
              </w:rPr>
              <w:t xml:space="preserve"> </w:t>
            </w:r>
            <w:r w:rsidRPr="00731765">
              <w:rPr>
                <w:rFonts w:asciiTheme="majorHAnsi" w:hAnsiTheme="majorHAnsi" w:cstheme="majorHAnsi"/>
                <w:sz w:val="16"/>
                <w:szCs w:val="16"/>
              </w:rPr>
              <w:t>M = 85 years)</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Australia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7C5DE1">
        <w:trPr>
          <w:cantSplit/>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lastRenderedPageBreak/>
              <w:t>Edwards et al (2012)</w:t>
            </w:r>
            <w:r w:rsidR="001E1D58">
              <w:rPr>
                <w:rFonts w:asciiTheme="majorHAnsi" w:hAnsiTheme="majorHAnsi" w:cstheme="majorHAnsi"/>
                <w:sz w:val="16"/>
                <w:szCs w:val="16"/>
              </w:rPr>
              <w:t xml:space="preserve"> [87</w:t>
            </w:r>
            <w:r w:rsidR="001249B9">
              <w:rPr>
                <w:rFonts w:asciiTheme="majorHAnsi" w:hAnsiTheme="majorHAnsi" w:cstheme="majorHAnsi"/>
                <w:sz w:val="16"/>
                <w:szCs w:val="16"/>
              </w:rPr>
              <w:t>]</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evaluate whether a therapeutic garden can improve the quality of life of aged care residents with dementia.</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10 residents – 4 had severe dementia, 3 had moderate dementia, 3 had mild dementia (9 women &amp; 1 man) (79-90 years) unclear how many residents themselves were interviewed</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Australia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Project – therapeutic, interactive, sensory, wander garden created to increase quality of life for residents</w:t>
            </w:r>
          </w:p>
        </w:tc>
      </w:tr>
      <w:tr w:rsidR="00F2150E" w:rsidRPr="001A779A" w:rsidTr="008D32BC">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Gibson et al (2007)</w:t>
            </w:r>
            <w:r w:rsidR="001249B9">
              <w:rPr>
                <w:rFonts w:asciiTheme="majorHAnsi" w:hAnsiTheme="majorHAnsi" w:cstheme="majorHAnsi"/>
                <w:sz w:val="16"/>
                <w:szCs w:val="16"/>
              </w:rPr>
              <w:t xml:space="preserve"> [36]</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determine if and how nature was important to people with dementia.</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26 people with dementia: 16 with mild to severe dementia living at home; 10 living in resi</w:t>
            </w:r>
            <w:r>
              <w:rPr>
                <w:rFonts w:asciiTheme="majorHAnsi" w:hAnsiTheme="majorHAnsi" w:cstheme="majorHAnsi"/>
                <w:sz w:val="16"/>
                <w:szCs w:val="16"/>
              </w:rPr>
              <w:t xml:space="preserve">dential homes (9 women &amp; 7 </w:t>
            </w:r>
            <w:r w:rsidRPr="001A779A">
              <w:rPr>
                <w:rFonts w:asciiTheme="majorHAnsi" w:hAnsiTheme="majorHAnsi" w:cstheme="majorHAnsi"/>
                <w:sz w:val="16"/>
                <w:szCs w:val="16"/>
              </w:rPr>
              <w:t>men) (4 living alone, 12 with informal carer).</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England</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Programme – INDEPENDENT Project, EPSRC fu</w:t>
            </w:r>
            <w:r>
              <w:rPr>
                <w:rFonts w:asciiTheme="majorHAnsi" w:hAnsiTheme="majorHAnsi" w:cstheme="majorHAnsi"/>
                <w:sz w:val="16"/>
                <w:szCs w:val="16"/>
              </w:rPr>
              <w:t xml:space="preserve">nded </w:t>
            </w:r>
            <w:r w:rsidRPr="001A779A">
              <w:rPr>
                <w:rFonts w:asciiTheme="majorHAnsi" w:hAnsiTheme="majorHAnsi" w:cstheme="majorHAnsi"/>
                <w:sz w:val="16"/>
                <w:szCs w:val="16"/>
              </w:rPr>
              <w:t>EQUAL 4 consortium project which investigated enabling environments for people with dementia.</w:t>
            </w:r>
          </w:p>
        </w:tc>
      </w:tr>
      <w:tr w:rsidR="00F2150E" w:rsidRPr="001A779A" w:rsidTr="008D32BC">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Hassink et al (2010)</w:t>
            </w:r>
            <w:r w:rsidR="001249B9">
              <w:rPr>
                <w:rFonts w:asciiTheme="majorHAnsi" w:hAnsiTheme="majorHAnsi" w:cstheme="majorHAnsi"/>
                <w:sz w:val="16"/>
                <w:szCs w:val="16"/>
              </w:rPr>
              <w:t xml:space="preserve"> [37]</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find out which characteristics of care farms are important for different client groups and whether care farms can be good examples of empowerment-oriented and strength-based practices for different client groups leading to an improved quality of life.</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12 frail elderly people (no details on gender)</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Netherlands</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8D32BC">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Hawkins et al (2013)</w:t>
            </w:r>
            <w:r w:rsidR="001249B9">
              <w:rPr>
                <w:rFonts w:asciiTheme="majorHAnsi" w:hAnsiTheme="majorHAnsi" w:cstheme="majorHAnsi"/>
                <w:sz w:val="16"/>
                <w:szCs w:val="16"/>
              </w:rPr>
              <w:t xml:space="preserve"> [32]</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To investigate </w:t>
            </w:r>
            <w:r>
              <w:rPr>
                <w:rFonts w:asciiTheme="majorHAnsi" w:hAnsiTheme="majorHAnsi" w:cstheme="majorHAnsi"/>
                <w:sz w:val="16"/>
                <w:szCs w:val="16"/>
              </w:rPr>
              <w:t>the benefits to health and well</w:t>
            </w:r>
            <w:r w:rsidRPr="001A779A">
              <w:rPr>
                <w:rFonts w:asciiTheme="majorHAnsi" w:hAnsiTheme="majorHAnsi" w:cstheme="majorHAnsi"/>
                <w:sz w:val="16"/>
                <w:szCs w:val="16"/>
              </w:rPr>
              <w:t>being of allotment gardening in a community-dwelling older adult sample</w:t>
            </w:r>
            <w:r>
              <w:rPr>
                <w:rFonts w:asciiTheme="majorHAnsi" w:hAnsiTheme="majorHAnsi" w:cstheme="majorHAnsi"/>
                <w:sz w:val="16"/>
                <w:szCs w:val="16"/>
              </w:rPr>
              <w:t>.</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14 allotment gardeners (54-82 years; </w:t>
            </w:r>
            <w:r>
              <w:rPr>
                <w:rFonts w:asciiTheme="majorHAnsi" w:hAnsiTheme="majorHAnsi" w:cstheme="majorHAnsi"/>
                <w:sz w:val="16"/>
                <w:szCs w:val="16"/>
              </w:rPr>
              <w:t xml:space="preserve">M = </w:t>
            </w:r>
            <w:r w:rsidRPr="00F64C98">
              <w:rPr>
                <w:rFonts w:asciiTheme="majorHAnsi" w:hAnsiTheme="majorHAnsi" w:cstheme="majorHAnsi"/>
                <w:sz w:val="16"/>
                <w:szCs w:val="16"/>
              </w:rPr>
              <w:t>65.8 years</w:t>
            </w:r>
            <w:r w:rsidRPr="001A779A">
              <w:rPr>
                <w:rFonts w:asciiTheme="majorHAnsi" w:hAnsiTheme="majorHAnsi" w:cstheme="majorHAnsi"/>
                <w:sz w:val="16"/>
                <w:szCs w:val="16"/>
              </w:rPr>
              <w:t>) (10 men &amp; 4 women)</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Wales, UK</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8D32BC">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Heliker et al (2001)</w:t>
            </w:r>
            <w:r w:rsidR="001249B9">
              <w:rPr>
                <w:rFonts w:asciiTheme="majorHAnsi" w:hAnsiTheme="majorHAnsi" w:cstheme="majorHAnsi"/>
                <w:sz w:val="16"/>
                <w:szCs w:val="16"/>
              </w:rPr>
              <w:t xml:space="preserve"> </w:t>
            </w:r>
            <w:r w:rsidR="00061CBA">
              <w:rPr>
                <w:rFonts w:asciiTheme="majorHAnsi" w:hAnsiTheme="majorHAnsi" w:cstheme="majorHAnsi"/>
                <w:sz w:val="16"/>
                <w:szCs w:val="16"/>
              </w:rPr>
              <w:t>[54]</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demonstrate the feasibility and effectiveness of horticulture therapy and the percei</w:t>
            </w:r>
            <w:r>
              <w:rPr>
                <w:rFonts w:asciiTheme="majorHAnsi" w:hAnsiTheme="majorHAnsi" w:cstheme="majorHAnsi"/>
                <w:sz w:val="16"/>
                <w:szCs w:val="16"/>
              </w:rPr>
              <w:t>ved meaning and outcome on well</w:t>
            </w:r>
            <w:r w:rsidRPr="001A779A">
              <w:rPr>
                <w:rFonts w:asciiTheme="majorHAnsi" w:hAnsiTheme="majorHAnsi" w:cstheme="majorHAnsi"/>
                <w:sz w:val="16"/>
                <w:szCs w:val="16"/>
              </w:rPr>
              <w:t>being of a structured gardening intervention on two groups of elders in two culturally diverse settings.</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24 volunteers/community dwelling elders (63-90 years): Group A comprised 1</w:t>
            </w:r>
            <w:r>
              <w:rPr>
                <w:rFonts w:asciiTheme="majorHAnsi" w:hAnsiTheme="majorHAnsi" w:cstheme="majorHAnsi"/>
                <w:sz w:val="16"/>
                <w:szCs w:val="16"/>
              </w:rPr>
              <w:t xml:space="preserve">2 volunteers aged between 67-90 years; M = 79 years (7 women &amp;  5 </w:t>
            </w:r>
            <w:r w:rsidRPr="001A779A">
              <w:rPr>
                <w:rFonts w:asciiTheme="majorHAnsi" w:hAnsiTheme="majorHAnsi" w:cstheme="majorHAnsi"/>
                <w:sz w:val="16"/>
                <w:szCs w:val="16"/>
              </w:rPr>
              <w:t>men, 10 were African-American and 2 were Caucasian); Group B comprised 12 volunteers ag</w:t>
            </w:r>
            <w:r>
              <w:rPr>
                <w:rFonts w:asciiTheme="majorHAnsi" w:hAnsiTheme="majorHAnsi" w:cstheme="majorHAnsi"/>
                <w:sz w:val="16"/>
                <w:szCs w:val="16"/>
              </w:rPr>
              <w:t>ed between 63-83, M =</w:t>
            </w:r>
            <w:r w:rsidRPr="001A779A">
              <w:rPr>
                <w:rFonts w:asciiTheme="majorHAnsi" w:hAnsiTheme="majorHAnsi" w:cstheme="majorHAnsi"/>
                <w:sz w:val="16"/>
                <w:szCs w:val="16"/>
              </w:rPr>
              <w:t xml:space="preserve"> 70.1</w:t>
            </w:r>
            <w:r>
              <w:rPr>
                <w:rFonts w:asciiTheme="majorHAnsi" w:hAnsiTheme="majorHAnsi" w:cstheme="majorHAnsi"/>
                <w:sz w:val="16"/>
                <w:szCs w:val="16"/>
              </w:rPr>
              <w:t xml:space="preserve"> years (11 women&amp;  1 man</w:t>
            </w:r>
            <w:r w:rsidRPr="001A779A">
              <w:rPr>
                <w:rFonts w:asciiTheme="majorHAnsi" w:hAnsiTheme="majorHAnsi" w:cstheme="majorHAnsi"/>
                <w:sz w:val="16"/>
                <w:szCs w:val="16"/>
              </w:rPr>
              <w:t xml:space="preserve">, 9 were Caucasian, 1 as African-American and Caucasian and 1 </w:t>
            </w:r>
            <w:r>
              <w:rPr>
                <w:rFonts w:asciiTheme="majorHAnsi" w:hAnsiTheme="majorHAnsi" w:cstheme="majorHAnsi"/>
                <w:sz w:val="16"/>
                <w:szCs w:val="16"/>
              </w:rPr>
              <w:t>w</w:t>
            </w:r>
            <w:r w:rsidRPr="001A779A">
              <w:rPr>
                <w:rFonts w:asciiTheme="majorHAnsi" w:hAnsiTheme="majorHAnsi" w:cstheme="majorHAnsi"/>
                <w:sz w:val="16"/>
                <w:szCs w:val="16"/>
              </w:rPr>
              <w:t xml:space="preserve">as Hispanic).  </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USA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Intervention – three month gardening project comprising 12 classes</w:t>
            </w:r>
          </w:p>
        </w:tc>
      </w:tr>
      <w:tr w:rsidR="00F2150E" w:rsidRPr="001A779A" w:rsidTr="008D32BC">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Hulko (2014)</w:t>
            </w:r>
            <w:r w:rsidR="001249B9">
              <w:rPr>
                <w:rFonts w:asciiTheme="majorHAnsi" w:hAnsiTheme="majorHAnsi" w:cstheme="majorHAnsi"/>
                <w:sz w:val="16"/>
                <w:szCs w:val="16"/>
              </w:rPr>
              <w:t xml:space="preserve"> </w:t>
            </w:r>
            <w:r w:rsidR="001E1D58">
              <w:rPr>
                <w:rFonts w:asciiTheme="majorHAnsi" w:hAnsiTheme="majorHAnsi" w:cstheme="majorHAnsi"/>
                <w:sz w:val="16"/>
                <w:szCs w:val="16"/>
              </w:rPr>
              <w:t>[88</w:t>
            </w:r>
            <w:r w:rsidR="00D972A1">
              <w:rPr>
                <w:rFonts w:asciiTheme="majorHAnsi" w:hAnsiTheme="majorHAnsi" w:cstheme="majorHAnsi"/>
                <w:sz w:val="16"/>
                <w:szCs w:val="16"/>
              </w:rPr>
              <w:t>]</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Two qualitative research studies undertaken with more than 33 Secwepemc elders in the Interior of British Columbia, Canada: i) to determine Elders’ views on memory loss and memory care in later life; ii) to build nursing capacity to care for Elders in a culturally safe way through an educational intervention involving storytelling that was developed in collaboration with Elders. </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33 Secwepemc elders in the Interior of British Columbia</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Canada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Educational intervention involving storytelling that was developed in collaboration with Elders.</w:t>
            </w:r>
          </w:p>
        </w:tc>
      </w:tr>
      <w:tr w:rsidR="00F2150E" w:rsidRPr="001A779A" w:rsidTr="008D32BC">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Jansen &amp; von Sadovszky (2004) </w:t>
            </w:r>
            <w:r w:rsidR="00D972A1">
              <w:rPr>
                <w:rFonts w:asciiTheme="majorHAnsi" w:hAnsiTheme="majorHAnsi" w:cstheme="majorHAnsi"/>
                <w:sz w:val="16"/>
                <w:szCs w:val="16"/>
              </w:rPr>
              <w:t>[47]</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identify the restorative activities of community-dwelling elders</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30 community-dwelling elders (65-92 years; </w:t>
            </w:r>
            <w:r w:rsidRPr="00F64C98">
              <w:rPr>
                <w:rFonts w:asciiTheme="majorHAnsi" w:hAnsiTheme="majorHAnsi" w:cstheme="majorHAnsi"/>
                <w:sz w:val="16"/>
                <w:szCs w:val="16"/>
              </w:rPr>
              <w:t>M= 74.8</w:t>
            </w:r>
            <w:r w:rsidRPr="001A779A">
              <w:rPr>
                <w:rFonts w:asciiTheme="majorHAnsi" w:hAnsiTheme="majorHAnsi" w:cstheme="majorHAnsi"/>
                <w:sz w:val="16"/>
                <w:szCs w:val="16"/>
              </w:rPr>
              <w:t>) (28 women &amp; 2 men)</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USA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8D32BC">
        <w:trPr>
          <w:trHeight w:val="1148"/>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Lovering et al (2002)</w:t>
            </w:r>
            <w:r w:rsidR="00D972A1">
              <w:rPr>
                <w:rFonts w:asciiTheme="majorHAnsi" w:hAnsiTheme="majorHAnsi" w:cstheme="majorHAnsi"/>
                <w:sz w:val="16"/>
                <w:szCs w:val="16"/>
              </w:rPr>
              <w:t xml:space="preserve"> [51]</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gain a better understanding of how specifically designed outdoors spaces (developed to improve the quality of life of people with dementia) are used and the objectives of their design fulfilled</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100 people attending a day programme (39-96 years, most over 70 years) </w:t>
            </w:r>
            <w:r w:rsidRPr="00B45456">
              <w:rPr>
                <w:rFonts w:asciiTheme="majorHAnsi" w:hAnsiTheme="majorHAnsi" w:cstheme="majorHAnsi"/>
                <w:sz w:val="16"/>
                <w:szCs w:val="16"/>
              </w:rPr>
              <w:t>(not clear how many were observed during research)</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Canada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Garden was part of a day program for community dwelling seniors with Alzheimer’s Disease.  It operated 24 hours per day, 7 days per week.</w:t>
            </w:r>
          </w:p>
        </w:tc>
      </w:tr>
      <w:tr w:rsidR="00F2150E" w:rsidRPr="001A779A" w:rsidTr="008D32BC">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lastRenderedPageBreak/>
              <w:t>McCaffrey et al (2010)</w:t>
            </w:r>
            <w:r w:rsidR="00D972A1">
              <w:rPr>
                <w:rFonts w:asciiTheme="majorHAnsi" w:hAnsiTheme="majorHAnsi" w:cstheme="majorHAnsi"/>
                <w:sz w:val="16"/>
                <w:szCs w:val="16"/>
              </w:rPr>
              <w:t xml:space="preserve"> [43]</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To determine the effect of garden walking and reflective journaling on adults who </w:t>
            </w:r>
            <w:r>
              <w:rPr>
                <w:rFonts w:asciiTheme="majorHAnsi" w:hAnsiTheme="majorHAnsi" w:cstheme="majorHAnsi"/>
                <w:sz w:val="16"/>
                <w:szCs w:val="16"/>
              </w:rPr>
              <w:t xml:space="preserve">were 65 years </w:t>
            </w:r>
            <w:r w:rsidRPr="001A779A">
              <w:rPr>
                <w:rFonts w:asciiTheme="majorHAnsi" w:hAnsiTheme="majorHAnsi" w:cstheme="majorHAnsi"/>
                <w:sz w:val="16"/>
                <w:szCs w:val="16"/>
              </w:rPr>
              <w:t>and older with depression.</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40 adults  (</w:t>
            </w:r>
            <w:r>
              <w:rPr>
                <w:rFonts w:asciiTheme="majorHAnsi" w:hAnsiTheme="majorHAnsi" w:cstheme="majorHAnsi"/>
                <w:sz w:val="16"/>
                <w:szCs w:val="16"/>
              </w:rPr>
              <w:t>M =</w:t>
            </w:r>
            <w:r w:rsidRPr="001A779A">
              <w:rPr>
                <w:rFonts w:asciiTheme="majorHAnsi" w:hAnsiTheme="majorHAnsi" w:cstheme="majorHAnsi"/>
                <w:sz w:val="16"/>
                <w:szCs w:val="16"/>
              </w:rPr>
              <w:t>71.3 years)</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USA </w:t>
            </w:r>
          </w:p>
        </w:tc>
        <w:tc>
          <w:tcPr>
            <w:tcW w:w="2069" w:type="dxa"/>
          </w:tcPr>
          <w:p w:rsidR="00F2150E" w:rsidRPr="001A779A" w:rsidRDefault="00F2150E" w:rsidP="008D32BC">
            <w:pPr>
              <w:rPr>
                <w:rFonts w:asciiTheme="majorHAnsi" w:hAnsiTheme="majorHAnsi" w:cstheme="majorHAnsi"/>
                <w:sz w:val="16"/>
                <w:szCs w:val="16"/>
              </w:rPr>
            </w:pPr>
            <w:r w:rsidRPr="00B45456">
              <w:rPr>
                <w:rFonts w:asciiTheme="majorHAnsi" w:hAnsiTheme="majorHAnsi" w:cstheme="majorHAnsi"/>
                <w:sz w:val="16"/>
                <w:szCs w:val="16"/>
              </w:rPr>
              <w:t xml:space="preserve">Garden walking intervention </w:t>
            </w:r>
          </w:p>
        </w:tc>
      </w:tr>
      <w:tr w:rsidR="00F2150E" w:rsidRPr="001A779A" w:rsidTr="008D32BC">
        <w:trPr>
          <w:trHeight w:val="1952"/>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Mapes (2012)</w:t>
            </w:r>
            <w:r w:rsidR="00D972A1">
              <w:rPr>
                <w:rFonts w:asciiTheme="majorHAnsi" w:hAnsiTheme="majorHAnsi" w:cstheme="majorHAnsi"/>
                <w:sz w:val="16"/>
                <w:szCs w:val="16"/>
              </w:rPr>
              <w:t xml:space="preserve"> [45]</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share the key findings of the Wandering in the Woods action research project</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24 (living with dementia in care settings)</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England</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Pilot Project to enable three groups of care home residents living with dementia to get out of the care home and to re-connect with nature.  Designed and delivered collaboratively between the Woodland Trust, Dementia Adventure CIC and Caring Homes.</w:t>
            </w:r>
          </w:p>
        </w:tc>
      </w:tr>
      <w:tr w:rsidR="00F2150E" w:rsidRPr="001A779A" w:rsidTr="008D32BC">
        <w:trPr>
          <w:trHeight w:val="286"/>
        </w:trPr>
        <w:tc>
          <w:tcPr>
            <w:tcW w:w="3025" w:type="dxa"/>
          </w:tcPr>
          <w:p w:rsidR="00F2150E" w:rsidRPr="001A779A" w:rsidRDefault="00F2150E" w:rsidP="001E1D58">
            <w:pPr>
              <w:rPr>
                <w:rFonts w:asciiTheme="majorHAnsi" w:hAnsiTheme="majorHAnsi" w:cstheme="majorHAnsi"/>
                <w:sz w:val="16"/>
                <w:szCs w:val="16"/>
              </w:rPr>
            </w:pPr>
            <w:r w:rsidRPr="001A779A">
              <w:rPr>
                <w:rFonts w:asciiTheme="majorHAnsi" w:hAnsiTheme="majorHAnsi" w:cstheme="majorHAnsi"/>
                <w:sz w:val="16"/>
                <w:szCs w:val="16"/>
              </w:rPr>
              <w:t>Milligan et al (2004)</w:t>
            </w:r>
            <w:r w:rsidR="00D972A1">
              <w:rPr>
                <w:rFonts w:asciiTheme="majorHAnsi" w:hAnsiTheme="majorHAnsi" w:cstheme="majorHAnsi"/>
                <w:sz w:val="16"/>
                <w:szCs w:val="16"/>
              </w:rPr>
              <w:t xml:space="preserve"> </w:t>
            </w:r>
            <w:r w:rsidR="001E1D58">
              <w:rPr>
                <w:rFonts w:asciiTheme="majorHAnsi" w:hAnsiTheme="majorHAnsi" w:cstheme="majorHAnsi"/>
                <w:sz w:val="16"/>
                <w:szCs w:val="16"/>
              </w:rPr>
              <w:t>[24]</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investigate benefits of gardening activity for older people, and in particular, to examine the extent to which communal gardening activity on allotment sites may be beneficia</w:t>
            </w:r>
            <w:r>
              <w:rPr>
                <w:rFonts w:asciiTheme="majorHAnsi" w:hAnsiTheme="majorHAnsi" w:cstheme="majorHAnsi"/>
                <w:sz w:val="16"/>
                <w:szCs w:val="16"/>
              </w:rPr>
              <w:t>l to the health and mental well</w:t>
            </w:r>
            <w:r w:rsidRPr="001A779A">
              <w:rPr>
                <w:rFonts w:asciiTheme="majorHAnsi" w:hAnsiTheme="majorHAnsi" w:cstheme="majorHAnsi"/>
                <w:sz w:val="16"/>
                <w:szCs w:val="16"/>
              </w:rPr>
              <w:t>being of older people.</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19 participants who took an active part in communal g</w:t>
            </w:r>
            <w:r>
              <w:rPr>
                <w:rFonts w:asciiTheme="majorHAnsi" w:hAnsiTheme="majorHAnsi" w:cstheme="majorHAnsi"/>
                <w:sz w:val="16"/>
                <w:szCs w:val="16"/>
              </w:rPr>
              <w:t xml:space="preserve">ardening (65-79 years) (13 men, 6 </w:t>
            </w:r>
            <w:r w:rsidRPr="001A779A">
              <w:rPr>
                <w:rFonts w:asciiTheme="majorHAnsi" w:hAnsiTheme="majorHAnsi" w:cstheme="majorHAnsi"/>
                <w:sz w:val="16"/>
                <w:szCs w:val="16"/>
              </w:rPr>
              <w:t>women)</w:t>
            </w:r>
            <w:r>
              <w:rPr>
                <w:rFonts w:asciiTheme="majorHAnsi" w:hAnsiTheme="majorHAnsi" w:cstheme="majorHAnsi"/>
                <w:sz w:val="16"/>
                <w:szCs w:val="16"/>
              </w:rPr>
              <w:t xml:space="preserve"> (3 withdrew after 3 months)</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England</w:t>
            </w:r>
          </w:p>
        </w:tc>
        <w:tc>
          <w:tcPr>
            <w:tcW w:w="2069" w:type="dxa"/>
          </w:tcPr>
          <w:p w:rsidR="00F2150E" w:rsidRPr="001A779A" w:rsidRDefault="00F2150E" w:rsidP="008D32BC">
            <w:pPr>
              <w:rPr>
                <w:rFonts w:asciiTheme="majorHAnsi" w:hAnsiTheme="majorHAnsi" w:cstheme="majorHAnsi"/>
                <w:sz w:val="16"/>
                <w:szCs w:val="16"/>
              </w:rPr>
            </w:pPr>
            <w:r>
              <w:rPr>
                <w:rFonts w:asciiTheme="majorHAnsi" w:hAnsiTheme="majorHAnsi" w:cstheme="majorHAnsi"/>
                <w:sz w:val="16"/>
                <w:szCs w:val="16"/>
              </w:rPr>
              <w:t>Project – during a 9</w:t>
            </w:r>
            <w:r w:rsidRPr="001A779A">
              <w:rPr>
                <w:rFonts w:asciiTheme="majorHAnsi" w:hAnsiTheme="majorHAnsi" w:cstheme="majorHAnsi"/>
                <w:sz w:val="16"/>
                <w:szCs w:val="16"/>
              </w:rPr>
              <w:t xml:space="preserve"> month period the participants gardened on two allotment sites, provided free of charge by Carlisle City Council with the support o</w:t>
            </w:r>
            <w:r>
              <w:rPr>
                <w:rFonts w:asciiTheme="majorHAnsi" w:hAnsiTheme="majorHAnsi" w:cstheme="majorHAnsi"/>
                <w:sz w:val="16"/>
                <w:szCs w:val="16"/>
              </w:rPr>
              <w:t>f</w:t>
            </w:r>
            <w:r w:rsidRPr="001A779A">
              <w:rPr>
                <w:rFonts w:asciiTheme="majorHAnsi" w:hAnsiTheme="majorHAnsi" w:cstheme="majorHAnsi"/>
                <w:sz w:val="16"/>
                <w:szCs w:val="16"/>
              </w:rPr>
              <w:t xml:space="preserve"> a full-time qualified gardener employed by the project.</w:t>
            </w:r>
          </w:p>
        </w:tc>
      </w:tr>
      <w:tr w:rsidR="00F2150E" w:rsidRPr="001A779A" w:rsidTr="008D32BC">
        <w:trPr>
          <w:trHeight w:val="286"/>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Olsson et al (2013)</w:t>
            </w:r>
            <w:r w:rsidR="00D972A1">
              <w:rPr>
                <w:rFonts w:asciiTheme="majorHAnsi" w:hAnsiTheme="majorHAnsi" w:cstheme="majorHAnsi"/>
                <w:sz w:val="16"/>
                <w:szCs w:val="16"/>
              </w:rPr>
              <w:t xml:space="preserve"> [33]</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describe how persons with early stage dementia reflect on being outdoors</w:t>
            </w:r>
          </w:p>
        </w:tc>
        <w:tc>
          <w:tcPr>
            <w:tcW w:w="3918" w:type="dxa"/>
          </w:tcPr>
          <w:p w:rsidR="00F2150E" w:rsidRPr="001A779A" w:rsidRDefault="00F2150E" w:rsidP="008D32BC">
            <w:pPr>
              <w:rPr>
                <w:rFonts w:asciiTheme="majorHAnsi" w:hAnsiTheme="majorHAnsi" w:cstheme="majorHAnsi"/>
                <w:sz w:val="16"/>
                <w:szCs w:val="16"/>
              </w:rPr>
            </w:pPr>
            <w:r>
              <w:rPr>
                <w:rFonts w:asciiTheme="majorHAnsi" w:hAnsiTheme="majorHAnsi" w:cstheme="majorHAnsi"/>
                <w:sz w:val="16"/>
                <w:szCs w:val="16"/>
              </w:rPr>
              <w:t>11 participants (52-81 years; M =</w:t>
            </w:r>
            <w:r w:rsidRPr="001A779A">
              <w:rPr>
                <w:rFonts w:asciiTheme="majorHAnsi" w:hAnsiTheme="majorHAnsi" w:cstheme="majorHAnsi"/>
                <w:sz w:val="16"/>
                <w:szCs w:val="16"/>
              </w:rPr>
              <w:t xml:space="preserve"> 68 years) in early stage of dementia and l</w:t>
            </w:r>
            <w:r>
              <w:rPr>
                <w:rFonts w:asciiTheme="majorHAnsi" w:hAnsiTheme="majorHAnsi" w:cstheme="majorHAnsi"/>
                <w:sz w:val="16"/>
                <w:szCs w:val="16"/>
              </w:rPr>
              <w:t xml:space="preserve">iving in their own homes (5 women, 6 </w:t>
            </w:r>
            <w:r w:rsidRPr="001A779A">
              <w:rPr>
                <w:rFonts w:asciiTheme="majorHAnsi" w:hAnsiTheme="majorHAnsi" w:cstheme="majorHAnsi"/>
                <w:sz w:val="16"/>
                <w:szCs w:val="16"/>
              </w:rPr>
              <w:t>men)</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Sweden</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8D32BC">
        <w:trPr>
          <w:trHeight w:val="300"/>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Raske (2010) </w:t>
            </w:r>
            <w:r w:rsidR="00D972A1">
              <w:rPr>
                <w:rFonts w:asciiTheme="majorHAnsi" w:hAnsiTheme="majorHAnsi" w:cstheme="majorHAnsi"/>
                <w:sz w:val="16"/>
                <w:szCs w:val="16"/>
              </w:rPr>
              <w:t>[42]</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conduct an in-depth evaluation of the impact of the construction and use of an enabling garden on resident quality of life in a rural nursing home.</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16 residents (65-99 yea</w:t>
            </w:r>
            <w:r>
              <w:rPr>
                <w:rFonts w:asciiTheme="majorHAnsi" w:hAnsiTheme="majorHAnsi" w:cstheme="majorHAnsi"/>
                <w:sz w:val="16"/>
                <w:szCs w:val="16"/>
              </w:rPr>
              <w:t xml:space="preserve">rs; M = 81.4 years) (6 men, 10 </w:t>
            </w:r>
            <w:r w:rsidRPr="001A779A">
              <w:rPr>
                <w:rFonts w:asciiTheme="majorHAnsi" w:hAnsiTheme="majorHAnsi" w:cstheme="majorHAnsi"/>
                <w:sz w:val="16"/>
                <w:szCs w:val="16"/>
              </w:rPr>
              <w:t>women)</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US </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8D32BC">
        <w:trPr>
          <w:trHeight w:val="300"/>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Rubinstein (1990) </w:t>
            </w:r>
            <w:r w:rsidR="00D972A1">
              <w:rPr>
                <w:rFonts w:asciiTheme="majorHAnsi" w:hAnsiTheme="majorHAnsi" w:cstheme="majorHAnsi"/>
                <w:sz w:val="16"/>
                <w:szCs w:val="16"/>
              </w:rPr>
              <w:t>[40]</w:t>
            </w:r>
          </w:p>
          <w:p w:rsidR="00F2150E" w:rsidRPr="001A779A" w:rsidRDefault="00F2150E" w:rsidP="008D32BC">
            <w:pPr>
              <w:rPr>
                <w:rFonts w:asciiTheme="majorHAnsi" w:hAnsiTheme="majorHAnsi" w:cstheme="majorHAnsi"/>
                <w:sz w:val="16"/>
                <w:szCs w:val="16"/>
              </w:rPr>
            </w:pP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assess the sense of attachment that older persons may have for their homes/</w:t>
            </w:r>
          </w:p>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examine the relationship of personal identity to environmental meaning in later life</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n=7 interviewed but only 3 case studies detailed: </w:t>
            </w:r>
          </w:p>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2 men (age 81 and 90), 1 woman (age 75) –AGES CALCULATED FROM BIRTH DATES IN SOME CASES!</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Philadelphia, US</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8D32BC">
        <w:trPr>
          <w:trHeight w:val="300"/>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Scott et al (2014) </w:t>
            </w:r>
            <w:r w:rsidR="00D972A1">
              <w:rPr>
                <w:rFonts w:asciiTheme="majorHAnsi" w:hAnsiTheme="majorHAnsi" w:cstheme="majorHAnsi"/>
                <w:sz w:val="16"/>
                <w:szCs w:val="16"/>
              </w:rPr>
              <w:t>[46]</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explore the reasons for, and importance of, leisure gardening for older Australian adult gardeners residing in the community.  Aim was twofold: first, to explore the benefits of regular contact with nature through domestic gardens for Australian community-dwelling older adults; second, to examine the effects of ageing on older adults’ continued pursuit of gardening activities.</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331 participants (60-90 years, mean age 69 years) (? are women, ? are men)  </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Australia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8D32BC">
        <w:trPr>
          <w:trHeight w:val="300"/>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Sim et al (2012)</w:t>
            </w:r>
            <w:r w:rsidR="00D972A1">
              <w:rPr>
                <w:rFonts w:asciiTheme="majorHAnsi" w:hAnsiTheme="majorHAnsi" w:cstheme="majorHAnsi"/>
                <w:sz w:val="16"/>
                <w:szCs w:val="16"/>
              </w:rPr>
              <w:t xml:space="preserve"> [57]</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examine the experiences and effects of relocation as part of a redevelopment of a community housing older people.</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17 participants (residents from a retirement vi</w:t>
            </w:r>
            <w:r>
              <w:rPr>
                <w:rFonts w:asciiTheme="majorHAnsi" w:hAnsiTheme="majorHAnsi" w:cstheme="majorHAnsi"/>
                <w:sz w:val="16"/>
                <w:szCs w:val="16"/>
              </w:rPr>
              <w:t xml:space="preserve">llage) (7 men, 10  women) (M = </w:t>
            </w:r>
            <w:r w:rsidRPr="001A779A">
              <w:rPr>
                <w:rFonts w:asciiTheme="majorHAnsi" w:hAnsiTheme="majorHAnsi" w:cstheme="majorHAnsi"/>
                <w:sz w:val="16"/>
                <w:szCs w:val="16"/>
              </w:rPr>
              <w:t>80.8 years)</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UK</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7C5DE1">
        <w:trPr>
          <w:cantSplit/>
          <w:trHeight w:val="300"/>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lastRenderedPageBreak/>
              <w:t>Walker &amp; Hiller (2007)</w:t>
            </w:r>
            <w:r w:rsidR="00D972A1">
              <w:rPr>
                <w:rFonts w:asciiTheme="majorHAnsi" w:hAnsiTheme="majorHAnsi" w:cstheme="majorHAnsi"/>
                <w:sz w:val="16"/>
                <w:szCs w:val="16"/>
              </w:rPr>
              <w:t xml:space="preserve"> [52]</w:t>
            </w:r>
          </w:p>
          <w:p w:rsidR="00F2150E" w:rsidRPr="001A779A" w:rsidRDefault="00F2150E" w:rsidP="008D32BC">
            <w:pPr>
              <w:rPr>
                <w:rFonts w:asciiTheme="majorHAnsi" w:hAnsiTheme="majorHAnsi" w:cstheme="majorHAnsi"/>
                <w:sz w:val="16"/>
                <w:szCs w:val="16"/>
              </w:rPr>
            </w:pPr>
          </w:p>
          <w:p w:rsidR="00F2150E" w:rsidRPr="001A779A" w:rsidRDefault="00F2150E" w:rsidP="008D32BC">
            <w:pPr>
              <w:rPr>
                <w:rFonts w:asciiTheme="majorHAnsi" w:hAnsiTheme="majorHAnsi" w:cstheme="majorHAnsi"/>
                <w:sz w:val="16"/>
                <w:szCs w:val="16"/>
              </w:rPr>
            </w:pP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explore the social and physical dimensions of neighbourhoods  from the perspective of older Australian women and to investigate the variation in these accounts according to whether women lived in areas of higher or lower socioeconomic status</w:t>
            </w:r>
          </w:p>
        </w:tc>
        <w:tc>
          <w:tcPr>
            <w:tcW w:w="3918"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20 women (75-93 years</w:t>
            </w:r>
            <w:r>
              <w:rPr>
                <w:rFonts w:asciiTheme="majorHAnsi" w:hAnsiTheme="majorHAnsi" w:cstheme="majorHAnsi"/>
                <w:sz w:val="16"/>
                <w:szCs w:val="16"/>
              </w:rPr>
              <w:t xml:space="preserve">; M = </w:t>
            </w:r>
            <w:r w:rsidRPr="001A779A">
              <w:rPr>
                <w:rFonts w:asciiTheme="majorHAnsi" w:hAnsiTheme="majorHAnsi" w:cstheme="majorHAnsi"/>
                <w:sz w:val="16"/>
                <w:szCs w:val="16"/>
              </w:rPr>
              <w:t>82 years)</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Australia</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None</w:t>
            </w:r>
          </w:p>
        </w:tc>
      </w:tr>
      <w:tr w:rsidR="00F2150E" w:rsidRPr="001A779A" w:rsidTr="008D32BC">
        <w:trPr>
          <w:trHeight w:val="300"/>
        </w:trPr>
        <w:tc>
          <w:tcPr>
            <w:tcW w:w="3025"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Wang &amp; Glicksman (2013)</w:t>
            </w:r>
            <w:r w:rsidR="00D972A1">
              <w:rPr>
                <w:rFonts w:asciiTheme="majorHAnsi" w:hAnsiTheme="majorHAnsi" w:cstheme="majorHAnsi"/>
                <w:sz w:val="16"/>
                <w:szCs w:val="16"/>
              </w:rPr>
              <w:t xml:space="preserve"> [48]</w:t>
            </w:r>
          </w:p>
        </w:tc>
        <w:tc>
          <w:tcPr>
            <w:tcW w:w="375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To determine the perceived benefits of older adults’ participation in a community gardening programme within low-income senior housing.  Specifically, these programmes were community garden of fruits and vegetables tended by older adults living in a senior housing building.</w:t>
            </w:r>
          </w:p>
        </w:tc>
        <w:tc>
          <w:tcPr>
            <w:tcW w:w="3918" w:type="dxa"/>
          </w:tcPr>
          <w:p w:rsidR="00F2150E" w:rsidRPr="001A779A" w:rsidRDefault="00F2150E" w:rsidP="008D32BC">
            <w:pPr>
              <w:rPr>
                <w:rFonts w:asciiTheme="majorHAnsi" w:hAnsiTheme="majorHAnsi" w:cstheme="majorHAnsi"/>
                <w:sz w:val="16"/>
                <w:szCs w:val="16"/>
              </w:rPr>
            </w:pPr>
            <w:r>
              <w:rPr>
                <w:rFonts w:asciiTheme="majorHAnsi" w:hAnsiTheme="majorHAnsi" w:cstheme="majorHAnsi"/>
                <w:sz w:val="16"/>
                <w:szCs w:val="16"/>
              </w:rPr>
              <w:t xml:space="preserve">20 participants  (M =71.5 years) (14 </w:t>
            </w:r>
            <w:r w:rsidRPr="001A779A">
              <w:rPr>
                <w:rFonts w:asciiTheme="majorHAnsi" w:hAnsiTheme="majorHAnsi" w:cstheme="majorHAnsi"/>
                <w:sz w:val="16"/>
                <w:szCs w:val="16"/>
              </w:rPr>
              <w:t>women, 6 men)</w:t>
            </w:r>
          </w:p>
        </w:tc>
        <w:tc>
          <w:tcPr>
            <w:tcW w:w="1476"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USA </w:t>
            </w:r>
          </w:p>
        </w:tc>
        <w:tc>
          <w:tcPr>
            <w:tcW w:w="2069" w:type="dxa"/>
          </w:tcPr>
          <w:p w:rsidR="00F2150E" w:rsidRPr="001A779A" w:rsidRDefault="00F2150E" w:rsidP="008D32BC">
            <w:pPr>
              <w:rPr>
                <w:rFonts w:asciiTheme="majorHAnsi" w:hAnsiTheme="majorHAnsi" w:cstheme="majorHAnsi"/>
                <w:sz w:val="16"/>
                <w:szCs w:val="16"/>
              </w:rPr>
            </w:pPr>
            <w:r w:rsidRPr="001A779A">
              <w:rPr>
                <w:rFonts w:asciiTheme="majorHAnsi" w:hAnsiTheme="majorHAnsi" w:cstheme="majorHAnsi"/>
                <w:sz w:val="16"/>
                <w:szCs w:val="16"/>
              </w:rPr>
              <w:t xml:space="preserve">Project is part of a larger effort, Age-friendly Philadelphia (AfP).  GenPhilly, an organisation sponsored by Philadelphia Corporation for Aging, sponsored ‘Germinating Partnerships: Connecting Seniors with Community Gardens’.  Three low income housing sites participated in this project. </w:t>
            </w:r>
          </w:p>
        </w:tc>
      </w:tr>
    </w:tbl>
    <w:p w:rsidR="00F2150E" w:rsidRDefault="00F2150E" w:rsidP="00F2150E">
      <w:pPr>
        <w:spacing w:line="240" w:lineRule="auto"/>
        <w:rPr>
          <w:b/>
          <w:bCs/>
          <w:sz w:val="24"/>
        </w:rPr>
      </w:pPr>
    </w:p>
    <w:p w:rsidR="00F2150E" w:rsidRDefault="00F2150E" w:rsidP="00F2150E">
      <w:pPr>
        <w:rPr>
          <w:b/>
          <w:bCs/>
          <w:sz w:val="24"/>
        </w:rPr>
      </w:pPr>
      <w:r>
        <w:rPr>
          <w:b/>
          <w:bCs/>
          <w:sz w:val="24"/>
        </w:rPr>
        <w:br w:type="page"/>
      </w:r>
    </w:p>
    <w:p w:rsidR="00F2150E" w:rsidRPr="003245C0" w:rsidRDefault="00F2150E" w:rsidP="00F2150E">
      <w:pPr>
        <w:spacing w:line="240" w:lineRule="auto"/>
        <w:rPr>
          <w:b/>
          <w:bCs/>
          <w:sz w:val="20"/>
          <w:szCs w:val="20"/>
        </w:rPr>
      </w:pPr>
      <w:r w:rsidRPr="003245C0">
        <w:rPr>
          <w:b/>
          <w:bCs/>
          <w:sz w:val="20"/>
          <w:szCs w:val="20"/>
        </w:rPr>
        <w:lastRenderedPageBreak/>
        <w:t xml:space="preserve">Table </w:t>
      </w:r>
      <w:r w:rsidR="00E56E92">
        <w:rPr>
          <w:b/>
          <w:bCs/>
          <w:sz w:val="20"/>
          <w:szCs w:val="20"/>
        </w:rPr>
        <w:t>S</w:t>
      </w:r>
      <w:r w:rsidRPr="003245C0">
        <w:rPr>
          <w:b/>
          <w:bCs/>
          <w:sz w:val="20"/>
          <w:szCs w:val="20"/>
        </w:rPr>
        <w:t xml:space="preserve">2: </w:t>
      </w:r>
      <w:r w:rsidRPr="00200B34">
        <w:rPr>
          <w:b/>
          <w:bCs/>
          <w:sz w:val="20"/>
          <w:szCs w:val="20"/>
        </w:rPr>
        <w:t>Methodological details of included studies</w:t>
      </w:r>
    </w:p>
    <w:tbl>
      <w:tblPr>
        <w:tblStyle w:val="TableGrid"/>
        <w:tblW w:w="14224" w:type="dxa"/>
        <w:tblLook w:val="04A0"/>
      </w:tblPr>
      <w:tblGrid>
        <w:gridCol w:w="2844"/>
        <w:gridCol w:w="2844"/>
        <w:gridCol w:w="2844"/>
        <w:gridCol w:w="2846"/>
        <w:gridCol w:w="2846"/>
      </w:tblGrid>
      <w:tr w:rsidR="00F2150E" w:rsidRPr="00945683" w:rsidTr="009D5EC5">
        <w:trPr>
          <w:trHeight w:val="692"/>
          <w:tblHeader/>
        </w:trPr>
        <w:tc>
          <w:tcPr>
            <w:tcW w:w="2844" w:type="dxa"/>
          </w:tcPr>
          <w:p w:rsidR="00F2150E" w:rsidRPr="00945683" w:rsidRDefault="00F2150E" w:rsidP="008D32BC">
            <w:pPr>
              <w:rPr>
                <w:rFonts w:asciiTheme="majorBidi" w:hAnsiTheme="majorBidi" w:cstheme="majorBidi"/>
                <w:b/>
                <w:bCs/>
                <w:sz w:val="16"/>
                <w:szCs w:val="16"/>
              </w:rPr>
            </w:pPr>
            <w:r w:rsidRPr="00945683">
              <w:rPr>
                <w:rFonts w:asciiTheme="majorBidi" w:hAnsiTheme="majorBidi" w:cstheme="majorBidi"/>
                <w:b/>
                <w:bCs/>
                <w:sz w:val="16"/>
                <w:szCs w:val="16"/>
              </w:rPr>
              <w:t>Author(s) and location</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b/>
                <w:bCs/>
                <w:sz w:val="16"/>
                <w:szCs w:val="16"/>
              </w:rPr>
              <w:t>Approach to Analysis</w:t>
            </w:r>
            <w:r w:rsidRPr="00945683">
              <w:rPr>
                <w:rFonts w:asciiTheme="majorBidi" w:hAnsiTheme="majorBidi" w:cstheme="majorBidi"/>
                <w:sz w:val="16"/>
                <w:szCs w:val="16"/>
              </w:rPr>
              <w:t xml:space="preserve"> (what type of analysis)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b/>
                <w:bCs/>
                <w:sz w:val="16"/>
                <w:szCs w:val="16"/>
              </w:rPr>
              <w:t>Sample</w:t>
            </w:r>
            <w:r w:rsidRPr="00945683">
              <w:rPr>
                <w:rFonts w:asciiTheme="majorBidi" w:hAnsiTheme="majorBidi" w:cstheme="majorBidi"/>
                <w:sz w:val="16"/>
                <w:szCs w:val="16"/>
              </w:rPr>
              <w:t xml:space="preserve"> </w:t>
            </w:r>
          </w:p>
          <w:p w:rsidR="00F2150E" w:rsidRPr="00945683" w:rsidRDefault="0011263A" w:rsidP="008D32BC">
            <w:pPr>
              <w:rPr>
                <w:rFonts w:asciiTheme="majorBidi" w:hAnsiTheme="majorBidi" w:cstheme="majorBidi"/>
                <w:sz w:val="16"/>
                <w:szCs w:val="16"/>
              </w:rPr>
            </w:pPr>
            <w:r>
              <w:rPr>
                <w:rFonts w:asciiTheme="majorBidi" w:hAnsiTheme="majorBidi" w:cstheme="majorBidi"/>
                <w:sz w:val="16"/>
                <w:szCs w:val="16"/>
              </w:rPr>
              <w:t xml:space="preserve">(how the </w:t>
            </w:r>
            <w:r w:rsidR="00F2150E" w:rsidRPr="00945683">
              <w:rPr>
                <w:rFonts w:asciiTheme="majorBidi" w:hAnsiTheme="majorBidi" w:cstheme="majorBidi"/>
                <w:sz w:val="16"/>
                <w:szCs w:val="16"/>
              </w:rPr>
              <w:t xml:space="preserve">data </w:t>
            </w:r>
            <w:r>
              <w:rPr>
                <w:rFonts w:asciiTheme="majorBidi" w:hAnsiTheme="majorBidi" w:cstheme="majorBidi"/>
                <w:sz w:val="16"/>
                <w:szCs w:val="16"/>
              </w:rPr>
              <w:t xml:space="preserve">were </w:t>
            </w:r>
            <w:r w:rsidR="00F2150E" w:rsidRPr="00945683">
              <w:rPr>
                <w:rFonts w:asciiTheme="majorBidi" w:hAnsiTheme="majorBidi" w:cstheme="majorBidi"/>
                <w:sz w:val="16"/>
                <w:szCs w:val="16"/>
              </w:rPr>
              <w:t>collected)</w:t>
            </w:r>
          </w:p>
        </w:tc>
        <w:tc>
          <w:tcPr>
            <w:tcW w:w="2846" w:type="dxa"/>
          </w:tcPr>
          <w:p w:rsidR="00F2150E" w:rsidRPr="00945683" w:rsidRDefault="00F2150E" w:rsidP="008D32BC">
            <w:pPr>
              <w:rPr>
                <w:rFonts w:asciiTheme="majorBidi" w:hAnsiTheme="majorBidi" w:cstheme="majorBidi"/>
                <w:b/>
                <w:bCs/>
                <w:sz w:val="16"/>
                <w:szCs w:val="16"/>
              </w:rPr>
            </w:pPr>
            <w:r w:rsidRPr="00945683">
              <w:rPr>
                <w:rFonts w:asciiTheme="majorBidi" w:hAnsiTheme="majorBidi" w:cstheme="majorBidi"/>
                <w:b/>
                <w:bCs/>
                <w:sz w:val="16"/>
                <w:szCs w:val="16"/>
              </w:rPr>
              <w:t xml:space="preserve">Type of sample </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b/>
                <w:bCs/>
                <w:sz w:val="16"/>
                <w:szCs w:val="16"/>
              </w:rPr>
              <w:t>Theory used</w:t>
            </w:r>
            <w:r w:rsidRPr="00945683">
              <w:rPr>
                <w:rFonts w:asciiTheme="majorBidi" w:hAnsiTheme="majorBidi" w:cstheme="majorBidi"/>
                <w:sz w:val="16"/>
                <w:szCs w:val="16"/>
              </w:rPr>
              <w:t xml:space="preserve"> </w:t>
            </w:r>
          </w:p>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(drawing on theoretical literature)</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Pr>
                <w:rFonts w:asciiTheme="majorBidi" w:hAnsiTheme="majorBidi" w:cstheme="majorBidi"/>
                <w:sz w:val="16"/>
                <w:szCs w:val="16"/>
              </w:rPr>
              <w:t>Alves et</w:t>
            </w:r>
            <w:r w:rsidRPr="00945683">
              <w:rPr>
                <w:rFonts w:asciiTheme="majorBidi" w:hAnsiTheme="majorBidi" w:cstheme="majorBidi"/>
                <w:sz w:val="16"/>
                <w:szCs w:val="16"/>
              </w:rPr>
              <w:t xml:space="preserve"> al (2006)</w:t>
            </w:r>
            <w:r w:rsidR="00CA179B">
              <w:rPr>
                <w:rFonts w:asciiTheme="majorBidi" w:hAnsiTheme="majorBidi" w:cstheme="majorBidi"/>
                <w:sz w:val="16"/>
                <w:szCs w:val="16"/>
              </w:rPr>
              <w:t xml:space="preserve"> [41]</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Coded data independently by two researchers and consensus reached</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Semi-structured interviews </w:t>
            </w:r>
            <w:r>
              <w:rPr>
                <w:rFonts w:asciiTheme="majorBidi" w:hAnsiTheme="majorBidi" w:cstheme="majorBidi"/>
                <w:sz w:val="16"/>
                <w:szCs w:val="16"/>
              </w:rPr>
              <w:t xml:space="preserve">and </w:t>
            </w:r>
            <w:r w:rsidRPr="00607C2D">
              <w:rPr>
                <w:rFonts w:asciiTheme="majorBidi" w:hAnsiTheme="majorBidi" w:cstheme="majorBidi"/>
                <w:sz w:val="16"/>
                <w:szCs w:val="16"/>
              </w:rPr>
              <w:t>photo-elicitation</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Pr>
                <w:rFonts w:asciiTheme="majorBidi" w:hAnsiTheme="majorBidi" w:cstheme="majorBidi"/>
                <w:sz w:val="16"/>
                <w:szCs w:val="16"/>
              </w:rPr>
              <w:t xml:space="preserve">Quality of life (Lawton, </w:t>
            </w:r>
            <w:r w:rsidRPr="00607C2D">
              <w:rPr>
                <w:rFonts w:asciiTheme="majorBidi" w:hAnsiTheme="majorBidi" w:cstheme="majorBidi"/>
                <w:sz w:val="16"/>
                <w:szCs w:val="16"/>
              </w:rPr>
              <w:t>1991) &amp; Day and Cohen (2000) for conceptual framework</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Bengtsson &amp; Carlsson (2013)</w:t>
            </w:r>
            <w:r w:rsidR="00CA179B">
              <w:rPr>
                <w:rFonts w:asciiTheme="majorBidi" w:hAnsiTheme="majorBidi" w:cstheme="majorBidi"/>
                <w:sz w:val="16"/>
                <w:szCs w:val="16"/>
              </w:rPr>
              <w:t xml:space="preserve"> </w:t>
            </w:r>
            <w:r w:rsidR="00CA179B">
              <w:rPr>
                <w:rFonts w:asciiTheme="majorHAnsi" w:hAnsiTheme="majorHAnsi" w:cstheme="majorHAnsi"/>
                <w:sz w:val="16"/>
                <w:szCs w:val="16"/>
              </w:rPr>
              <w:t>[39]</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Meaning condensation (Kvale &amp; Brinkmann, 2009)</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Semi-structured life-world interview</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Phenomenological approach – Ulrich</w:t>
            </w:r>
            <w:r>
              <w:rPr>
                <w:rFonts w:asciiTheme="majorBidi" w:hAnsiTheme="majorBidi" w:cstheme="majorBidi"/>
                <w:sz w:val="16"/>
                <w:szCs w:val="16"/>
              </w:rPr>
              <w:t xml:space="preserve">’s (1999) </w:t>
            </w:r>
            <w:r w:rsidRPr="00945683">
              <w:rPr>
                <w:rFonts w:asciiTheme="majorBidi" w:hAnsiTheme="majorBidi" w:cstheme="majorBidi"/>
                <w:sz w:val="16"/>
                <w:szCs w:val="16"/>
              </w:rPr>
              <w:t>supportive garden theory and gerotranscendence</w:t>
            </w:r>
            <w:r>
              <w:rPr>
                <w:rFonts w:asciiTheme="majorBidi" w:hAnsiTheme="majorBidi" w:cstheme="majorBidi"/>
                <w:sz w:val="16"/>
                <w:szCs w:val="16"/>
              </w:rPr>
              <w:t xml:space="preserve"> (Tornstam, 1997, 2005)</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Bhatti (2006)</w:t>
            </w:r>
            <w:r w:rsidR="00CA179B">
              <w:rPr>
                <w:rFonts w:asciiTheme="majorBidi" w:hAnsiTheme="majorBidi" w:cstheme="majorBidi"/>
                <w:sz w:val="16"/>
                <w:szCs w:val="16"/>
              </w:rPr>
              <w:t xml:space="preserve"> </w:t>
            </w:r>
            <w:r w:rsidR="00CA179B">
              <w:rPr>
                <w:rFonts w:asciiTheme="majorHAnsi" w:hAnsiTheme="majorHAnsi" w:cstheme="majorHAnsi"/>
                <w:sz w:val="16"/>
                <w:szCs w:val="16"/>
              </w:rPr>
              <w:t>[44]</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None stated </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Written responses to MOS Directives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Concept of home and home-making</w:t>
            </w:r>
          </w:p>
        </w:tc>
      </w:tr>
      <w:tr w:rsidR="00F2150E" w:rsidRPr="00945683" w:rsidTr="009D5EC5">
        <w:trPr>
          <w:trHeight w:val="292"/>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Boyes (2013)</w:t>
            </w:r>
            <w:r w:rsidR="00CA179B">
              <w:rPr>
                <w:rFonts w:asciiTheme="majorBidi" w:hAnsiTheme="majorBidi" w:cstheme="majorBidi"/>
                <w:sz w:val="16"/>
                <w:szCs w:val="16"/>
              </w:rPr>
              <w:t xml:space="preserve"> </w:t>
            </w:r>
            <w:r w:rsidR="00CA179B">
              <w:rPr>
                <w:rFonts w:asciiTheme="majorHAnsi" w:hAnsiTheme="majorHAnsi" w:cstheme="majorHAnsi"/>
                <w:sz w:val="16"/>
                <w:szCs w:val="16"/>
              </w:rPr>
              <w:t>[53]</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Detailed information emerged inductively</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Semi-structured</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Successful ageing</w:t>
            </w:r>
          </w:p>
        </w:tc>
      </w:tr>
      <w:tr w:rsidR="00F2150E" w:rsidRPr="00945683" w:rsidTr="009D5EC5">
        <w:trPr>
          <w:trHeight w:val="292"/>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Burton &amp; Sheehan (2010)</w:t>
            </w:r>
            <w:r w:rsidR="00CA179B">
              <w:rPr>
                <w:rFonts w:asciiTheme="majorBidi" w:hAnsiTheme="majorBidi" w:cstheme="majorBidi"/>
                <w:sz w:val="16"/>
                <w:szCs w:val="16"/>
              </w:rPr>
              <w:t xml:space="preserve"> </w:t>
            </w:r>
            <w:r w:rsidR="00CA179B">
              <w:rPr>
                <w:rFonts w:asciiTheme="majorHAnsi" w:hAnsiTheme="majorHAnsi" w:cstheme="majorHAnsi"/>
                <w:sz w:val="16"/>
                <w:szCs w:val="16"/>
              </w:rPr>
              <w:t>[34]</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Interview data were analysed using both quantitative and qualitative methods. Frequencies and coding used.</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Semi-structured interview </w:t>
            </w:r>
            <w:r>
              <w:rPr>
                <w:rFonts w:asciiTheme="majorBidi" w:hAnsiTheme="majorBidi" w:cstheme="majorBidi"/>
                <w:sz w:val="16"/>
                <w:szCs w:val="16"/>
              </w:rPr>
              <w:t>and photo-</w:t>
            </w:r>
            <w:r w:rsidRPr="004C7966">
              <w:rPr>
                <w:rFonts w:asciiTheme="majorBidi" w:hAnsiTheme="majorBidi" w:cstheme="majorBidi"/>
                <w:sz w:val="16"/>
                <w:szCs w:val="16"/>
              </w:rPr>
              <w:t>elicitation</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Unspecified</w:t>
            </w:r>
          </w:p>
        </w:tc>
      </w:tr>
      <w:tr w:rsidR="00F2150E" w:rsidRPr="00945683" w:rsidTr="009D5EC5">
        <w:trPr>
          <w:trHeight w:val="292"/>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Butler &amp; Cohen (2010)</w:t>
            </w:r>
            <w:r w:rsidR="006604D5">
              <w:rPr>
                <w:rFonts w:asciiTheme="majorBidi" w:hAnsiTheme="majorBidi" w:cstheme="majorBidi"/>
                <w:sz w:val="16"/>
                <w:szCs w:val="16"/>
              </w:rPr>
              <w:t xml:space="preserve"> </w:t>
            </w:r>
            <w:r w:rsidR="001E4C28">
              <w:rPr>
                <w:rFonts w:asciiTheme="majorHAnsi" w:hAnsiTheme="majorHAnsi" w:cstheme="majorHAnsi"/>
                <w:sz w:val="16"/>
                <w:szCs w:val="16"/>
              </w:rPr>
              <w:t>[38]</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Thematic analysis using a grounded theory approach (study 1); </w:t>
            </w:r>
            <w:r>
              <w:rPr>
                <w:rFonts w:asciiTheme="majorBidi" w:hAnsiTheme="majorBidi" w:cstheme="majorBidi"/>
                <w:sz w:val="16"/>
                <w:szCs w:val="16"/>
              </w:rPr>
              <w:t xml:space="preserve">analysed for recurring themes  </w:t>
            </w:r>
            <w:r w:rsidRPr="00945683">
              <w:rPr>
                <w:rFonts w:asciiTheme="majorBidi" w:hAnsiTheme="majorBidi" w:cstheme="majorBidi"/>
                <w:sz w:val="16"/>
                <w:szCs w:val="16"/>
              </w:rPr>
              <w:t>(study 2)</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Study 1 – face-to-face interviews</w:t>
            </w:r>
          </w:p>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Study 2 – qualitative interviews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 – drawn from Senior Companion Program (Study 1)</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Day (2008)</w:t>
            </w:r>
            <w:r w:rsidR="001E4C28">
              <w:rPr>
                <w:rFonts w:asciiTheme="majorBidi" w:hAnsiTheme="majorBidi" w:cstheme="majorBidi"/>
                <w:sz w:val="16"/>
                <w:szCs w:val="16"/>
              </w:rPr>
              <w:t xml:space="preserve"> [35]</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Thematic analysis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One-to-o</w:t>
            </w:r>
            <w:r>
              <w:rPr>
                <w:rFonts w:asciiTheme="majorBidi" w:hAnsiTheme="majorBidi" w:cstheme="majorBidi"/>
                <w:sz w:val="16"/>
                <w:szCs w:val="16"/>
              </w:rPr>
              <w:t>ne semi-structured interviews, two</w:t>
            </w:r>
            <w:r w:rsidRPr="00945683">
              <w:rPr>
                <w:rFonts w:asciiTheme="majorBidi" w:hAnsiTheme="majorBidi" w:cstheme="majorBidi"/>
                <w:sz w:val="16"/>
                <w:szCs w:val="16"/>
              </w:rPr>
              <w:t xml:space="preserve"> conjoint interviews, group interviews and field observation</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Purposive (includes snowball) </w:t>
            </w:r>
          </w:p>
        </w:tc>
        <w:tc>
          <w:tcPr>
            <w:tcW w:w="2846" w:type="dxa"/>
          </w:tcPr>
          <w:p w:rsidR="00F2150E" w:rsidRPr="00945683" w:rsidRDefault="00F2150E" w:rsidP="008D32BC">
            <w:pPr>
              <w:rPr>
                <w:rFonts w:asciiTheme="majorBidi" w:hAnsiTheme="majorBidi" w:cstheme="majorBidi"/>
                <w:sz w:val="16"/>
                <w:szCs w:val="16"/>
              </w:rPr>
            </w:pPr>
            <w:r w:rsidRPr="00B45456">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Duggan et al (2008)</w:t>
            </w:r>
            <w:r w:rsidR="00061CBA">
              <w:rPr>
                <w:rFonts w:asciiTheme="majorBidi" w:hAnsiTheme="majorBidi" w:cstheme="majorBidi"/>
                <w:sz w:val="16"/>
                <w:szCs w:val="16"/>
              </w:rPr>
              <w:t xml:space="preserve"> </w:t>
            </w:r>
            <w:r w:rsidR="00061CBA">
              <w:rPr>
                <w:rFonts w:asciiTheme="majorHAnsi" w:hAnsiTheme="majorHAnsi" w:cstheme="majorHAnsi"/>
                <w:sz w:val="16"/>
                <w:szCs w:val="16"/>
              </w:rPr>
              <w:t>[49]</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Grounded theory approach used to explore emergent themes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Semi-structured interviews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Criterion </w:t>
            </w:r>
          </w:p>
        </w:tc>
        <w:tc>
          <w:tcPr>
            <w:tcW w:w="2846" w:type="dxa"/>
          </w:tcPr>
          <w:p w:rsidR="00F2150E" w:rsidRPr="00945683" w:rsidRDefault="00F2150E" w:rsidP="008D32BC">
            <w:pPr>
              <w:rPr>
                <w:rFonts w:asciiTheme="majorBidi" w:hAnsiTheme="majorBidi" w:cstheme="majorBidi"/>
                <w:sz w:val="16"/>
                <w:szCs w:val="16"/>
              </w:rPr>
            </w:pPr>
            <w:r>
              <w:rPr>
                <w:rFonts w:asciiTheme="majorBidi" w:hAnsiTheme="majorBidi" w:cstheme="majorBidi"/>
                <w:sz w:val="16"/>
                <w:szCs w:val="16"/>
              </w:rPr>
              <w:t xml:space="preserve">Social </w:t>
            </w:r>
            <w:r w:rsidRPr="00EE4F29">
              <w:rPr>
                <w:rFonts w:asciiTheme="majorBidi" w:hAnsiTheme="majorBidi" w:cstheme="majorBidi"/>
                <w:sz w:val="16"/>
                <w:szCs w:val="16"/>
              </w:rPr>
              <w:t xml:space="preserve">inclusion (Cantley and Bowes, 2004; Wilkinson, 2002)  </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Durvasula et al (2010)</w:t>
            </w:r>
            <w:r w:rsidR="00061CBA">
              <w:rPr>
                <w:rFonts w:asciiTheme="majorBidi" w:hAnsiTheme="majorBidi" w:cstheme="majorBidi"/>
                <w:sz w:val="16"/>
                <w:szCs w:val="16"/>
              </w:rPr>
              <w:t xml:space="preserve"> </w:t>
            </w:r>
            <w:r w:rsidR="00061CBA">
              <w:rPr>
                <w:rFonts w:asciiTheme="majorHAnsi" w:hAnsiTheme="majorHAnsi" w:cstheme="majorHAnsi"/>
                <w:sz w:val="16"/>
                <w:szCs w:val="16"/>
              </w:rPr>
              <w:t>[50]</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Major themes derived from interview transcripts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Semi-structured interviews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Criterion</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Edwards et al (2012)</w:t>
            </w:r>
            <w:r w:rsidR="00061CBA">
              <w:rPr>
                <w:rFonts w:asciiTheme="majorBidi" w:hAnsiTheme="majorBidi" w:cstheme="majorBidi"/>
                <w:sz w:val="16"/>
                <w:szCs w:val="16"/>
              </w:rPr>
              <w:t xml:space="preserve"> </w:t>
            </w:r>
            <w:r w:rsidR="001E1D58">
              <w:rPr>
                <w:rFonts w:asciiTheme="majorHAnsi" w:hAnsiTheme="majorHAnsi" w:cstheme="majorHAnsi"/>
                <w:sz w:val="16"/>
                <w:szCs w:val="16"/>
              </w:rPr>
              <w:t>[87</w:t>
            </w:r>
            <w:r w:rsidR="00061CBA">
              <w:rPr>
                <w:rFonts w:asciiTheme="majorHAnsi" w:hAnsiTheme="majorHAnsi" w:cstheme="majorHAnsi"/>
                <w:sz w:val="16"/>
                <w:szCs w:val="16"/>
              </w:rPr>
              <w:t>]</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Not stated </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Qualitative interviews using open-ended questions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Purposive </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Gibson et al (2007)</w:t>
            </w:r>
            <w:r w:rsidR="00061CBA">
              <w:rPr>
                <w:rFonts w:asciiTheme="majorBidi" w:hAnsiTheme="majorBidi" w:cstheme="majorBidi"/>
                <w:sz w:val="16"/>
                <w:szCs w:val="16"/>
              </w:rPr>
              <w:t xml:space="preserve"> </w:t>
            </w:r>
            <w:r w:rsidR="00061CBA">
              <w:rPr>
                <w:rFonts w:asciiTheme="majorHAnsi" w:hAnsiTheme="majorHAnsi" w:cstheme="majorHAnsi"/>
                <w:sz w:val="16"/>
                <w:szCs w:val="16"/>
              </w:rPr>
              <w:t>[36]</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Thematic analysis technique drawing upon principles of grounded theory. </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Semi-structured interviews; observation</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Hassink et al (2010)</w:t>
            </w:r>
            <w:r w:rsidR="00061CBA">
              <w:rPr>
                <w:rFonts w:asciiTheme="majorBidi" w:hAnsiTheme="majorBidi" w:cstheme="majorBidi"/>
                <w:sz w:val="16"/>
                <w:szCs w:val="16"/>
              </w:rPr>
              <w:t xml:space="preserve"> </w:t>
            </w:r>
            <w:r w:rsidR="00061CBA">
              <w:rPr>
                <w:rFonts w:asciiTheme="majorHAnsi" w:hAnsiTheme="majorHAnsi" w:cstheme="majorHAnsi"/>
                <w:sz w:val="16"/>
                <w:szCs w:val="16"/>
              </w:rPr>
              <w:t>[37]</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Hand-coded</w:t>
            </w:r>
            <w:r>
              <w:rPr>
                <w:rFonts w:asciiTheme="majorBidi" w:hAnsiTheme="majorBidi" w:cstheme="majorBidi"/>
                <w:sz w:val="16"/>
                <w:szCs w:val="16"/>
              </w:rPr>
              <w:t xml:space="preserve">  i</w:t>
            </w:r>
            <w:r w:rsidRPr="00945683">
              <w:rPr>
                <w:rFonts w:asciiTheme="majorBidi" w:hAnsiTheme="majorBidi" w:cstheme="majorBidi"/>
                <w:sz w:val="16"/>
                <w:szCs w:val="16"/>
              </w:rPr>
              <w:t>nterview transcripts, similar and diverging themes emerged from collective review of all coding summaries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Semi-structured</w:t>
            </w:r>
            <w:r>
              <w:rPr>
                <w:rFonts w:asciiTheme="majorBidi" w:hAnsiTheme="majorBidi" w:cstheme="majorBidi"/>
                <w:sz w:val="16"/>
                <w:szCs w:val="16"/>
              </w:rPr>
              <w:t xml:space="preserve">  i</w:t>
            </w:r>
            <w:r w:rsidRPr="00945683">
              <w:rPr>
                <w:rFonts w:asciiTheme="majorBidi" w:hAnsiTheme="majorBidi" w:cstheme="majorBidi"/>
                <w:sz w:val="16"/>
                <w:szCs w:val="16"/>
              </w:rPr>
              <w:t>nterviews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Purposive </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Hawkins et al (2013)</w:t>
            </w:r>
            <w:r w:rsidR="00061CBA">
              <w:rPr>
                <w:rFonts w:asciiTheme="majorBidi" w:hAnsiTheme="majorBidi" w:cstheme="majorBidi"/>
                <w:sz w:val="16"/>
                <w:szCs w:val="16"/>
              </w:rPr>
              <w:t xml:space="preserve"> </w:t>
            </w:r>
            <w:r w:rsidR="00061CBA">
              <w:rPr>
                <w:rFonts w:asciiTheme="majorHAnsi" w:hAnsiTheme="majorHAnsi" w:cstheme="majorHAnsi"/>
                <w:sz w:val="16"/>
                <w:szCs w:val="16"/>
              </w:rPr>
              <w:t>[32]</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Thematic analysis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Semi-structured </w:t>
            </w:r>
            <w:r>
              <w:rPr>
                <w:rFonts w:asciiTheme="majorBidi" w:hAnsiTheme="majorBidi" w:cstheme="majorBidi"/>
                <w:sz w:val="16"/>
                <w:szCs w:val="16"/>
              </w:rPr>
              <w:t xml:space="preserve"> </w:t>
            </w:r>
            <w:r w:rsidRPr="00945683">
              <w:rPr>
                <w:rFonts w:asciiTheme="majorBidi" w:hAnsiTheme="majorBidi" w:cstheme="majorBidi"/>
                <w:sz w:val="16"/>
                <w:szCs w:val="16"/>
              </w:rPr>
              <w:t>interviews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Attention Restoration Theory (ART)</w:t>
            </w:r>
          </w:p>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Stress Recovery Theory (SRT)</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Heliker et al (2001)</w:t>
            </w:r>
            <w:r w:rsidR="00061CBA">
              <w:rPr>
                <w:rFonts w:asciiTheme="majorBidi" w:hAnsiTheme="majorBidi" w:cstheme="majorBidi"/>
                <w:sz w:val="16"/>
                <w:szCs w:val="16"/>
              </w:rPr>
              <w:t xml:space="preserve"> </w:t>
            </w:r>
            <w:r w:rsidR="00061CBA">
              <w:rPr>
                <w:rFonts w:asciiTheme="majorHAnsi" w:hAnsiTheme="majorHAnsi" w:cstheme="majorHAnsi"/>
                <w:sz w:val="16"/>
                <w:szCs w:val="16"/>
              </w:rPr>
              <w:t>[54]</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Content analysis – themes emerged from analysis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Semi-structured </w:t>
            </w:r>
            <w:r>
              <w:rPr>
                <w:rFonts w:asciiTheme="majorBidi" w:hAnsiTheme="majorBidi" w:cstheme="majorBidi"/>
                <w:sz w:val="16"/>
                <w:szCs w:val="16"/>
              </w:rPr>
              <w:t xml:space="preserve"> </w:t>
            </w:r>
            <w:r w:rsidRPr="00945683">
              <w:rPr>
                <w:rFonts w:asciiTheme="majorBidi" w:hAnsiTheme="majorBidi" w:cstheme="majorBidi"/>
                <w:sz w:val="16"/>
                <w:szCs w:val="16"/>
              </w:rPr>
              <w:t>interviews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Purposive  </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Personal meaning framework</w:t>
            </w:r>
            <w:r>
              <w:rPr>
                <w:rFonts w:asciiTheme="majorBidi" w:hAnsiTheme="majorBidi" w:cstheme="majorBidi"/>
                <w:sz w:val="16"/>
                <w:szCs w:val="16"/>
              </w:rPr>
              <w:t xml:space="preserve"> (Reker &amp; Wong, 1988)</w:t>
            </w:r>
          </w:p>
        </w:tc>
      </w:tr>
      <w:tr w:rsidR="00F2150E" w:rsidRPr="00945683" w:rsidTr="007C5DE1">
        <w:trPr>
          <w:cantSplit/>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lastRenderedPageBreak/>
              <w:t>Hulko (2014)</w:t>
            </w:r>
            <w:r w:rsidR="00061CBA">
              <w:rPr>
                <w:rFonts w:asciiTheme="majorBidi" w:hAnsiTheme="majorBidi" w:cstheme="majorBidi"/>
                <w:sz w:val="16"/>
                <w:szCs w:val="16"/>
              </w:rPr>
              <w:t xml:space="preserve"> </w:t>
            </w:r>
            <w:r w:rsidR="001E1D58">
              <w:rPr>
                <w:rFonts w:asciiTheme="majorHAnsi" w:hAnsiTheme="majorHAnsi" w:cstheme="majorHAnsi"/>
                <w:sz w:val="16"/>
                <w:szCs w:val="16"/>
              </w:rPr>
              <w:t>[88</w:t>
            </w:r>
            <w:r w:rsidR="00061CBA">
              <w:rPr>
                <w:rFonts w:asciiTheme="majorHAnsi" w:hAnsiTheme="majorHAnsi" w:cstheme="majorHAnsi"/>
                <w:sz w:val="16"/>
                <w:szCs w:val="16"/>
              </w:rPr>
              <w:t>]</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given</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Sharing circles – similar to focus groups involving small-group discussion led by a facilitator but different in that the facilitator mainly listens and observes and cultural protocols are followed</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given</w:t>
            </w:r>
          </w:p>
        </w:tc>
        <w:tc>
          <w:tcPr>
            <w:tcW w:w="2846" w:type="dxa"/>
          </w:tcPr>
          <w:p w:rsidR="00F2150E" w:rsidRPr="00945683" w:rsidRDefault="00F2150E" w:rsidP="008D32BC">
            <w:pPr>
              <w:rPr>
                <w:rFonts w:asciiTheme="majorBidi" w:hAnsiTheme="majorBidi" w:cstheme="majorBidi"/>
                <w:sz w:val="16"/>
                <w:szCs w:val="16"/>
              </w:rPr>
            </w:pP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Jansen &amp; von Sadovszky (2004) </w:t>
            </w:r>
            <w:r w:rsidR="00061CBA">
              <w:rPr>
                <w:rFonts w:asciiTheme="majorHAnsi" w:hAnsiTheme="majorHAnsi" w:cstheme="majorHAnsi"/>
                <w:sz w:val="16"/>
                <w:szCs w:val="16"/>
              </w:rPr>
              <w:t>[47]</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Content analysis utilizing an empiric-analytic technique (Krippendorf, 1980)</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Face-to-face interview</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Convenience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Attention Restoration Theory</w:t>
            </w:r>
            <w:r>
              <w:rPr>
                <w:rFonts w:asciiTheme="majorBidi" w:hAnsiTheme="majorBidi" w:cstheme="majorBidi"/>
                <w:sz w:val="16"/>
                <w:szCs w:val="16"/>
              </w:rPr>
              <w:t xml:space="preserve"> (Kaplan, 1995)</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Lovering at al (2002)</w:t>
            </w:r>
            <w:r w:rsidR="001E1D58">
              <w:rPr>
                <w:rFonts w:asciiTheme="majorBidi" w:hAnsiTheme="majorBidi" w:cstheme="majorBidi"/>
                <w:sz w:val="16"/>
                <w:szCs w:val="16"/>
              </w:rPr>
              <w:t xml:space="preserve"> </w:t>
            </w:r>
            <w:r w:rsidR="001E1D58">
              <w:rPr>
                <w:rFonts w:asciiTheme="majorHAnsi" w:hAnsiTheme="majorHAnsi" w:cstheme="majorHAnsi"/>
                <w:sz w:val="16"/>
                <w:szCs w:val="16"/>
              </w:rPr>
              <w:t>[51]</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Notes of observations were transcribed and entered into Ethnograph and open-coded.</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Non-participant observation  </w:t>
            </w:r>
          </w:p>
          <w:p w:rsidR="00F2150E" w:rsidRPr="00945683" w:rsidRDefault="00F2150E" w:rsidP="008D32BC">
            <w:pPr>
              <w:rPr>
                <w:rFonts w:asciiTheme="majorBidi" w:hAnsiTheme="majorBidi" w:cstheme="majorBidi"/>
                <w:sz w:val="16"/>
                <w:szCs w:val="16"/>
              </w:rPr>
            </w:pPr>
            <w:r w:rsidRPr="00B45456">
              <w:rPr>
                <w:rFonts w:asciiTheme="majorBidi" w:hAnsiTheme="majorBidi" w:cstheme="majorBidi"/>
                <w:sz w:val="16"/>
                <w:szCs w:val="16"/>
              </w:rPr>
              <w:t>(In-depth interviews and focus groups with program staff only)</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Purposive </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McCaffrey et al (2010)</w:t>
            </w:r>
            <w:r w:rsidR="001E1D58">
              <w:rPr>
                <w:rFonts w:asciiTheme="majorBidi" w:hAnsiTheme="majorBidi" w:cstheme="majorBidi"/>
                <w:sz w:val="16"/>
                <w:szCs w:val="16"/>
              </w:rPr>
              <w:t xml:space="preserve"> </w:t>
            </w:r>
            <w:r w:rsidR="001E1D58">
              <w:rPr>
                <w:rFonts w:asciiTheme="majorHAnsi" w:hAnsiTheme="majorHAnsi" w:cstheme="majorHAnsi"/>
                <w:sz w:val="16"/>
                <w:szCs w:val="16"/>
              </w:rPr>
              <w:t>[43]</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Thematic analysis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i/>
                <w:iCs/>
                <w:sz w:val="16"/>
                <w:szCs w:val="16"/>
              </w:rPr>
              <w:t xml:space="preserve">Stroll for Wellbeing: Garden Walks at the Morikami Museum </w:t>
            </w:r>
            <w:r w:rsidRPr="00945683">
              <w:rPr>
                <w:rFonts w:asciiTheme="majorBidi" w:hAnsiTheme="majorBidi" w:cstheme="majorBidi"/>
                <w:sz w:val="16"/>
                <w:szCs w:val="16"/>
              </w:rPr>
              <w:t>– a walking guide and reflective journal.  Comprised 12 garden walks, each of which had a theme – awareness, possibility, transition, connection, journey, trust, joy, freedom, forgiveness, reflection, gratitude and fulfilment. Participants wrote on journaling pages after stopping at specific spots and reflecting on the words provided.</w:t>
            </w:r>
          </w:p>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Participants were interviewed about the experience of walking in the garden using </w:t>
            </w:r>
            <w:r w:rsidRPr="00945683">
              <w:rPr>
                <w:rFonts w:asciiTheme="majorBidi" w:hAnsiTheme="majorBidi" w:cstheme="majorBidi"/>
                <w:i/>
                <w:iCs/>
                <w:sz w:val="16"/>
                <w:szCs w:val="16"/>
              </w:rPr>
              <w:t>Stroll</w:t>
            </w:r>
            <w:r w:rsidRPr="00945683">
              <w:rPr>
                <w:rFonts w:asciiTheme="majorBidi" w:hAnsiTheme="majorBidi" w:cstheme="majorBidi"/>
                <w:sz w:val="16"/>
                <w:szCs w:val="16"/>
              </w:rPr>
              <w:t>.</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Purposive </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Hermeneutic phenomenology and Roger’s Science of Unitary Human Beings</w:t>
            </w:r>
            <w:r>
              <w:rPr>
                <w:rFonts w:asciiTheme="majorBidi" w:hAnsiTheme="majorBidi" w:cstheme="majorBidi"/>
                <w:sz w:val="16"/>
                <w:szCs w:val="16"/>
              </w:rPr>
              <w:t xml:space="preserve"> (1980)</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Mapes (2012)</w:t>
            </w:r>
            <w:r w:rsidR="001E1D58">
              <w:rPr>
                <w:rFonts w:asciiTheme="majorBidi" w:hAnsiTheme="majorBidi" w:cstheme="majorBidi"/>
                <w:sz w:val="16"/>
                <w:szCs w:val="16"/>
              </w:rPr>
              <w:t xml:space="preserve"> </w:t>
            </w:r>
            <w:r w:rsidR="001E1D58">
              <w:rPr>
                <w:rFonts w:asciiTheme="majorHAnsi" w:hAnsiTheme="majorHAnsi" w:cstheme="majorHAnsi"/>
                <w:sz w:val="16"/>
                <w:szCs w:val="16"/>
              </w:rPr>
              <w:t>[45]</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Not stated</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Participatory appraisal method - drawings, charts, post-it notes, flip charts, photo and video</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Purposive </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Milligan et al (2004)</w:t>
            </w:r>
            <w:r w:rsidR="001E1D58">
              <w:rPr>
                <w:rFonts w:asciiTheme="majorBidi" w:hAnsiTheme="majorBidi" w:cstheme="majorBidi"/>
                <w:sz w:val="16"/>
                <w:szCs w:val="16"/>
              </w:rPr>
              <w:t xml:space="preserve"> </w:t>
            </w:r>
            <w:r w:rsidR="001E1D58">
              <w:rPr>
                <w:rFonts w:asciiTheme="majorHAnsi" w:hAnsiTheme="majorHAnsi" w:cstheme="majorHAnsi"/>
                <w:sz w:val="16"/>
                <w:szCs w:val="16"/>
              </w:rPr>
              <w:t>[24]</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Analysed using a grounded theory approach</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Mixed methodology with key emphasis on ethnography - Focus groups, semi-structured interviews, standard weekly diaries over 9-month period, visual and observational data</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Criterion (aged over 65, not mentally confused and had some physical mobility)</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Concept of therapeutic landscape</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Olsson et al (2013)</w:t>
            </w:r>
            <w:r w:rsidR="001E1D58">
              <w:rPr>
                <w:rFonts w:asciiTheme="majorBidi" w:hAnsiTheme="majorBidi" w:cstheme="majorBidi"/>
                <w:sz w:val="16"/>
                <w:szCs w:val="16"/>
              </w:rPr>
              <w:t xml:space="preserve"> </w:t>
            </w:r>
            <w:r w:rsidR="001E1D58">
              <w:rPr>
                <w:rFonts w:asciiTheme="majorHAnsi" w:hAnsiTheme="majorHAnsi" w:cstheme="majorHAnsi"/>
                <w:sz w:val="16"/>
                <w:szCs w:val="16"/>
              </w:rPr>
              <w:t>[33]</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Qualitative content analysis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Repeated interviews – technique allowed them to tell their own story</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Purposive </w:t>
            </w:r>
          </w:p>
        </w:tc>
        <w:tc>
          <w:tcPr>
            <w:tcW w:w="2846" w:type="dxa"/>
          </w:tcPr>
          <w:p w:rsidR="00F2150E" w:rsidRPr="00945683" w:rsidRDefault="00F2150E" w:rsidP="008D32BC">
            <w:pPr>
              <w:rPr>
                <w:rFonts w:asciiTheme="majorBidi" w:hAnsiTheme="majorBidi" w:cstheme="majorBidi"/>
                <w:sz w:val="16"/>
                <w:szCs w:val="16"/>
              </w:rPr>
            </w:pPr>
            <w:r>
              <w:rPr>
                <w:rFonts w:asciiTheme="majorBidi" w:hAnsiTheme="majorBidi" w:cstheme="majorBidi"/>
                <w:sz w:val="16"/>
                <w:szCs w:val="16"/>
              </w:rPr>
              <w:t>Social construction theory (Sabat &amp; Collins, 1999; Sabat &amp; Harre, 1992)</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Raske (2010)</w:t>
            </w:r>
            <w:r w:rsidR="001E1D58">
              <w:rPr>
                <w:rFonts w:asciiTheme="majorBidi" w:hAnsiTheme="majorBidi" w:cstheme="majorBidi"/>
                <w:sz w:val="16"/>
                <w:szCs w:val="16"/>
              </w:rPr>
              <w:t xml:space="preserve"> </w:t>
            </w:r>
            <w:r w:rsidR="001E1D58">
              <w:rPr>
                <w:rFonts w:asciiTheme="majorHAnsi" w:hAnsiTheme="majorHAnsi" w:cstheme="majorHAnsi"/>
                <w:sz w:val="16"/>
                <w:szCs w:val="16"/>
              </w:rPr>
              <w:t>[42]</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Themes and patterns identified using content analysis.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Semi-structured interviews and photo-elicitation</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Convenience</w:t>
            </w:r>
          </w:p>
        </w:tc>
        <w:tc>
          <w:tcPr>
            <w:tcW w:w="2846" w:type="dxa"/>
          </w:tcPr>
          <w:p w:rsidR="00F2150E" w:rsidRPr="00945683" w:rsidRDefault="00F2150E" w:rsidP="008D32BC">
            <w:pPr>
              <w:rPr>
                <w:rFonts w:asciiTheme="majorBidi" w:hAnsiTheme="majorBidi" w:cstheme="majorBidi"/>
                <w:sz w:val="16"/>
                <w:szCs w:val="16"/>
              </w:rPr>
            </w:pPr>
            <w:r>
              <w:rPr>
                <w:rFonts w:asciiTheme="majorBidi" w:hAnsiTheme="majorBidi" w:cstheme="majorBidi"/>
                <w:sz w:val="16"/>
                <w:szCs w:val="16"/>
              </w:rPr>
              <w:t>Concept of quality of life (Kane et al, 2003)</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Rubinstein (1990)</w:t>
            </w:r>
            <w:r w:rsidR="001E1D58">
              <w:rPr>
                <w:rFonts w:asciiTheme="majorBidi" w:hAnsiTheme="majorBidi" w:cstheme="majorBidi"/>
                <w:sz w:val="16"/>
                <w:szCs w:val="16"/>
              </w:rPr>
              <w:t xml:space="preserve"> </w:t>
            </w:r>
            <w:r w:rsidR="001E1D58">
              <w:rPr>
                <w:rFonts w:asciiTheme="majorHAnsi" w:hAnsiTheme="majorHAnsi" w:cstheme="majorHAnsi"/>
                <w:sz w:val="16"/>
                <w:szCs w:val="16"/>
              </w:rPr>
              <w:t>[40]</w:t>
            </w:r>
          </w:p>
          <w:p w:rsidR="00F2150E" w:rsidRPr="00945683" w:rsidRDefault="00F2150E" w:rsidP="008D32BC">
            <w:pPr>
              <w:rPr>
                <w:rFonts w:asciiTheme="majorBidi" w:hAnsiTheme="majorBidi" w:cstheme="majorBidi"/>
                <w:sz w:val="16"/>
                <w:szCs w:val="16"/>
              </w:rPr>
            </w:pPr>
          </w:p>
          <w:p w:rsidR="00F2150E" w:rsidRPr="00945683" w:rsidRDefault="00F2150E" w:rsidP="008D32BC">
            <w:pPr>
              <w:rPr>
                <w:rFonts w:asciiTheme="majorBidi" w:hAnsiTheme="majorBidi" w:cstheme="majorBidi"/>
                <w:sz w:val="16"/>
                <w:szCs w:val="16"/>
              </w:rPr>
            </w:pPr>
          </w:p>
        </w:tc>
        <w:tc>
          <w:tcPr>
            <w:tcW w:w="2844" w:type="dxa"/>
          </w:tcPr>
          <w:p w:rsidR="00F2150E" w:rsidRPr="00945683" w:rsidRDefault="00F2150E" w:rsidP="008D32BC">
            <w:pPr>
              <w:rPr>
                <w:rFonts w:asciiTheme="majorBidi" w:hAnsiTheme="majorBidi" w:cstheme="majorBidi"/>
                <w:sz w:val="16"/>
                <w:szCs w:val="16"/>
              </w:rPr>
            </w:pPr>
            <w:r>
              <w:rPr>
                <w:rFonts w:asciiTheme="majorBidi" w:hAnsiTheme="majorBidi" w:cstheme="majorBidi"/>
                <w:sz w:val="16"/>
                <w:szCs w:val="16"/>
              </w:rPr>
              <w:t xml:space="preserve">Not stated </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Ethnographically-based qualitative interviews, pg.132 &amp; Abstract /</w:t>
            </w:r>
          </w:p>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Extended open-ended interviews pg.133</w:t>
            </w:r>
          </w:p>
        </w:tc>
        <w:tc>
          <w:tcPr>
            <w:tcW w:w="2846" w:type="dxa"/>
          </w:tcPr>
          <w:p w:rsidR="00F2150E" w:rsidRPr="00945683" w:rsidRDefault="00F2150E" w:rsidP="008D32BC">
            <w:pPr>
              <w:rPr>
                <w:rFonts w:asciiTheme="majorBidi" w:hAnsiTheme="majorBidi" w:cstheme="majorBidi"/>
                <w:sz w:val="16"/>
                <w:szCs w:val="16"/>
              </w:rPr>
            </w:pPr>
            <w:r>
              <w:rPr>
                <w:rFonts w:asciiTheme="majorBidi" w:hAnsiTheme="majorBidi" w:cstheme="majorBidi"/>
                <w:sz w:val="16"/>
                <w:szCs w:val="16"/>
              </w:rPr>
              <w:t>Convenience sampling</w:t>
            </w:r>
            <w:r w:rsidRPr="00945683">
              <w:rPr>
                <w:rFonts w:asciiTheme="majorBidi" w:hAnsiTheme="majorBidi" w:cstheme="majorBidi"/>
                <w:sz w:val="16"/>
                <w:szCs w:val="16"/>
              </w:rPr>
              <w:t xml:space="preserve"> based on articulateness rather than for any predisposition to environmental attachment.</w:t>
            </w:r>
          </w:p>
        </w:tc>
        <w:tc>
          <w:tcPr>
            <w:tcW w:w="2846" w:type="dxa"/>
          </w:tcPr>
          <w:p w:rsidR="00F2150E" w:rsidRPr="00945683" w:rsidRDefault="0012120B"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3062"/>
        </w:trPr>
        <w:tc>
          <w:tcPr>
            <w:tcW w:w="2844" w:type="dxa"/>
          </w:tcPr>
          <w:p w:rsidR="00F2150E" w:rsidRPr="00945683" w:rsidRDefault="00F2150E" w:rsidP="008D32BC">
            <w:pPr>
              <w:rPr>
                <w:rFonts w:asciiTheme="majorBidi" w:hAnsiTheme="majorBidi" w:cstheme="majorBidi"/>
                <w:sz w:val="16"/>
                <w:szCs w:val="16"/>
                <w:highlight w:val="yellow"/>
              </w:rPr>
            </w:pPr>
            <w:r>
              <w:rPr>
                <w:rFonts w:asciiTheme="majorBidi" w:hAnsiTheme="majorBidi" w:cstheme="majorBidi"/>
                <w:sz w:val="16"/>
                <w:szCs w:val="16"/>
              </w:rPr>
              <w:lastRenderedPageBreak/>
              <w:t>Scott et al (2014)</w:t>
            </w:r>
            <w:r w:rsidR="001E1D58">
              <w:rPr>
                <w:rFonts w:asciiTheme="majorBidi" w:hAnsiTheme="majorBidi" w:cstheme="majorBidi"/>
                <w:sz w:val="16"/>
                <w:szCs w:val="16"/>
              </w:rPr>
              <w:t xml:space="preserve"> </w:t>
            </w:r>
            <w:r w:rsidR="001E1D58">
              <w:rPr>
                <w:rFonts w:asciiTheme="majorHAnsi" w:hAnsiTheme="majorHAnsi" w:cstheme="majorHAnsi"/>
                <w:sz w:val="16"/>
                <w:szCs w:val="16"/>
              </w:rPr>
              <w:t>[46]</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Statistical analysis of qualitative data – analysed through summative content analysis and Leximancer version 4 text analytics software – uses word association information to elicit concepts, extracting the most important and grouping these according to themes.  From a grounded theory approach, Leximancer was used to conduct an automatic analysis of the conceptual content of the participants’ responses to open questions. MORE ON LEXIMANCER?</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Survey comprising a series of open questions – participants were provided with lined space to write up to a half page response in the mailed version and equivalent space provided in the online version</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Theory of successful or positive ageing  - Selective Optimization with Compensation (Baltes, 1987)</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Pr>
                <w:rFonts w:asciiTheme="majorBidi" w:hAnsiTheme="majorBidi" w:cstheme="majorBidi"/>
                <w:sz w:val="16"/>
                <w:szCs w:val="16"/>
              </w:rPr>
              <w:t>Sim e</w:t>
            </w:r>
            <w:r w:rsidRPr="00945683">
              <w:rPr>
                <w:rFonts w:asciiTheme="majorBidi" w:hAnsiTheme="majorBidi" w:cstheme="majorBidi"/>
                <w:sz w:val="16"/>
                <w:szCs w:val="16"/>
              </w:rPr>
              <w:t>t al (2012)</w:t>
            </w:r>
            <w:r w:rsidR="001E1D58">
              <w:rPr>
                <w:rFonts w:asciiTheme="majorBidi" w:hAnsiTheme="majorBidi" w:cstheme="majorBidi"/>
                <w:sz w:val="16"/>
                <w:szCs w:val="16"/>
              </w:rPr>
              <w:t xml:space="preserve"> </w:t>
            </w:r>
            <w:r w:rsidR="001E1D58">
              <w:rPr>
                <w:rFonts w:asciiTheme="majorHAnsi" w:hAnsiTheme="majorHAnsi" w:cstheme="majorHAnsi"/>
                <w:sz w:val="16"/>
                <w:szCs w:val="16"/>
              </w:rPr>
              <w:t>[57]</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Thematic analysis – first-order themes and broader second-order themes</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Interviews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12120B" w:rsidP="008D32BC">
            <w:pPr>
              <w:rPr>
                <w:rFonts w:asciiTheme="majorBidi" w:hAnsiTheme="majorBidi" w:cstheme="majorBidi"/>
                <w:sz w:val="16"/>
                <w:szCs w:val="16"/>
              </w:rPr>
            </w:pPr>
            <w:r w:rsidRPr="00945683">
              <w:rPr>
                <w:rFonts w:asciiTheme="majorBidi" w:hAnsiTheme="majorBidi" w:cstheme="majorBidi"/>
                <w:sz w:val="16"/>
                <w:szCs w:val="16"/>
              </w:rPr>
              <w:t>No details provided</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Walker &amp; Hiller (2007)</w:t>
            </w:r>
            <w:r w:rsidR="001E1D58">
              <w:rPr>
                <w:rFonts w:asciiTheme="majorBidi" w:hAnsiTheme="majorBidi" w:cstheme="majorBidi"/>
                <w:sz w:val="16"/>
                <w:szCs w:val="16"/>
              </w:rPr>
              <w:t xml:space="preserve"> </w:t>
            </w:r>
            <w:r w:rsidR="001E1D58">
              <w:rPr>
                <w:rFonts w:asciiTheme="majorHAnsi" w:hAnsiTheme="majorHAnsi" w:cstheme="majorHAnsi"/>
                <w:sz w:val="16"/>
                <w:szCs w:val="16"/>
              </w:rPr>
              <w:t>[52]</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Grounded theory approach</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In-depth interviews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Criterion </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Social capital</w:t>
            </w:r>
          </w:p>
        </w:tc>
      </w:tr>
      <w:tr w:rsidR="00F2150E" w:rsidRPr="00945683" w:rsidTr="009D5EC5">
        <w:trPr>
          <w:trHeight w:val="279"/>
        </w:trPr>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Wang &amp; Glicksman (2013) </w:t>
            </w:r>
            <w:r w:rsidR="00774EF5">
              <w:rPr>
                <w:rFonts w:asciiTheme="majorHAnsi" w:hAnsiTheme="majorHAnsi" w:cstheme="majorHAnsi"/>
                <w:sz w:val="16"/>
                <w:szCs w:val="16"/>
              </w:rPr>
              <w:t>[48]</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 xml:space="preserve">Analysed using open coding, compared and contrasted key words, grouped key words together to form themes </w:t>
            </w:r>
          </w:p>
        </w:tc>
        <w:tc>
          <w:tcPr>
            <w:tcW w:w="2844"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Focus groups</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Purposive</w:t>
            </w:r>
          </w:p>
        </w:tc>
        <w:tc>
          <w:tcPr>
            <w:tcW w:w="2846" w:type="dxa"/>
          </w:tcPr>
          <w:p w:rsidR="00F2150E" w:rsidRPr="00945683" w:rsidRDefault="00F2150E" w:rsidP="008D32BC">
            <w:pPr>
              <w:rPr>
                <w:rFonts w:asciiTheme="majorBidi" w:hAnsiTheme="majorBidi" w:cstheme="majorBidi"/>
                <w:sz w:val="16"/>
                <w:szCs w:val="16"/>
              </w:rPr>
            </w:pPr>
            <w:r w:rsidRPr="00945683">
              <w:rPr>
                <w:rFonts w:asciiTheme="majorBidi" w:hAnsiTheme="majorBidi" w:cstheme="majorBidi"/>
                <w:sz w:val="16"/>
                <w:szCs w:val="16"/>
              </w:rPr>
              <w:t>Continuity theory (Atchley, 1989); social exchange theory (Blau, 1964); socioemotional selectivity theory (Carstensen et al, 1999) and geotranscendence (Tornstam, 199</w:t>
            </w:r>
            <w:r>
              <w:rPr>
                <w:rFonts w:asciiTheme="majorBidi" w:hAnsiTheme="majorBidi" w:cstheme="majorBidi"/>
                <w:sz w:val="16"/>
                <w:szCs w:val="16"/>
              </w:rPr>
              <w:t>4, 1999</w:t>
            </w:r>
            <w:r w:rsidRPr="00945683">
              <w:rPr>
                <w:rFonts w:asciiTheme="majorBidi" w:hAnsiTheme="majorBidi" w:cstheme="majorBidi"/>
                <w:sz w:val="16"/>
                <w:szCs w:val="16"/>
              </w:rPr>
              <w:t>)</w:t>
            </w:r>
          </w:p>
        </w:tc>
      </w:tr>
    </w:tbl>
    <w:p w:rsidR="00F2150E" w:rsidRDefault="00F2150E" w:rsidP="00F2150E">
      <w:pPr>
        <w:spacing w:line="240" w:lineRule="auto"/>
        <w:rPr>
          <w:b/>
          <w:bCs/>
          <w:sz w:val="24"/>
        </w:rPr>
      </w:pPr>
    </w:p>
    <w:p w:rsidR="00F2150E" w:rsidRDefault="00F2150E" w:rsidP="00F2150E">
      <w:pPr>
        <w:rPr>
          <w:b/>
          <w:bCs/>
          <w:sz w:val="24"/>
        </w:rPr>
      </w:pPr>
      <w:r>
        <w:rPr>
          <w:b/>
          <w:bCs/>
          <w:sz w:val="24"/>
        </w:rPr>
        <w:br w:type="page"/>
      </w:r>
    </w:p>
    <w:p w:rsidR="00F2150E" w:rsidRPr="00200B34" w:rsidRDefault="00F2150E" w:rsidP="00F2150E">
      <w:pPr>
        <w:rPr>
          <w:rFonts w:cstheme="minorHAnsi"/>
          <w:b/>
          <w:bCs/>
          <w:sz w:val="20"/>
          <w:szCs w:val="20"/>
        </w:rPr>
      </w:pPr>
      <w:r w:rsidRPr="003245C0">
        <w:rPr>
          <w:rFonts w:cstheme="minorHAnsi"/>
          <w:b/>
          <w:bCs/>
          <w:sz w:val="20"/>
          <w:szCs w:val="20"/>
        </w:rPr>
        <w:lastRenderedPageBreak/>
        <w:t xml:space="preserve">Table </w:t>
      </w:r>
      <w:r w:rsidR="001C228E">
        <w:rPr>
          <w:rFonts w:cstheme="minorHAnsi"/>
          <w:b/>
          <w:bCs/>
          <w:sz w:val="20"/>
          <w:szCs w:val="20"/>
        </w:rPr>
        <w:t>S</w:t>
      </w:r>
      <w:r w:rsidRPr="003245C0">
        <w:rPr>
          <w:rFonts w:cstheme="minorHAnsi"/>
          <w:b/>
          <w:bCs/>
          <w:sz w:val="20"/>
          <w:szCs w:val="20"/>
        </w:rPr>
        <w:t>3.</w:t>
      </w:r>
      <w:r w:rsidRPr="003245C0">
        <w:rPr>
          <w:rFonts w:cstheme="minorHAnsi"/>
          <w:sz w:val="20"/>
          <w:szCs w:val="20"/>
        </w:rPr>
        <w:tab/>
      </w:r>
      <w:r w:rsidRPr="00200B34">
        <w:rPr>
          <w:rFonts w:cstheme="minorHAnsi"/>
          <w:b/>
          <w:bCs/>
          <w:sz w:val="20"/>
          <w:szCs w:val="20"/>
        </w:rPr>
        <w:t>Quality Appraisal of Included Studies (Wallace criteria)</w:t>
      </w:r>
    </w:p>
    <w:tbl>
      <w:tblPr>
        <w:tblStyle w:val="TableGrid"/>
        <w:tblW w:w="15276" w:type="dxa"/>
        <w:tblLayout w:type="fixed"/>
        <w:tblLook w:val="04A0"/>
      </w:tblPr>
      <w:tblGrid>
        <w:gridCol w:w="1668"/>
        <w:gridCol w:w="850"/>
        <w:gridCol w:w="992"/>
        <w:gridCol w:w="993"/>
        <w:gridCol w:w="992"/>
        <w:gridCol w:w="992"/>
        <w:gridCol w:w="1276"/>
        <w:gridCol w:w="1134"/>
        <w:gridCol w:w="992"/>
        <w:gridCol w:w="1134"/>
        <w:gridCol w:w="992"/>
        <w:gridCol w:w="1134"/>
        <w:gridCol w:w="1134"/>
        <w:gridCol w:w="993"/>
      </w:tblGrid>
      <w:tr w:rsidR="00F2150E" w:rsidRPr="00200B34" w:rsidTr="0011263A">
        <w:trPr>
          <w:trHeight w:val="295"/>
          <w:tblHeader/>
        </w:trPr>
        <w:tc>
          <w:tcPr>
            <w:tcW w:w="1668"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Author(s)</w:t>
            </w:r>
          </w:p>
        </w:tc>
        <w:tc>
          <w:tcPr>
            <w:tcW w:w="850"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Is the research question clear?</w:t>
            </w:r>
          </w:p>
        </w:tc>
        <w:tc>
          <w:tcPr>
            <w:tcW w:w="992"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Perspective of author clear?</w:t>
            </w:r>
          </w:p>
        </w:tc>
        <w:tc>
          <w:tcPr>
            <w:tcW w:w="993"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Perspective influenced the study design?</w:t>
            </w:r>
          </w:p>
        </w:tc>
        <w:tc>
          <w:tcPr>
            <w:tcW w:w="992"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Is the study design appropriate?</w:t>
            </w:r>
          </w:p>
        </w:tc>
        <w:tc>
          <w:tcPr>
            <w:tcW w:w="992"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Is the context adequately described?</w:t>
            </w:r>
          </w:p>
        </w:tc>
        <w:tc>
          <w:tcPr>
            <w:tcW w:w="1276"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Sample adequate to explore range of subjects/settings?</w:t>
            </w:r>
          </w:p>
        </w:tc>
        <w:tc>
          <w:tcPr>
            <w:tcW w:w="1134"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Sample drawn from appropriate population?</w:t>
            </w:r>
          </w:p>
        </w:tc>
        <w:tc>
          <w:tcPr>
            <w:tcW w:w="992"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Data collection adequately described?</w:t>
            </w:r>
          </w:p>
        </w:tc>
        <w:tc>
          <w:tcPr>
            <w:tcW w:w="1134"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Data collection rigorously conducted?</w:t>
            </w:r>
          </w:p>
        </w:tc>
        <w:tc>
          <w:tcPr>
            <w:tcW w:w="992"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Data analysis rigorously conducted?</w:t>
            </w:r>
          </w:p>
        </w:tc>
        <w:tc>
          <w:tcPr>
            <w:tcW w:w="1134"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Findings substantiated/ limitations considered?</w:t>
            </w:r>
          </w:p>
        </w:tc>
        <w:tc>
          <w:tcPr>
            <w:tcW w:w="1134"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Claims to generalizability follow from data?</w:t>
            </w:r>
          </w:p>
        </w:tc>
        <w:tc>
          <w:tcPr>
            <w:tcW w:w="993" w:type="dxa"/>
          </w:tcPr>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 xml:space="preserve">Ethical </w:t>
            </w:r>
          </w:p>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 xml:space="preserve">issues </w:t>
            </w:r>
          </w:p>
          <w:p w:rsidR="00F2150E" w:rsidRPr="00200B34" w:rsidRDefault="00F2150E" w:rsidP="008D32BC">
            <w:pPr>
              <w:rPr>
                <w:rFonts w:asciiTheme="majorHAnsi" w:hAnsiTheme="majorHAnsi" w:cstheme="majorHAnsi"/>
                <w:b/>
                <w:bCs/>
                <w:sz w:val="12"/>
                <w:szCs w:val="12"/>
              </w:rPr>
            </w:pPr>
            <w:r w:rsidRPr="00200B34">
              <w:rPr>
                <w:rFonts w:asciiTheme="majorHAnsi" w:hAnsiTheme="majorHAnsi" w:cstheme="majorHAnsi"/>
                <w:b/>
                <w:bCs/>
                <w:sz w:val="12"/>
                <w:szCs w:val="12"/>
              </w:rPr>
              <w:t>addresse</w:t>
            </w:r>
            <w:r w:rsidRPr="00200B34">
              <w:rPr>
                <w:rFonts w:asciiTheme="majorHAnsi" w:hAnsiTheme="majorHAnsi" w:cstheme="majorHAnsi"/>
                <w:b/>
                <w:bCs/>
                <w:i/>
                <w:iCs/>
                <w:sz w:val="12"/>
                <w:szCs w:val="12"/>
              </w:rPr>
              <w:t>d</w:t>
            </w:r>
            <w:r w:rsidRPr="00200B34">
              <w:rPr>
                <w:rFonts w:asciiTheme="majorHAnsi" w:hAnsiTheme="majorHAnsi" w:cstheme="majorHAnsi"/>
                <w:b/>
                <w:bCs/>
                <w:sz w:val="12"/>
                <w:szCs w:val="12"/>
              </w:rPr>
              <w:t>?</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rPr>
            </w:pPr>
            <w:r w:rsidRPr="00200B34">
              <w:rPr>
                <w:rFonts w:asciiTheme="majorHAnsi" w:hAnsiTheme="majorHAnsi" w:cstheme="majorHAnsi"/>
                <w:sz w:val="12"/>
                <w:szCs w:val="12"/>
              </w:rPr>
              <w:t>Alves et  al (2006)</w:t>
            </w:r>
            <w:r w:rsidR="001E4C28">
              <w:rPr>
                <w:rFonts w:asciiTheme="majorHAnsi" w:hAnsiTheme="majorHAnsi" w:cstheme="majorHAnsi"/>
                <w:sz w:val="12"/>
                <w:szCs w:val="12"/>
              </w:rPr>
              <w:t xml:space="preserve"> </w:t>
            </w:r>
            <w:r w:rsidR="001E4C28" w:rsidRPr="001E4C28">
              <w:rPr>
                <w:rFonts w:asciiTheme="majorHAnsi" w:hAnsiTheme="majorHAnsi" w:cstheme="majorHAnsi"/>
                <w:sz w:val="12"/>
                <w:szCs w:val="12"/>
              </w:rPr>
              <w:t>[41]</w:t>
            </w:r>
          </w:p>
        </w:tc>
        <w:tc>
          <w:tcPr>
            <w:tcW w:w="850"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highlight w:val="yellow"/>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3" w:type="dxa"/>
          </w:tcPr>
          <w:p w:rsidR="00F2150E" w:rsidRPr="00200B34" w:rsidRDefault="00F2150E" w:rsidP="008D32BC">
            <w:pPr>
              <w:jc w:val="center"/>
              <w:rPr>
                <w:rFonts w:asciiTheme="majorHAnsi" w:hAnsiTheme="majorHAnsi" w:cstheme="majorHAnsi"/>
                <w:color w:val="4F81BD" w:themeColor="accent1"/>
                <w:sz w:val="12"/>
                <w:szCs w:val="12"/>
                <w:lang w:val="es-ES"/>
              </w:rPr>
            </w:pPr>
            <w:r w:rsidRPr="002B5DE1">
              <w:rPr>
                <w:rFonts w:asciiTheme="majorHAnsi" w:hAnsiTheme="majorHAnsi" w:cstheme="majorHAnsi"/>
                <w:sz w:val="12"/>
                <w:szCs w:val="12"/>
                <w:lang w:val="es-ES"/>
              </w:rPr>
              <w:t>N</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Bengtsson &amp; Carlsson (2013)</w:t>
            </w:r>
            <w:r w:rsidR="001E4C28">
              <w:rPr>
                <w:rFonts w:asciiTheme="majorHAnsi" w:hAnsiTheme="majorHAnsi" w:cstheme="majorHAnsi"/>
                <w:sz w:val="12"/>
                <w:szCs w:val="12"/>
                <w:lang w:val="es-ES"/>
              </w:rPr>
              <w:t xml:space="preserve"> </w:t>
            </w:r>
            <w:r w:rsidR="001E4C28" w:rsidRPr="001E4C28">
              <w:rPr>
                <w:rFonts w:asciiTheme="majorHAnsi" w:hAnsiTheme="majorHAnsi" w:cstheme="majorHAnsi"/>
                <w:sz w:val="12"/>
                <w:szCs w:val="12"/>
              </w:rPr>
              <w:t>[39]</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712"/>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Bhatti (2006)</w:t>
            </w:r>
            <w:r w:rsidR="001E4C28" w:rsidRPr="001E4C28">
              <w:rPr>
                <w:rFonts w:asciiTheme="majorHAnsi" w:hAnsiTheme="majorHAnsi" w:cstheme="majorHAnsi"/>
                <w:sz w:val="12"/>
                <w:szCs w:val="12"/>
              </w:rPr>
              <w:t xml:space="preserve"> [44]</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N/A</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Boyes (2013)</w:t>
            </w:r>
            <w:r w:rsidR="001E4C28" w:rsidRPr="001E4C28">
              <w:rPr>
                <w:rFonts w:asciiTheme="majorHAnsi" w:hAnsiTheme="majorHAnsi" w:cstheme="majorHAnsi"/>
                <w:sz w:val="16"/>
                <w:szCs w:val="16"/>
              </w:rPr>
              <w:t xml:space="preserve"> </w:t>
            </w:r>
            <w:r w:rsidR="001E4C28" w:rsidRPr="001E4C28">
              <w:rPr>
                <w:rFonts w:asciiTheme="majorHAnsi" w:hAnsiTheme="majorHAnsi" w:cstheme="majorHAnsi"/>
                <w:sz w:val="12"/>
                <w:szCs w:val="12"/>
              </w:rPr>
              <w:t>[53]</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NA</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rPr>
            </w:pPr>
            <w:r w:rsidRPr="00200B34">
              <w:rPr>
                <w:rFonts w:asciiTheme="majorHAnsi" w:hAnsiTheme="majorHAnsi" w:cstheme="majorHAnsi"/>
                <w:sz w:val="12"/>
                <w:szCs w:val="12"/>
              </w:rPr>
              <w:t>Burton &amp; Sheehan (2010)</w:t>
            </w:r>
            <w:r w:rsidR="00061CBA">
              <w:rPr>
                <w:rFonts w:asciiTheme="majorHAnsi" w:hAnsiTheme="majorHAnsi" w:cstheme="majorHAnsi"/>
                <w:sz w:val="12"/>
                <w:szCs w:val="12"/>
              </w:rPr>
              <w:t xml:space="preserve"> </w:t>
            </w:r>
            <w:r w:rsidR="00061CBA" w:rsidRPr="00061CBA">
              <w:rPr>
                <w:rFonts w:asciiTheme="majorHAnsi" w:hAnsiTheme="majorHAnsi" w:cstheme="majorHAnsi"/>
                <w:sz w:val="12"/>
                <w:szCs w:val="12"/>
              </w:rPr>
              <w:t>[34]</w:t>
            </w:r>
          </w:p>
        </w:tc>
        <w:tc>
          <w:tcPr>
            <w:tcW w:w="850"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r>
      <w:tr w:rsidR="00F2150E" w:rsidRPr="00200B34" w:rsidTr="001E3800">
        <w:trPr>
          <w:trHeight w:val="295"/>
        </w:trPr>
        <w:tc>
          <w:tcPr>
            <w:tcW w:w="1668" w:type="dxa"/>
          </w:tcPr>
          <w:p w:rsidR="00F2150E" w:rsidRPr="00200B34" w:rsidRDefault="00061CBA" w:rsidP="008D32BC">
            <w:pPr>
              <w:rPr>
                <w:rFonts w:asciiTheme="majorHAnsi" w:hAnsiTheme="majorHAnsi" w:cstheme="majorHAnsi"/>
                <w:sz w:val="12"/>
                <w:szCs w:val="12"/>
              </w:rPr>
            </w:pPr>
            <w:r>
              <w:rPr>
                <w:rFonts w:asciiTheme="majorHAnsi" w:hAnsiTheme="majorHAnsi" w:cstheme="majorHAnsi"/>
                <w:sz w:val="12"/>
                <w:szCs w:val="12"/>
              </w:rPr>
              <w:t>Butler &amp; Cohen (2010)</w:t>
            </w:r>
            <w:r w:rsidRPr="00061CBA">
              <w:rPr>
                <w:rFonts w:asciiTheme="majorHAnsi" w:hAnsiTheme="majorHAnsi" w:cstheme="majorHAnsi"/>
                <w:sz w:val="16"/>
                <w:szCs w:val="16"/>
              </w:rPr>
              <w:t xml:space="preserve"> </w:t>
            </w:r>
            <w:r w:rsidRPr="00061CBA">
              <w:rPr>
                <w:rFonts w:asciiTheme="majorHAnsi" w:hAnsiTheme="majorHAnsi" w:cstheme="majorHAnsi"/>
                <w:sz w:val="12"/>
                <w:szCs w:val="12"/>
              </w:rPr>
              <w:t>[38]</w:t>
            </w:r>
          </w:p>
        </w:tc>
        <w:tc>
          <w:tcPr>
            <w:tcW w:w="850"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highlight w:val="yellow"/>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p w:rsidR="00F2150E" w:rsidRPr="00200B34" w:rsidRDefault="00F2150E" w:rsidP="008D32BC">
            <w:pPr>
              <w:jc w:val="center"/>
              <w:rPr>
                <w:rFonts w:asciiTheme="majorHAnsi" w:hAnsiTheme="majorHAnsi" w:cstheme="majorHAnsi"/>
                <w:sz w:val="12"/>
                <w:szCs w:val="12"/>
                <w:lang w:val="es-ES"/>
              </w:rPr>
            </w:pP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Day (2008)</w:t>
            </w:r>
            <w:r w:rsidR="001E4C28" w:rsidRPr="001E4C28">
              <w:rPr>
                <w:rFonts w:asciiTheme="majorBidi" w:hAnsiTheme="majorBidi" w:cstheme="majorBidi"/>
                <w:sz w:val="16"/>
                <w:szCs w:val="16"/>
              </w:rPr>
              <w:t xml:space="preserve"> </w:t>
            </w:r>
            <w:r w:rsidR="001E4C28" w:rsidRPr="001E4C28">
              <w:rPr>
                <w:rFonts w:asciiTheme="majorHAnsi" w:hAnsiTheme="majorHAnsi" w:cstheme="majorHAnsi"/>
                <w:sz w:val="12"/>
                <w:szCs w:val="12"/>
              </w:rPr>
              <w:t>[35]</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Duggan et al (2008)</w:t>
            </w:r>
            <w:r w:rsidR="00061CBA" w:rsidRPr="00061CBA">
              <w:rPr>
                <w:rFonts w:asciiTheme="majorHAnsi" w:hAnsiTheme="majorHAnsi" w:cstheme="majorHAnsi"/>
                <w:sz w:val="16"/>
                <w:szCs w:val="16"/>
              </w:rPr>
              <w:t xml:space="preserve"> </w:t>
            </w:r>
            <w:r w:rsidR="00061CBA" w:rsidRPr="00061CBA">
              <w:rPr>
                <w:rFonts w:asciiTheme="majorHAnsi" w:hAnsiTheme="majorHAnsi" w:cstheme="majorHAnsi"/>
                <w:sz w:val="12"/>
                <w:szCs w:val="12"/>
              </w:rPr>
              <w:t>[49]</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rPr>
            </w:pPr>
            <w:r w:rsidRPr="00200B34">
              <w:rPr>
                <w:rFonts w:asciiTheme="majorHAnsi" w:hAnsiTheme="majorHAnsi" w:cstheme="majorHAnsi"/>
                <w:sz w:val="12"/>
                <w:szCs w:val="12"/>
              </w:rPr>
              <w:t>Durvasula et al (2010)</w:t>
            </w:r>
            <w:r w:rsidR="00061CBA">
              <w:rPr>
                <w:rFonts w:asciiTheme="majorHAnsi" w:hAnsiTheme="majorHAnsi" w:cstheme="majorHAnsi"/>
                <w:sz w:val="12"/>
                <w:szCs w:val="12"/>
              </w:rPr>
              <w:t xml:space="preserve"> </w:t>
            </w:r>
            <w:r w:rsidR="00061CBA" w:rsidRPr="00061CBA">
              <w:rPr>
                <w:rFonts w:asciiTheme="majorHAnsi" w:hAnsiTheme="majorHAnsi" w:cstheme="majorHAnsi"/>
                <w:sz w:val="12"/>
                <w:szCs w:val="12"/>
              </w:rPr>
              <w:t>[50]</w:t>
            </w:r>
          </w:p>
        </w:tc>
        <w:tc>
          <w:tcPr>
            <w:tcW w:w="850"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p w:rsidR="00F2150E" w:rsidRPr="00200B34" w:rsidRDefault="00F2150E" w:rsidP="008D32BC">
            <w:pPr>
              <w:jc w:val="center"/>
              <w:rPr>
                <w:rFonts w:asciiTheme="majorHAnsi" w:hAnsiTheme="majorHAnsi" w:cstheme="majorHAnsi"/>
                <w:sz w:val="12"/>
                <w:szCs w:val="12"/>
              </w:rPr>
            </w:pPr>
          </w:p>
        </w:tc>
        <w:tc>
          <w:tcPr>
            <w:tcW w:w="1134"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Edwards et al (2012)</w:t>
            </w:r>
            <w:r w:rsidR="00061CBA">
              <w:rPr>
                <w:rFonts w:asciiTheme="majorHAnsi" w:hAnsiTheme="majorHAnsi" w:cstheme="majorHAnsi"/>
                <w:sz w:val="12"/>
                <w:szCs w:val="12"/>
                <w:lang w:val="es-ES"/>
              </w:rPr>
              <w:t xml:space="preserve"> </w:t>
            </w:r>
            <w:r w:rsidR="001E1D58">
              <w:rPr>
                <w:rFonts w:asciiTheme="majorHAnsi" w:hAnsiTheme="majorHAnsi" w:cstheme="majorHAnsi"/>
                <w:sz w:val="12"/>
                <w:szCs w:val="12"/>
              </w:rPr>
              <w:t>[87</w:t>
            </w:r>
            <w:r w:rsidR="00061CBA" w:rsidRPr="00061CBA">
              <w:rPr>
                <w:rFonts w:asciiTheme="majorHAnsi" w:hAnsiTheme="majorHAnsi" w:cstheme="majorHAnsi"/>
                <w:sz w:val="12"/>
                <w:szCs w:val="12"/>
              </w:rPr>
              <w:t>]</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Gibson et al (2007)</w:t>
            </w:r>
            <w:r w:rsidR="00061CBA">
              <w:rPr>
                <w:rFonts w:asciiTheme="majorHAnsi" w:hAnsiTheme="majorHAnsi" w:cstheme="majorHAnsi"/>
                <w:sz w:val="12"/>
                <w:szCs w:val="12"/>
                <w:lang w:val="es-ES"/>
              </w:rPr>
              <w:t xml:space="preserve"> </w:t>
            </w:r>
            <w:r w:rsidR="00061CBA" w:rsidRPr="00061CBA">
              <w:rPr>
                <w:rFonts w:asciiTheme="majorHAnsi" w:hAnsiTheme="majorHAnsi" w:cstheme="majorHAnsi"/>
                <w:sz w:val="12"/>
                <w:szCs w:val="12"/>
              </w:rPr>
              <w:t>[36]</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Hassink et al (2010)</w:t>
            </w:r>
            <w:r w:rsidR="00061CBA">
              <w:rPr>
                <w:rFonts w:asciiTheme="majorHAnsi" w:hAnsiTheme="majorHAnsi" w:cstheme="majorHAnsi"/>
                <w:sz w:val="12"/>
                <w:szCs w:val="12"/>
                <w:lang w:val="es-ES"/>
              </w:rPr>
              <w:t xml:space="preserve"> </w:t>
            </w:r>
            <w:r w:rsidR="00061CBA" w:rsidRPr="00061CBA">
              <w:rPr>
                <w:rFonts w:asciiTheme="majorHAnsi" w:hAnsiTheme="majorHAnsi" w:cstheme="majorHAnsi"/>
                <w:sz w:val="12"/>
                <w:szCs w:val="12"/>
              </w:rPr>
              <w:t>[37]</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Hawkins et al (2013)</w:t>
            </w:r>
            <w:r w:rsidR="00061CBA">
              <w:rPr>
                <w:rFonts w:asciiTheme="majorHAnsi" w:hAnsiTheme="majorHAnsi" w:cstheme="majorHAnsi"/>
                <w:sz w:val="12"/>
                <w:szCs w:val="12"/>
                <w:lang w:val="es-ES"/>
              </w:rPr>
              <w:t xml:space="preserve"> </w:t>
            </w:r>
            <w:r w:rsidR="00061CBA" w:rsidRPr="00061CBA">
              <w:rPr>
                <w:rFonts w:asciiTheme="majorHAnsi" w:hAnsiTheme="majorHAnsi" w:cstheme="majorHAnsi"/>
                <w:sz w:val="12"/>
                <w:szCs w:val="12"/>
              </w:rPr>
              <w:t>[32]</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Heliker et al (2001)</w:t>
            </w:r>
            <w:r w:rsidR="00061CBA" w:rsidRPr="00061CBA">
              <w:rPr>
                <w:rFonts w:asciiTheme="majorHAnsi" w:hAnsiTheme="majorHAnsi" w:cstheme="majorHAnsi"/>
                <w:sz w:val="16"/>
                <w:szCs w:val="16"/>
              </w:rPr>
              <w:t xml:space="preserve"> </w:t>
            </w:r>
            <w:r w:rsidR="00061CBA" w:rsidRPr="00061CBA">
              <w:rPr>
                <w:rFonts w:asciiTheme="majorHAnsi" w:hAnsiTheme="majorHAnsi" w:cstheme="majorHAnsi"/>
                <w:sz w:val="12"/>
                <w:szCs w:val="12"/>
              </w:rPr>
              <w:t>[54]</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p w:rsidR="00F2150E" w:rsidRPr="00200B34" w:rsidRDefault="00F2150E" w:rsidP="008D32BC">
            <w:pPr>
              <w:jc w:val="center"/>
              <w:rPr>
                <w:rFonts w:asciiTheme="majorHAnsi" w:hAnsiTheme="majorHAnsi" w:cstheme="majorHAnsi"/>
                <w:sz w:val="12"/>
                <w:szCs w:val="12"/>
                <w:highlight w:val="yellow"/>
                <w:lang w:val="es-ES"/>
              </w:rPr>
            </w:pPr>
          </w:p>
        </w:tc>
        <w:tc>
          <w:tcPr>
            <w:tcW w:w="1134"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N</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295"/>
        </w:trPr>
        <w:tc>
          <w:tcPr>
            <w:tcW w:w="1668" w:type="dxa"/>
          </w:tcPr>
          <w:p w:rsidR="00F2150E" w:rsidRPr="00200B34" w:rsidRDefault="00F2150E" w:rsidP="001E1D58">
            <w:pPr>
              <w:rPr>
                <w:rFonts w:asciiTheme="majorHAnsi" w:hAnsiTheme="majorHAnsi" w:cstheme="majorHAnsi"/>
                <w:sz w:val="12"/>
                <w:szCs w:val="12"/>
                <w:lang w:val="es-ES"/>
              </w:rPr>
            </w:pPr>
            <w:r w:rsidRPr="00200B34">
              <w:rPr>
                <w:rFonts w:asciiTheme="majorHAnsi" w:hAnsiTheme="majorHAnsi" w:cstheme="majorHAnsi"/>
                <w:sz w:val="12"/>
                <w:szCs w:val="12"/>
                <w:lang w:val="es-ES"/>
              </w:rPr>
              <w:t>Hulko (2014)</w:t>
            </w:r>
            <w:r w:rsidR="00061CBA" w:rsidRPr="00061CBA">
              <w:rPr>
                <w:rFonts w:asciiTheme="majorHAnsi" w:hAnsiTheme="majorHAnsi" w:cstheme="majorHAnsi"/>
                <w:sz w:val="16"/>
                <w:szCs w:val="16"/>
              </w:rPr>
              <w:t xml:space="preserve"> </w:t>
            </w:r>
            <w:r w:rsidR="00061CBA" w:rsidRPr="00061CBA">
              <w:rPr>
                <w:rFonts w:asciiTheme="majorHAnsi" w:hAnsiTheme="majorHAnsi" w:cstheme="majorHAnsi"/>
                <w:sz w:val="12"/>
                <w:szCs w:val="12"/>
              </w:rPr>
              <w:t>[8</w:t>
            </w:r>
            <w:r w:rsidR="001E1D58">
              <w:rPr>
                <w:rFonts w:asciiTheme="majorHAnsi" w:hAnsiTheme="majorHAnsi" w:cstheme="majorHAnsi"/>
                <w:sz w:val="12"/>
                <w:szCs w:val="12"/>
              </w:rPr>
              <w:t>8</w:t>
            </w:r>
            <w:r w:rsidR="00061CBA" w:rsidRPr="00061CBA">
              <w:rPr>
                <w:rFonts w:asciiTheme="majorHAnsi" w:hAnsiTheme="majorHAnsi" w:cstheme="majorHAnsi"/>
                <w:sz w:val="12"/>
                <w:szCs w:val="12"/>
              </w:rPr>
              <w:t>]</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p w:rsidR="00F2150E" w:rsidRPr="00200B34" w:rsidRDefault="00F2150E" w:rsidP="008D32BC">
            <w:pPr>
              <w:jc w:val="center"/>
              <w:rPr>
                <w:rFonts w:asciiTheme="majorHAnsi" w:hAnsiTheme="majorHAnsi" w:cstheme="majorHAnsi"/>
                <w:sz w:val="12"/>
                <w:szCs w:val="12"/>
                <w:lang w:val="es-ES"/>
              </w:rPr>
            </w:pP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r>
      <w:tr w:rsidR="00F2150E" w:rsidRPr="00200B34" w:rsidTr="001E3800">
        <w:trPr>
          <w:trHeight w:val="295"/>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 xml:space="preserve">Jansen &amp; von Sadovszky (2004) </w:t>
            </w:r>
            <w:r w:rsidR="00061CBA" w:rsidRPr="00061CBA">
              <w:rPr>
                <w:rFonts w:asciiTheme="majorHAnsi" w:hAnsiTheme="majorHAnsi" w:cstheme="majorHAnsi"/>
                <w:sz w:val="12"/>
                <w:szCs w:val="12"/>
              </w:rPr>
              <w:t>[47]</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p w:rsidR="00F2150E" w:rsidRPr="00200B34" w:rsidRDefault="00F2150E" w:rsidP="008D32BC">
            <w:pPr>
              <w:jc w:val="center"/>
              <w:rPr>
                <w:rFonts w:asciiTheme="majorHAnsi" w:hAnsiTheme="majorHAnsi" w:cstheme="majorHAnsi"/>
                <w:sz w:val="12"/>
                <w:szCs w:val="12"/>
                <w:lang w:val="es-ES"/>
              </w:rPr>
            </w:pP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Lovering at al (2002)</w:t>
            </w:r>
            <w:r w:rsidR="001E1D58">
              <w:rPr>
                <w:rFonts w:asciiTheme="majorHAnsi" w:hAnsiTheme="majorHAnsi" w:cstheme="majorHAnsi"/>
                <w:sz w:val="12"/>
                <w:szCs w:val="12"/>
                <w:lang w:val="es-ES"/>
              </w:rPr>
              <w:t xml:space="preserve"> </w:t>
            </w:r>
            <w:r w:rsidR="001E1D58" w:rsidRPr="001E1D58">
              <w:rPr>
                <w:rFonts w:asciiTheme="majorHAnsi" w:hAnsiTheme="majorHAnsi" w:cstheme="majorHAnsi"/>
                <w:sz w:val="12"/>
                <w:szCs w:val="12"/>
              </w:rPr>
              <w:t>[51]</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p w:rsidR="00F2150E" w:rsidRPr="00200B34" w:rsidRDefault="00F2150E" w:rsidP="008D32BC">
            <w:pPr>
              <w:jc w:val="center"/>
              <w:rPr>
                <w:rFonts w:asciiTheme="majorHAnsi" w:hAnsiTheme="majorHAnsi" w:cstheme="majorHAnsi"/>
                <w:sz w:val="12"/>
                <w:szCs w:val="12"/>
                <w:lang w:val="es-ES"/>
              </w:rPr>
            </w:pP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McCaffrey et al (2010)</w:t>
            </w:r>
            <w:r w:rsidR="001E1D58">
              <w:rPr>
                <w:rFonts w:asciiTheme="majorHAnsi" w:hAnsiTheme="majorHAnsi" w:cstheme="majorHAnsi"/>
                <w:sz w:val="12"/>
                <w:szCs w:val="12"/>
                <w:lang w:val="es-ES"/>
              </w:rPr>
              <w:t xml:space="preserve"> </w:t>
            </w:r>
            <w:r w:rsidR="001E1D58" w:rsidRPr="001E1D58">
              <w:rPr>
                <w:rFonts w:asciiTheme="majorHAnsi" w:hAnsiTheme="majorHAnsi" w:cstheme="majorHAnsi"/>
                <w:sz w:val="12"/>
                <w:szCs w:val="12"/>
              </w:rPr>
              <w:t>[43]</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p w:rsidR="00F2150E" w:rsidRPr="00200B34" w:rsidRDefault="00F2150E" w:rsidP="008D32BC">
            <w:pPr>
              <w:jc w:val="center"/>
              <w:rPr>
                <w:rFonts w:asciiTheme="majorHAnsi" w:hAnsiTheme="majorHAnsi" w:cstheme="majorHAnsi"/>
                <w:sz w:val="12"/>
                <w:szCs w:val="12"/>
                <w:lang w:val="es-ES"/>
              </w:rPr>
            </w:pP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Mapes (2012)</w:t>
            </w:r>
            <w:r w:rsidR="001E1D58">
              <w:rPr>
                <w:rFonts w:asciiTheme="majorHAnsi" w:hAnsiTheme="majorHAnsi" w:cstheme="majorHAnsi"/>
                <w:sz w:val="12"/>
                <w:szCs w:val="12"/>
                <w:lang w:val="es-ES"/>
              </w:rPr>
              <w:t xml:space="preserve"> </w:t>
            </w:r>
            <w:r w:rsidR="001E1D58" w:rsidRPr="001E1D58">
              <w:rPr>
                <w:rFonts w:asciiTheme="majorHAnsi" w:hAnsiTheme="majorHAnsi" w:cstheme="majorHAnsi"/>
                <w:sz w:val="12"/>
                <w:szCs w:val="12"/>
              </w:rPr>
              <w:t>[45]</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p w:rsidR="00F2150E" w:rsidRPr="00200B34" w:rsidRDefault="00F2150E" w:rsidP="008D32BC">
            <w:pPr>
              <w:jc w:val="center"/>
              <w:rPr>
                <w:rFonts w:asciiTheme="majorHAnsi" w:hAnsiTheme="majorHAnsi" w:cstheme="majorHAnsi"/>
                <w:sz w:val="12"/>
                <w:szCs w:val="12"/>
                <w:lang w:val="es-ES"/>
              </w:rPr>
            </w:pP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Milligan et al (2004)</w:t>
            </w:r>
            <w:r w:rsidR="001E1D58" w:rsidRPr="001E1D58">
              <w:rPr>
                <w:rFonts w:asciiTheme="majorHAnsi" w:hAnsiTheme="majorHAnsi" w:cstheme="majorHAnsi"/>
                <w:sz w:val="16"/>
                <w:szCs w:val="16"/>
              </w:rPr>
              <w:t xml:space="preserve"> </w:t>
            </w:r>
            <w:r w:rsidR="001E1D58" w:rsidRPr="001E1D58">
              <w:rPr>
                <w:rFonts w:asciiTheme="majorHAnsi" w:hAnsiTheme="majorHAnsi" w:cstheme="majorHAnsi"/>
                <w:sz w:val="12"/>
                <w:szCs w:val="12"/>
              </w:rPr>
              <w:t>[24]</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lang w:val="es-ES"/>
              </w:rPr>
              <w:t>N</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Olsson et al (2013)</w:t>
            </w:r>
            <w:r w:rsidR="001E1D58" w:rsidRPr="001E1D58">
              <w:rPr>
                <w:rFonts w:asciiTheme="majorHAnsi" w:hAnsiTheme="majorHAnsi" w:cstheme="majorHAnsi"/>
                <w:sz w:val="16"/>
                <w:szCs w:val="16"/>
              </w:rPr>
              <w:t xml:space="preserve"> </w:t>
            </w:r>
            <w:r w:rsidR="001E1D58" w:rsidRPr="001E1D58">
              <w:rPr>
                <w:rFonts w:asciiTheme="majorHAnsi" w:hAnsiTheme="majorHAnsi" w:cstheme="majorHAnsi"/>
                <w:sz w:val="12"/>
                <w:szCs w:val="12"/>
              </w:rPr>
              <w:t>[33]</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CT</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p w:rsidR="00F2150E" w:rsidRPr="00200B34" w:rsidRDefault="00F2150E" w:rsidP="008D32BC">
            <w:pPr>
              <w:jc w:val="center"/>
              <w:rPr>
                <w:rFonts w:asciiTheme="majorHAnsi" w:hAnsiTheme="majorHAnsi" w:cstheme="majorHAnsi"/>
                <w:sz w:val="12"/>
                <w:szCs w:val="12"/>
                <w:lang w:val="es-ES"/>
              </w:rPr>
            </w:pP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 xml:space="preserve">Raske (2010) </w:t>
            </w:r>
            <w:r w:rsidR="001E1D58" w:rsidRPr="001E1D58">
              <w:rPr>
                <w:rFonts w:asciiTheme="majorHAnsi" w:hAnsiTheme="majorHAnsi" w:cstheme="majorHAnsi"/>
                <w:sz w:val="12"/>
                <w:szCs w:val="12"/>
              </w:rPr>
              <w:t>[42]</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3" w:type="dxa"/>
          </w:tcPr>
          <w:p w:rsidR="00F2150E" w:rsidRPr="00200B34" w:rsidRDefault="00F2150E" w:rsidP="008D32BC">
            <w:pPr>
              <w:jc w:val="center"/>
              <w:rPr>
                <w:rFonts w:asciiTheme="majorHAnsi" w:hAnsiTheme="majorHAnsi" w:cstheme="majorHAnsi"/>
                <w:sz w:val="12"/>
                <w:szCs w:val="12"/>
                <w:highlight w:val="yellow"/>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276"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2"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p w:rsidR="00F2150E" w:rsidRPr="00200B34" w:rsidRDefault="00F2150E" w:rsidP="008D32BC">
            <w:pPr>
              <w:jc w:val="center"/>
              <w:rPr>
                <w:rFonts w:asciiTheme="majorHAnsi" w:hAnsiTheme="majorHAnsi" w:cstheme="majorHAnsi"/>
                <w:sz w:val="12"/>
                <w:szCs w:val="12"/>
                <w:lang w:val="es-ES"/>
              </w:rPr>
            </w:pPr>
          </w:p>
        </w:tc>
        <w:tc>
          <w:tcPr>
            <w:tcW w:w="1134"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3"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Y</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lang w:val="es-ES"/>
              </w:rPr>
            </w:pPr>
            <w:r w:rsidRPr="00200B34">
              <w:rPr>
                <w:rFonts w:asciiTheme="majorHAnsi" w:hAnsiTheme="majorHAnsi" w:cstheme="majorHAnsi"/>
                <w:sz w:val="12"/>
                <w:szCs w:val="12"/>
                <w:lang w:val="es-ES"/>
              </w:rPr>
              <w:t>Rubinstein (1990)</w:t>
            </w:r>
            <w:r w:rsidR="001E1D58">
              <w:rPr>
                <w:rFonts w:asciiTheme="majorHAnsi" w:hAnsiTheme="majorHAnsi" w:cstheme="majorHAnsi"/>
                <w:sz w:val="12"/>
                <w:szCs w:val="12"/>
                <w:lang w:val="es-ES"/>
              </w:rPr>
              <w:t xml:space="preserve"> </w:t>
            </w:r>
            <w:r w:rsidR="001E1D58" w:rsidRPr="001E1D58">
              <w:rPr>
                <w:rFonts w:asciiTheme="majorHAnsi" w:hAnsiTheme="majorHAnsi" w:cstheme="majorHAnsi"/>
                <w:sz w:val="12"/>
                <w:szCs w:val="12"/>
              </w:rPr>
              <w:t>[40]</w:t>
            </w:r>
          </w:p>
        </w:tc>
        <w:tc>
          <w:tcPr>
            <w:tcW w:w="850" w:type="dxa"/>
          </w:tcPr>
          <w:p w:rsidR="00F2150E" w:rsidRPr="00200B34" w:rsidRDefault="00F2150E" w:rsidP="008D32BC">
            <w:pPr>
              <w:jc w:val="center"/>
              <w:rPr>
                <w:rFonts w:asciiTheme="majorHAnsi" w:hAnsiTheme="majorHAnsi" w:cstheme="majorHAnsi"/>
                <w:sz w:val="12"/>
                <w:szCs w:val="12"/>
                <w:lang w:val="es-ES"/>
              </w:rPr>
            </w:pPr>
            <w:r w:rsidRPr="00200B34">
              <w:rPr>
                <w:rFonts w:asciiTheme="majorHAnsi" w:hAnsiTheme="majorHAnsi" w:cstheme="majorHAnsi"/>
                <w:sz w:val="12"/>
                <w:szCs w:val="12"/>
                <w:lang w:val="es-ES"/>
              </w:rPr>
              <w:t>N</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rPr>
            </w:pPr>
            <w:r w:rsidRPr="00200B34">
              <w:rPr>
                <w:rFonts w:asciiTheme="majorHAnsi" w:hAnsiTheme="majorHAnsi" w:cstheme="majorHAnsi"/>
                <w:sz w:val="12"/>
                <w:szCs w:val="12"/>
              </w:rPr>
              <w:t xml:space="preserve">Scott et al (2014) </w:t>
            </w:r>
            <w:r w:rsidR="001E1D58" w:rsidRPr="001E1D58">
              <w:rPr>
                <w:rFonts w:asciiTheme="majorHAnsi" w:hAnsiTheme="majorHAnsi" w:cstheme="majorHAnsi"/>
                <w:sz w:val="12"/>
                <w:szCs w:val="12"/>
              </w:rPr>
              <w:t>[46]</w:t>
            </w:r>
          </w:p>
        </w:tc>
        <w:tc>
          <w:tcPr>
            <w:tcW w:w="850"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rPr>
            </w:pPr>
            <w:r w:rsidRPr="00200B34">
              <w:rPr>
                <w:rFonts w:asciiTheme="majorHAnsi" w:hAnsiTheme="majorHAnsi" w:cstheme="majorHAnsi"/>
                <w:sz w:val="12"/>
                <w:szCs w:val="12"/>
              </w:rPr>
              <w:lastRenderedPageBreak/>
              <w:t>Sim et al (2012)</w:t>
            </w:r>
            <w:r w:rsidR="001E1D58">
              <w:rPr>
                <w:rFonts w:asciiTheme="majorHAnsi" w:hAnsiTheme="majorHAnsi" w:cstheme="majorHAnsi"/>
                <w:sz w:val="12"/>
                <w:szCs w:val="12"/>
              </w:rPr>
              <w:t xml:space="preserve"> </w:t>
            </w:r>
            <w:r w:rsidR="001E1D58" w:rsidRPr="001E1D58">
              <w:rPr>
                <w:rFonts w:asciiTheme="majorHAnsi" w:hAnsiTheme="majorHAnsi" w:cstheme="majorHAnsi"/>
                <w:sz w:val="12"/>
                <w:szCs w:val="12"/>
              </w:rPr>
              <w:t>[57]</w:t>
            </w:r>
          </w:p>
        </w:tc>
        <w:tc>
          <w:tcPr>
            <w:tcW w:w="850"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rPr>
            </w:pPr>
            <w:r w:rsidRPr="00200B34">
              <w:rPr>
                <w:rFonts w:asciiTheme="majorHAnsi" w:hAnsiTheme="majorHAnsi" w:cstheme="majorHAnsi"/>
                <w:sz w:val="12"/>
                <w:szCs w:val="12"/>
              </w:rPr>
              <w:t>Walker &amp; Hiller (2007)</w:t>
            </w:r>
            <w:r w:rsidR="001E1D58">
              <w:rPr>
                <w:rFonts w:asciiTheme="majorHAnsi" w:hAnsiTheme="majorHAnsi" w:cstheme="majorHAnsi"/>
                <w:sz w:val="12"/>
                <w:szCs w:val="12"/>
              </w:rPr>
              <w:t xml:space="preserve"> </w:t>
            </w:r>
            <w:r w:rsidR="001E1D58" w:rsidRPr="001E1D58">
              <w:rPr>
                <w:rFonts w:asciiTheme="majorHAnsi" w:hAnsiTheme="majorHAnsi" w:cstheme="majorHAnsi"/>
                <w:sz w:val="12"/>
                <w:szCs w:val="12"/>
              </w:rPr>
              <w:t>[52]</w:t>
            </w:r>
          </w:p>
        </w:tc>
        <w:tc>
          <w:tcPr>
            <w:tcW w:w="850"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highlight w:val="yellow"/>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r>
      <w:tr w:rsidR="00F2150E" w:rsidRPr="00200B34" w:rsidTr="001E3800">
        <w:trPr>
          <w:trHeight w:val="309"/>
        </w:trPr>
        <w:tc>
          <w:tcPr>
            <w:tcW w:w="1668" w:type="dxa"/>
          </w:tcPr>
          <w:p w:rsidR="00F2150E" w:rsidRPr="00200B34" w:rsidRDefault="00F2150E" w:rsidP="008D32BC">
            <w:pPr>
              <w:rPr>
                <w:rFonts w:asciiTheme="majorHAnsi" w:hAnsiTheme="majorHAnsi" w:cstheme="majorHAnsi"/>
                <w:sz w:val="12"/>
                <w:szCs w:val="12"/>
              </w:rPr>
            </w:pPr>
            <w:r w:rsidRPr="00200B34">
              <w:rPr>
                <w:rFonts w:asciiTheme="majorHAnsi" w:hAnsiTheme="majorHAnsi" w:cstheme="majorHAnsi"/>
                <w:sz w:val="12"/>
                <w:szCs w:val="12"/>
              </w:rPr>
              <w:t>Wang &amp; Glicksman (2013)</w:t>
            </w:r>
            <w:r w:rsidR="00774EF5">
              <w:rPr>
                <w:rFonts w:asciiTheme="majorHAnsi" w:hAnsiTheme="majorHAnsi" w:cstheme="majorHAnsi"/>
                <w:sz w:val="12"/>
                <w:szCs w:val="12"/>
              </w:rPr>
              <w:t xml:space="preserve"> </w:t>
            </w:r>
            <w:r w:rsidR="00774EF5" w:rsidRPr="00774EF5">
              <w:rPr>
                <w:rFonts w:asciiTheme="majorHAnsi" w:hAnsiTheme="majorHAnsi" w:cstheme="majorHAnsi"/>
                <w:sz w:val="12"/>
                <w:szCs w:val="12"/>
              </w:rPr>
              <w:t>[48]</w:t>
            </w:r>
          </w:p>
        </w:tc>
        <w:tc>
          <w:tcPr>
            <w:tcW w:w="850"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276"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CT</w:t>
            </w:r>
          </w:p>
        </w:tc>
        <w:tc>
          <w:tcPr>
            <w:tcW w:w="992"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tc>
        <w:tc>
          <w:tcPr>
            <w:tcW w:w="1134"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Y</w:t>
            </w:r>
          </w:p>
          <w:p w:rsidR="00F2150E" w:rsidRPr="00200B34" w:rsidRDefault="00F2150E" w:rsidP="008D32BC">
            <w:pPr>
              <w:jc w:val="center"/>
              <w:rPr>
                <w:rFonts w:asciiTheme="majorHAnsi" w:hAnsiTheme="majorHAnsi" w:cstheme="majorHAnsi"/>
                <w:sz w:val="12"/>
                <w:szCs w:val="12"/>
              </w:rPr>
            </w:pPr>
          </w:p>
        </w:tc>
        <w:tc>
          <w:tcPr>
            <w:tcW w:w="1134" w:type="dxa"/>
          </w:tcPr>
          <w:p w:rsidR="00F2150E" w:rsidRPr="00200B34" w:rsidRDefault="00F2150E" w:rsidP="008D32BC">
            <w:pPr>
              <w:jc w:val="center"/>
              <w:rPr>
                <w:rFonts w:asciiTheme="majorHAnsi" w:hAnsiTheme="majorHAnsi" w:cstheme="majorHAnsi"/>
                <w:sz w:val="12"/>
                <w:szCs w:val="12"/>
                <w:highlight w:val="yellow"/>
              </w:rPr>
            </w:pPr>
            <w:r w:rsidRPr="00200B34">
              <w:rPr>
                <w:rFonts w:asciiTheme="majorHAnsi" w:hAnsiTheme="majorHAnsi" w:cstheme="majorHAnsi"/>
                <w:sz w:val="12"/>
                <w:szCs w:val="12"/>
              </w:rPr>
              <w:t>Y</w:t>
            </w:r>
          </w:p>
        </w:tc>
        <w:tc>
          <w:tcPr>
            <w:tcW w:w="993" w:type="dxa"/>
          </w:tcPr>
          <w:p w:rsidR="00F2150E" w:rsidRPr="00200B34" w:rsidRDefault="00F2150E" w:rsidP="008D32BC">
            <w:pPr>
              <w:jc w:val="center"/>
              <w:rPr>
                <w:rFonts w:asciiTheme="majorHAnsi" w:hAnsiTheme="majorHAnsi" w:cstheme="majorHAnsi"/>
                <w:sz w:val="12"/>
                <w:szCs w:val="12"/>
              </w:rPr>
            </w:pPr>
            <w:r w:rsidRPr="00200B34">
              <w:rPr>
                <w:rFonts w:asciiTheme="majorHAnsi" w:hAnsiTheme="majorHAnsi" w:cstheme="majorHAnsi"/>
                <w:sz w:val="12"/>
                <w:szCs w:val="12"/>
              </w:rPr>
              <w:t>N</w:t>
            </w:r>
          </w:p>
        </w:tc>
      </w:tr>
    </w:tbl>
    <w:p w:rsidR="00F2150E" w:rsidRPr="00DA79A7" w:rsidRDefault="00F2150E" w:rsidP="00F2150E">
      <w:pPr>
        <w:rPr>
          <w:rFonts w:asciiTheme="majorHAnsi" w:hAnsiTheme="majorHAnsi" w:cstheme="majorHAnsi"/>
          <w:sz w:val="16"/>
          <w:szCs w:val="16"/>
        </w:rPr>
      </w:pPr>
      <w:r>
        <w:rPr>
          <w:rFonts w:asciiTheme="majorHAnsi" w:hAnsiTheme="majorHAnsi" w:cstheme="majorHAnsi"/>
          <w:sz w:val="16"/>
          <w:szCs w:val="16"/>
        </w:rPr>
        <w:br/>
        <w:t>*</w:t>
      </w:r>
      <w:r w:rsidRPr="00DA79A7">
        <w:rPr>
          <w:rFonts w:asciiTheme="majorHAnsi" w:hAnsiTheme="majorHAnsi" w:cstheme="majorHAnsi"/>
          <w:sz w:val="16"/>
          <w:szCs w:val="16"/>
        </w:rPr>
        <w:t xml:space="preserve">Cannot tell </w:t>
      </w:r>
      <w:r>
        <w:rPr>
          <w:rFonts w:asciiTheme="majorHAnsi" w:hAnsiTheme="majorHAnsi" w:cstheme="majorHAnsi"/>
          <w:sz w:val="16"/>
          <w:szCs w:val="16"/>
        </w:rPr>
        <w:t xml:space="preserve">if Bhatti analysed the Directives </w:t>
      </w:r>
    </w:p>
    <w:p w:rsidR="00F2150E" w:rsidRPr="00DA79A7" w:rsidRDefault="00F2150E" w:rsidP="00F2150E">
      <w:pPr>
        <w:rPr>
          <w:rFonts w:asciiTheme="majorHAnsi" w:hAnsiTheme="majorHAnsi" w:cstheme="majorHAnsi"/>
          <w:sz w:val="16"/>
          <w:szCs w:val="16"/>
        </w:rPr>
      </w:pPr>
      <w:r>
        <w:rPr>
          <w:rFonts w:cstheme="minorHAnsi"/>
          <w:sz w:val="24"/>
        </w:rPr>
        <w:t>**</w:t>
      </w:r>
      <w:r>
        <w:rPr>
          <w:rFonts w:asciiTheme="majorHAnsi" w:hAnsiTheme="majorHAnsi" w:cstheme="majorHAnsi"/>
          <w:sz w:val="16"/>
          <w:szCs w:val="16"/>
        </w:rPr>
        <w:t xml:space="preserve">Two studies reported in one article. </w:t>
      </w:r>
    </w:p>
    <w:p w:rsidR="00F2150E" w:rsidRDefault="00F2150E" w:rsidP="00F2150E">
      <w:pPr>
        <w:spacing w:line="240" w:lineRule="auto"/>
        <w:rPr>
          <w:b/>
          <w:bCs/>
          <w:sz w:val="24"/>
        </w:rPr>
      </w:pPr>
    </w:p>
    <w:p w:rsidR="00F2150E" w:rsidRDefault="00F2150E" w:rsidP="00F2150E">
      <w:pPr>
        <w:spacing w:line="240" w:lineRule="auto"/>
        <w:rPr>
          <w:b/>
          <w:bCs/>
          <w:sz w:val="24"/>
        </w:rPr>
      </w:pPr>
    </w:p>
    <w:p w:rsidR="00F2150E" w:rsidRDefault="00F2150E" w:rsidP="00F2150E">
      <w:pPr>
        <w:spacing w:line="240" w:lineRule="auto"/>
        <w:rPr>
          <w:b/>
          <w:bCs/>
          <w:sz w:val="24"/>
        </w:rPr>
      </w:pPr>
    </w:p>
    <w:p w:rsidR="00F2150E" w:rsidRDefault="00F2150E" w:rsidP="00F2150E">
      <w:pPr>
        <w:spacing w:line="240" w:lineRule="auto"/>
        <w:rPr>
          <w:b/>
          <w:bCs/>
          <w:sz w:val="24"/>
        </w:rPr>
      </w:pPr>
    </w:p>
    <w:p w:rsidR="00F2150E" w:rsidRDefault="00F2150E" w:rsidP="00F2150E">
      <w:pPr>
        <w:spacing w:line="240" w:lineRule="auto"/>
        <w:rPr>
          <w:b/>
          <w:bCs/>
          <w:sz w:val="24"/>
        </w:rPr>
      </w:pPr>
    </w:p>
    <w:p w:rsidR="00F2150E" w:rsidRDefault="00F2150E" w:rsidP="00F2150E">
      <w:pPr>
        <w:spacing w:line="240" w:lineRule="auto"/>
        <w:rPr>
          <w:b/>
          <w:bCs/>
          <w:sz w:val="24"/>
        </w:rPr>
      </w:pPr>
    </w:p>
    <w:p w:rsidR="00F2150E" w:rsidRDefault="00F2150E" w:rsidP="00F2150E">
      <w:pPr>
        <w:spacing w:line="240" w:lineRule="auto"/>
        <w:rPr>
          <w:b/>
          <w:bCs/>
          <w:sz w:val="24"/>
        </w:rPr>
      </w:pPr>
    </w:p>
    <w:p w:rsidR="00F2150E" w:rsidRDefault="00F2150E" w:rsidP="00F2150E">
      <w:pPr>
        <w:spacing w:line="240" w:lineRule="auto"/>
        <w:rPr>
          <w:b/>
          <w:bCs/>
          <w:sz w:val="24"/>
        </w:rPr>
      </w:pPr>
    </w:p>
    <w:p w:rsidR="00F2150E" w:rsidRDefault="00F2150E" w:rsidP="00F2150E">
      <w:pPr>
        <w:rPr>
          <w:b/>
          <w:bCs/>
          <w:sz w:val="24"/>
        </w:rPr>
      </w:pPr>
      <w:r>
        <w:rPr>
          <w:b/>
          <w:bCs/>
          <w:sz w:val="24"/>
        </w:rPr>
        <w:br w:type="page"/>
      </w:r>
    </w:p>
    <w:p w:rsidR="00F2150E" w:rsidRPr="003245C0" w:rsidRDefault="00F2150E" w:rsidP="00F2150E">
      <w:pPr>
        <w:spacing w:line="240" w:lineRule="auto"/>
        <w:rPr>
          <w:b/>
          <w:bCs/>
          <w:sz w:val="20"/>
          <w:szCs w:val="20"/>
        </w:rPr>
      </w:pPr>
      <w:r w:rsidRPr="003245C0">
        <w:rPr>
          <w:b/>
          <w:bCs/>
          <w:sz w:val="20"/>
          <w:szCs w:val="20"/>
        </w:rPr>
        <w:lastRenderedPageBreak/>
        <w:t xml:space="preserve">Table </w:t>
      </w:r>
      <w:r w:rsidR="00C37D6C">
        <w:rPr>
          <w:b/>
          <w:bCs/>
          <w:sz w:val="20"/>
          <w:szCs w:val="20"/>
        </w:rPr>
        <w:t>S</w:t>
      </w:r>
      <w:r w:rsidRPr="003245C0">
        <w:rPr>
          <w:b/>
          <w:bCs/>
          <w:sz w:val="20"/>
          <w:szCs w:val="20"/>
        </w:rPr>
        <w:t xml:space="preserve">4. </w:t>
      </w:r>
      <w:r w:rsidRPr="00200B34">
        <w:rPr>
          <w:b/>
          <w:bCs/>
          <w:sz w:val="20"/>
          <w:szCs w:val="20"/>
        </w:rPr>
        <w:t>Summary of overarching themes</w:t>
      </w:r>
    </w:p>
    <w:tbl>
      <w:tblPr>
        <w:tblStyle w:val="TableGrid"/>
        <w:tblW w:w="13226" w:type="dxa"/>
        <w:tblLook w:val="04A0"/>
      </w:tblPr>
      <w:tblGrid>
        <w:gridCol w:w="2689"/>
        <w:gridCol w:w="1701"/>
        <w:gridCol w:w="2268"/>
        <w:gridCol w:w="876"/>
        <w:gridCol w:w="897"/>
        <w:gridCol w:w="885"/>
        <w:gridCol w:w="1957"/>
        <w:gridCol w:w="987"/>
        <w:gridCol w:w="966"/>
      </w:tblGrid>
      <w:tr w:rsidR="004E6912" w:rsidTr="004E6912">
        <w:tc>
          <w:tcPr>
            <w:tcW w:w="2689" w:type="dxa"/>
          </w:tcPr>
          <w:p w:rsidR="004E6912" w:rsidRPr="00D934EE" w:rsidRDefault="004E6912" w:rsidP="004E6912">
            <w:pPr>
              <w:jc w:val="center"/>
              <w:rPr>
                <w:b/>
                <w:bCs/>
                <w:sz w:val="16"/>
                <w:szCs w:val="16"/>
              </w:rPr>
            </w:pPr>
            <w:r w:rsidRPr="00D934EE">
              <w:rPr>
                <w:b/>
                <w:bCs/>
                <w:sz w:val="16"/>
                <w:szCs w:val="16"/>
              </w:rPr>
              <w:t>Authors</w:t>
            </w:r>
          </w:p>
        </w:tc>
        <w:tc>
          <w:tcPr>
            <w:tcW w:w="1701" w:type="dxa"/>
          </w:tcPr>
          <w:p w:rsidR="004E6912" w:rsidRPr="00D934EE" w:rsidRDefault="004E6912" w:rsidP="004E6912">
            <w:pPr>
              <w:jc w:val="center"/>
              <w:rPr>
                <w:b/>
                <w:bCs/>
                <w:sz w:val="16"/>
                <w:szCs w:val="16"/>
              </w:rPr>
            </w:pPr>
            <w:r w:rsidRPr="00D934EE">
              <w:rPr>
                <w:b/>
                <w:bCs/>
                <w:sz w:val="16"/>
                <w:szCs w:val="16"/>
              </w:rPr>
              <w:t>Description from ‘the window’</w:t>
            </w:r>
          </w:p>
        </w:tc>
        <w:tc>
          <w:tcPr>
            <w:tcW w:w="2268" w:type="dxa"/>
          </w:tcPr>
          <w:p w:rsidR="004E6912" w:rsidRPr="00D934EE" w:rsidRDefault="004E6912" w:rsidP="004E6912">
            <w:pPr>
              <w:jc w:val="center"/>
              <w:rPr>
                <w:b/>
                <w:bCs/>
                <w:sz w:val="16"/>
                <w:szCs w:val="16"/>
              </w:rPr>
            </w:pPr>
            <w:r w:rsidRPr="00D934EE">
              <w:rPr>
                <w:b/>
                <w:bCs/>
                <w:sz w:val="16"/>
                <w:szCs w:val="16"/>
              </w:rPr>
              <w:t>Des</w:t>
            </w:r>
            <w:r>
              <w:rPr>
                <w:b/>
                <w:bCs/>
                <w:sz w:val="16"/>
                <w:szCs w:val="16"/>
              </w:rPr>
              <w:t>criptions emphasising vision</w:t>
            </w:r>
          </w:p>
        </w:tc>
        <w:tc>
          <w:tcPr>
            <w:tcW w:w="2658" w:type="dxa"/>
            <w:gridSpan w:val="3"/>
          </w:tcPr>
          <w:p w:rsidR="004E6912" w:rsidRPr="00D934EE" w:rsidRDefault="004E6912" w:rsidP="004E6912">
            <w:pPr>
              <w:jc w:val="center"/>
              <w:rPr>
                <w:b/>
                <w:bCs/>
                <w:sz w:val="16"/>
                <w:szCs w:val="16"/>
              </w:rPr>
            </w:pPr>
            <w:r>
              <w:rPr>
                <w:b/>
                <w:bCs/>
                <w:sz w:val="16"/>
                <w:szCs w:val="16"/>
              </w:rPr>
              <w:t>Descriptions of ‘Being in Nature’</w:t>
            </w:r>
          </w:p>
        </w:tc>
        <w:tc>
          <w:tcPr>
            <w:tcW w:w="1957" w:type="dxa"/>
          </w:tcPr>
          <w:p w:rsidR="004E6912" w:rsidRPr="00D934EE" w:rsidRDefault="004E6912" w:rsidP="004E6912">
            <w:pPr>
              <w:jc w:val="center"/>
              <w:rPr>
                <w:b/>
                <w:bCs/>
                <w:sz w:val="16"/>
                <w:szCs w:val="16"/>
              </w:rPr>
            </w:pPr>
            <w:r w:rsidRPr="00D934EE">
              <w:rPr>
                <w:b/>
                <w:bCs/>
                <w:sz w:val="16"/>
                <w:szCs w:val="16"/>
              </w:rPr>
              <w:t>Descriptions of ‘Doing in Nature’</w:t>
            </w:r>
          </w:p>
        </w:tc>
        <w:tc>
          <w:tcPr>
            <w:tcW w:w="987" w:type="dxa"/>
          </w:tcPr>
          <w:p w:rsidR="004E6912" w:rsidRPr="00D934EE" w:rsidRDefault="004E6912" w:rsidP="004E6912">
            <w:pPr>
              <w:jc w:val="center"/>
              <w:rPr>
                <w:b/>
                <w:bCs/>
                <w:sz w:val="16"/>
                <w:szCs w:val="16"/>
              </w:rPr>
            </w:pPr>
            <w:r w:rsidRPr="00D934EE">
              <w:rPr>
                <w:b/>
                <w:bCs/>
                <w:sz w:val="16"/>
                <w:szCs w:val="16"/>
              </w:rPr>
              <w:t>Barriers</w:t>
            </w:r>
          </w:p>
        </w:tc>
        <w:tc>
          <w:tcPr>
            <w:tcW w:w="966" w:type="dxa"/>
          </w:tcPr>
          <w:p w:rsidR="004E6912" w:rsidRPr="00D934EE" w:rsidRDefault="004E6912" w:rsidP="004E6912">
            <w:pPr>
              <w:jc w:val="center"/>
              <w:rPr>
                <w:b/>
                <w:bCs/>
                <w:sz w:val="16"/>
                <w:szCs w:val="16"/>
              </w:rPr>
            </w:pPr>
            <w:r>
              <w:rPr>
                <w:b/>
                <w:bCs/>
                <w:sz w:val="16"/>
                <w:szCs w:val="16"/>
              </w:rPr>
              <w:t>Meanings</w:t>
            </w:r>
          </w:p>
        </w:tc>
      </w:tr>
      <w:tr w:rsidR="004E6912" w:rsidTr="004E6912">
        <w:tc>
          <w:tcPr>
            <w:tcW w:w="2689" w:type="dxa"/>
          </w:tcPr>
          <w:p w:rsidR="004E6912" w:rsidRDefault="004E6912" w:rsidP="004E6912">
            <w:pPr>
              <w:rPr>
                <w:b/>
                <w:bCs/>
                <w:sz w:val="24"/>
              </w:rPr>
            </w:pPr>
          </w:p>
        </w:tc>
        <w:tc>
          <w:tcPr>
            <w:tcW w:w="1701" w:type="dxa"/>
          </w:tcPr>
          <w:p w:rsidR="004E6912" w:rsidRDefault="004E6912" w:rsidP="004E6912">
            <w:pPr>
              <w:rPr>
                <w:b/>
                <w:bCs/>
                <w:sz w:val="24"/>
              </w:rPr>
            </w:pPr>
          </w:p>
        </w:tc>
        <w:tc>
          <w:tcPr>
            <w:tcW w:w="2268" w:type="dxa"/>
          </w:tcPr>
          <w:p w:rsidR="004E6912" w:rsidRDefault="004E6912" w:rsidP="004E6912">
            <w:pPr>
              <w:rPr>
                <w:b/>
                <w:bCs/>
                <w:sz w:val="24"/>
              </w:rPr>
            </w:pPr>
          </w:p>
        </w:tc>
        <w:tc>
          <w:tcPr>
            <w:tcW w:w="876" w:type="dxa"/>
          </w:tcPr>
          <w:p w:rsidR="004E6912" w:rsidRPr="00BB1130" w:rsidRDefault="004E6912" w:rsidP="004E6912">
            <w:pPr>
              <w:rPr>
                <w:b/>
                <w:bCs/>
                <w:sz w:val="16"/>
                <w:szCs w:val="16"/>
              </w:rPr>
            </w:pPr>
            <w:r>
              <w:rPr>
                <w:b/>
                <w:bCs/>
                <w:sz w:val="16"/>
                <w:szCs w:val="16"/>
              </w:rPr>
              <w:t xml:space="preserve">Fresh  air </w:t>
            </w:r>
          </w:p>
        </w:tc>
        <w:tc>
          <w:tcPr>
            <w:tcW w:w="897" w:type="dxa"/>
          </w:tcPr>
          <w:p w:rsidR="004E6912" w:rsidRPr="00BB1130" w:rsidRDefault="004E6912" w:rsidP="004E6912">
            <w:pPr>
              <w:rPr>
                <w:b/>
                <w:bCs/>
                <w:sz w:val="16"/>
                <w:szCs w:val="16"/>
              </w:rPr>
            </w:pPr>
            <w:r>
              <w:rPr>
                <w:b/>
                <w:bCs/>
                <w:sz w:val="16"/>
                <w:szCs w:val="16"/>
              </w:rPr>
              <w:t xml:space="preserve">Peace </w:t>
            </w:r>
          </w:p>
        </w:tc>
        <w:tc>
          <w:tcPr>
            <w:tcW w:w="885" w:type="dxa"/>
          </w:tcPr>
          <w:p w:rsidR="004E6912" w:rsidRDefault="004E6912" w:rsidP="004E6912">
            <w:pPr>
              <w:rPr>
                <w:b/>
                <w:bCs/>
                <w:sz w:val="16"/>
                <w:szCs w:val="16"/>
              </w:rPr>
            </w:pPr>
            <w:r>
              <w:rPr>
                <w:b/>
                <w:bCs/>
                <w:sz w:val="16"/>
                <w:szCs w:val="16"/>
              </w:rPr>
              <w:t>Social</w:t>
            </w:r>
          </w:p>
        </w:tc>
        <w:tc>
          <w:tcPr>
            <w:tcW w:w="1957" w:type="dxa"/>
          </w:tcPr>
          <w:p w:rsidR="004E6912" w:rsidRDefault="004E6912" w:rsidP="004E6912">
            <w:pPr>
              <w:rPr>
                <w:b/>
                <w:bCs/>
                <w:sz w:val="24"/>
              </w:rPr>
            </w:pPr>
          </w:p>
        </w:tc>
        <w:tc>
          <w:tcPr>
            <w:tcW w:w="987" w:type="dxa"/>
          </w:tcPr>
          <w:p w:rsidR="004E6912" w:rsidRDefault="004E6912" w:rsidP="004E6912">
            <w:pP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AE750F" w:rsidRDefault="004E6912" w:rsidP="004E6912">
            <w:pPr>
              <w:rPr>
                <w:rFonts w:asciiTheme="majorHAnsi" w:hAnsiTheme="majorHAnsi" w:cstheme="majorHAnsi"/>
                <w:sz w:val="16"/>
                <w:szCs w:val="16"/>
                <w:highlight w:val="yellow"/>
                <w:lang w:val="es-ES"/>
              </w:rPr>
            </w:pPr>
            <w:r w:rsidRPr="00200B34">
              <w:rPr>
                <w:rFonts w:asciiTheme="majorBidi" w:hAnsiTheme="majorBidi" w:cstheme="majorBidi"/>
                <w:sz w:val="16"/>
                <w:szCs w:val="16"/>
              </w:rPr>
              <w:t>Alves et  al (2006)</w:t>
            </w:r>
            <w:r>
              <w:rPr>
                <w:rFonts w:asciiTheme="majorBidi" w:hAnsiTheme="majorBidi" w:cstheme="majorBidi"/>
                <w:sz w:val="16"/>
                <w:szCs w:val="16"/>
              </w:rPr>
              <w:t xml:space="preserve"> </w:t>
            </w:r>
            <w:r>
              <w:rPr>
                <w:rFonts w:asciiTheme="majorHAnsi" w:hAnsiTheme="majorHAnsi" w:cstheme="majorHAnsi"/>
                <w:sz w:val="16"/>
                <w:szCs w:val="16"/>
              </w:rPr>
              <w:t>[41]</w:t>
            </w:r>
          </w:p>
        </w:tc>
        <w:tc>
          <w:tcPr>
            <w:tcW w:w="1701" w:type="dxa"/>
          </w:tcPr>
          <w:p w:rsidR="004E6912" w:rsidRDefault="004E6912" w:rsidP="004E6912">
            <w:pPr>
              <w:jc w:val="center"/>
              <w:rPr>
                <w:b/>
                <w:bCs/>
                <w:sz w:val="24"/>
              </w:rPr>
            </w:pPr>
            <w:r>
              <w:rPr>
                <w:b/>
                <w:bCs/>
                <w:sz w:val="24"/>
              </w:rPr>
              <w:sym w:font="Wingdings" w:char="F0FC"/>
            </w: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r>
              <w:rPr>
                <w:b/>
                <w:bCs/>
                <w:sz w:val="24"/>
              </w:rPr>
              <w:sym w:font="Wingdings" w:char="F0FC"/>
            </w: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lang w:val="es-ES"/>
              </w:rPr>
            </w:pPr>
            <w:r w:rsidRPr="00FA3569">
              <w:rPr>
                <w:rFonts w:asciiTheme="majorHAnsi" w:hAnsiTheme="majorHAnsi" w:cstheme="majorHAnsi"/>
                <w:sz w:val="16"/>
                <w:szCs w:val="16"/>
                <w:lang w:val="es-ES"/>
              </w:rPr>
              <w:t>Bengtsson &amp; Carlsson (2013)</w:t>
            </w:r>
            <w:r>
              <w:rPr>
                <w:rFonts w:asciiTheme="majorHAnsi" w:hAnsiTheme="majorHAnsi" w:cstheme="majorHAnsi"/>
                <w:sz w:val="16"/>
                <w:szCs w:val="16"/>
                <w:lang w:val="es-ES"/>
              </w:rPr>
              <w:t xml:space="preserve"> [39]</w:t>
            </w:r>
          </w:p>
        </w:tc>
        <w:tc>
          <w:tcPr>
            <w:tcW w:w="1701" w:type="dxa"/>
          </w:tcPr>
          <w:p w:rsidR="004E6912" w:rsidRDefault="004E6912" w:rsidP="004E6912">
            <w:pPr>
              <w:jc w:val="center"/>
              <w:rPr>
                <w:b/>
                <w:bCs/>
                <w:sz w:val="24"/>
              </w:rPr>
            </w:pPr>
            <w:r>
              <w:rPr>
                <w:b/>
                <w:bCs/>
                <w:sz w:val="24"/>
              </w:rPr>
              <w:sym w:font="Wingdings" w:char="F0FC"/>
            </w: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r>
              <w:rPr>
                <w:b/>
                <w:bCs/>
                <w:sz w:val="24"/>
              </w:rPr>
              <w:sym w:font="Wingdings" w:char="F0FC"/>
            </w: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r>
              <w:rPr>
                <w:b/>
                <w:bCs/>
                <w:sz w:val="24"/>
              </w:rPr>
              <w:sym w:font="Wingdings" w:char="F0FC"/>
            </w: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r>
              <w:rPr>
                <w:b/>
                <w:bCs/>
                <w:sz w:val="24"/>
              </w:rPr>
              <w:sym w:font="Wingdings" w:char="F0FC"/>
            </w:r>
          </w:p>
        </w:tc>
      </w:tr>
      <w:tr w:rsidR="004E6912" w:rsidTr="004E6912">
        <w:tc>
          <w:tcPr>
            <w:tcW w:w="2689" w:type="dxa"/>
          </w:tcPr>
          <w:p w:rsidR="004E6912" w:rsidRPr="00BA1D4C" w:rsidRDefault="004E6912" w:rsidP="004E6912">
            <w:pPr>
              <w:rPr>
                <w:rFonts w:asciiTheme="majorHAnsi" w:hAnsiTheme="majorHAnsi" w:cstheme="majorHAnsi"/>
                <w:sz w:val="16"/>
                <w:szCs w:val="16"/>
                <w:lang w:val="es-ES"/>
              </w:rPr>
            </w:pPr>
            <w:r w:rsidRPr="00BB1130">
              <w:rPr>
                <w:rFonts w:asciiTheme="majorHAnsi" w:hAnsiTheme="majorHAnsi" w:cstheme="majorHAnsi"/>
                <w:sz w:val="16"/>
                <w:szCs w:val="16"/>
                <w:lang w:val="es-ES"/>
              </w:rPr>
              <w:t>Bhatti (2006)</w:t>
            </w:r>
            <w:r>
              <w:rPr>
                <w:rFonts w:asciiTheme="majorHAnsi" w:hAnsiTheme="majorHAnsi" w:cstheme="majorHAnsi"/>
                <w:sz w:val="16"/>
                <w:szCs w:val="16"/>
                <w:lang w:val="es-ES"/>
              </w:rPr>
              <w:t xml:space="preserve"> </w:t>
            </w:r>
            <w:r>
              <w:rPr>
                <w:rFonts w:asciiTheme="majorHAnsi" w:hAnsiTheme="majorHAnsi" w:cstheme="majorHAnsi"/>
                <w:sz w:val="16"/>
                <w:szCs w:val="16"/>
              </w:rPr>
              <w:t>[44]</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BA1D4C" w:rsidRDefault="004E6912" w:rsidP="004E6912">
            <w:pPr>
              <w:rPr>
                <w:rFonts w:asciiTheme="majorHAnsi" w:hAnsiTheme="majorHAnsi" w:cstheme="majorHAnsi"/>
                <w:sz w:val="16"/>
                <w:szCs w:val="16"/>
                <w:lang w:val="es-ES"/>
              </w:rPr>
            </w:pPr>
            <w:r w:rsidRPr="00BB1130">
              <w:rPr>
                <w:rFonts w:asciiTheme="majorHAnsi" w:hAnsiTheme="majorHAnsi" w:cstheme="majorHAnsi"/>
                <w:sz w:val="16"/>
                <w:szCs w:val="16"/>
                <w:lang w:val="es-ES"/>
              </w:rPr>
              <w:t>Boyes (2013)</w:t>
            </w:r>
            <w:r>
              <w:rPr>
                <w:rFonts w:asciiTheme="majorHAnsi" w:hAnsiTheme="majorHAnsi" w:cstheme="majorHAnsi"/>
                <w:sz w:val="16"/>
                <w:szCs w:val="16"/>
                <w:lang w:val="es-ES"/>
              </w:rPr>
              <w:t xml:space="preserve"> </w:t>
            </w:r>
            <w:r>
              <w:rPr>
                <w:rFonts w:asciiTheme="majorHAnsi" w:hAnsiTheme="majorHAnsi" w:cstheme="majorHAnsi"/>
                <w:sz w:val="16"/>
                <w:szCs w:val="16"/>
              </w:rPr>
              <w:t>[53]</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Burton &amp; Sheehan (2010)</w:t>
            </w:r>
            <w:r>
              <w:rPr>
                <w:rFonts w:asciiTheme="majorHAnsi" w:hAnsiTheme="majorHAnsi" w:cstheme="majorHAnsi"/>
                <w:sz w:val="16"/>
                <w:szCs w:val="16"/>
              </w:rPr>
              <w:t xml:space="preserve"> [34]</w:t>
            </w:r>
          </w:p>
        </w:tc>
        <w:tc>
          <w:tcPr>
            <w:tcW w:w="1701" w:type="dxa"/>
          </w:tcPr>
          <w:p w:rsidR="004E6912" w:rsidRDefault="004E6912" w:rsidP="004E6912">
            <w:pPr>
              <w:jc w:val="center"/>
              <w:rPr>
                <w:b/>
                <w:bCs/>
                <w:sz w:val="24"/>
              </w:rPr>
            </w:pPr>
            <w:r>
              <w:rPr>
                <w:b/>
                <w:bCs/>
                <w:sz w:val="24"/>
              </w:rPr>
              <w:sym w:font="Wingdings" w:char="F0FC"/>
            </w: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BB1130">
              <w:rPr>
                <w:rFonts w:asciiTheme="majorHAnsi" w:hAnsiTheme="majorHAnsi" w:cstheme="majorHAnsi"/>
                <w:sz w:val="16"/>
                <w:szCs w:val="16"/>
              </w:rPr>
              <w:t>Butler &amp; Cohen (2010)</w:t>
            </w:r>
            <w:r>
              <w:rPr>
                <w:rFonts w:asciiTheme="majorHAnsi" w:hAnsiTheme="majorHAnsi" w:cstheme="majorHAnsi"/>
                <w:sz w:val="16"/>
                <w:szCs w:val="16"/>
              </w:rPr>
              <w:t xml:space="preserve"> [38]</w:t>
            </w:r>
          </w:p>
        </w:tc>
        <w:tc>
          <w:tcPr>
            <w:tcW w:w="1701" w:type="dxa"/>
          </w:tcPr>
          <w:p w:rsidR="004E6912" w:rsidRDefault="004E6912" w:rsidP="004E6912">
            <w:pPr>
              <w:jc w:val="center"/>
              <w:rPr>
                <w:b/>
                <w:bCs/>
                <w:sz w:val="24"/>
              </w:rPr>
            </w:pPr>
            <w:r>
              <w:rPr>
                <w:b/>
                <w:bCs/>
                <w:sz w:val="24"/>
              </w:rPr>
              <w:sym w:font="Wingdings" w:char="F0FC"/>
            </w: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r>
              <w:rPr>
                <w:b/>
                <w:bCs/>
                <w:sz w:val="24"/>
              </w:rPr>
              <w:sym w:font="Wingdings" w:char="F0FC"/>
            </w:r>
          </w:p>
        </w:tc>
        <w:tc>
          <w:tcPr>
            <w:tcW w:w="897" w:type="dxa"/>
          </w:tcPr>
          <w:p w:rsidR="004E6912" w:rsidRDefault="004E6912"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942D52" w:rsidRDefault="004E6912" w:rsidP="004E6912">
            <w:pPr>
              <w:rPr>
                <w:rFonts w:asciiTheme="majorHAnsi" w:hAnsiTheme="majorHAnsi" w:cstheme="majorHAnsi"/>
                <w:sz w:val="16"/>
                <w:szCs w:val="16"/>
                <w:lang w:val="es-ES"/>
              </w:rPr>
            </w:pPr>
            <w:r w:rsidRPr="00942D52">
              <w:rPr>
                <w:rFonts w:asciiTheme="majorHAnsi" w:hAnsiTheme="majorHAnsi" w:cstheme="majorHAnsi"/>
                <w:sz w:val="16"/>
                <w:szCs w:val="16"/>
                <w:lang w:val="es-ES"/>
              </w:rPr>
              <w:t>Day (2008)</w:t>
            </w:r>
            <w:r>
              <w:rPr>
                <w:rFonts w:asciiTheme="majorHAnsi" w:hAnsiTheme="majorHAnsi" w:cstheme="majorHAnsi"/>
                <w:sz w:val="16"/>
                <w:szCs w:val="16"/>
                <w:lang w:val="es-ES"/>
              </w:rPr>
              <w:t xml:space="preserve"> </w:t>
            </w:r>
            <w:r>
              <w:rPr>
                <w:rFonts w:asciiTheme="majorBidi" w:hAnsiTheme="majorBidi" w:cstheme="majorBidi"/>
                <w:sz w:val="16"/>
                <w:szCs w:val="16"/>
              </w:rPr>
              <w:t>[35]</w:t>
            </w:r>
          </w:p>
        </w:tc>
        <w:tc>
          <w:tcPr>
            <w:tcW w:w="1701" w:type="dxa"/>
          </w:tcPr>
          <w:p w:rsidR="004E6912" w:rsidRDefault="004E6912" w:rsidP="004E6912">
            <w:pPr>
              <w:jc w:val="center"/>
              <w:rPr>
                <w:b/>
                <w:bCs/>
                <w:sz w:val="24"/>
              </w:rPr>
            </w:pPr>
            <w:r>
              <w:rPr>
                <w:b/>
                <w:bCs/>
                <w:sz w:val="24"/>
              </w:rPr>
              <w:sym w:font="Wingdings" w:char="F0FC"/>
            </w: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r>
              <w:rPr>
                <w:b/>
                <w:bCs/>
                <w:sz w:val="24"/>
              </w:rPr>
              <w:sym w:font="Wingdings" w:char="F0FC"/>
            </w:r>
          </w:p>
        </w:tc>
        <w:tc>
          <w:tcPr>
            <w:tcW w:w="897" w:type="dxa"/>
          </w:tcPr>
          <w:p w:rsidR="004E6912" w:rsidRDefault="00763438"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942D52" w:rsidRDefault="004E6912" w:rsidP="004E6912">
            <w:pPr>
              <w:rPr>
                <w:rFonts w:asciiTheme="majorHAnsi" w:hAnsiTheme="majorHAnsi" w:cstheme="majorHAnsi"/>
                <w:sz w:val="16"/>
                <w:szCs w:val="16"/>
                <w:lang w:val="es-ES"/>
              </w:rPr>
            </w:pPr>
            <w:r w:rsidRPr="00942D52">
              <w:rPr>
                <w:rFonts w:asciiTheme="majorHAnsi" w:hAnsiTheme="majorHAnsi" w:cstheme="majorHAnsi"/>
                <w:sz w:val="16"/>
                <w:szCs w:val="16"/>
                <w:lang w:val="es-ES"/>
              </w:rPr>
              <w:t>Duggan et al (2008)</w:t>
            </w:r>
            <w:r>
              <w:rPr>
                <w:rFonts w:asciiTheme="majorHAnsi" w:hAnsiTheme="majorHAnsi" w:cstheme="majorHAnsi"/>
                <w:sz w:val="16"/>
                <w:szCs w:val="16"/>
                <w:lang w:val="es-ES"/>
              </w:rPr>
              <w:t xml:space="preserve"> </w:t>
            </w:r>
            <w:r>
              <w:rPr>
                <w:rFonts w:asciiTheme="majorHAnsi" w:hAnsiTheme="majorHAnsi" w:cstheme="majorHAnsi"/>
                <w:sz w:val="16"/>
                <w:szCs w:val="16"/>
              </w:rPr>
              <w:t>[49]</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r>
              <w:rPr>
                <w:b/>
                <w:bCs/>
                <w:sz w:val="24"/>
              </w:rPr>
              <w:sym w:font="Wingdings" w:char="F0FC"/>
            </w:r>
          </w:p>
        </w:tc>
        <w:tc>
          <w:tcPr>
            <w:tcW w:w="897" w:type="dxa"/>
          </w:tcPr>
          <w:p w:rsidR="004E6912" w:rsidRDefault="004E6912" w:rsidP="004E6912">
            <w:pPr>
              <w:jc w:val="center"/>
              <w:rPr>
                <w:b/>
                <w:bCs/>
                <w:sz w:val="24"/>
              </w:rPr>
            </w:pPr>
          </w:p>
        </w:tc>
        <w:tc>
          <w:tcPr>
            <w:tcW w:w="885" w:type="dxa"/>
          </w:tcPr>
          <w:p w:rsidR="004E6912" w:rsidRDefault="000D096F" w:rsidP="004E6912">
            <w:pPr>
              <w:jc w:val="center"/>
              <w:rPr>
                <w:b/>
                <w:bCs/>
                <w:sz w:val="24"/>
              </w:rPr>
            </w:pPr>
            <w:r>
              <w:rPr>
                <w:b/>
                <w:bCs/>
                <w:sz w:val="24"/>
              </w:rPr>
              <w:sym w:font="Wingdings" w:char="F0FC"/>
            </w:r>
          </w:p>
        </w:tc>
        <w:tc>
          <w:tcPr>
            <w:tcW w:w="1957" w:type="dxa"/>
          </w:tcPr>
          <w:p w:rsidR="004E6912" w:rsidRDefault="004E6912" w:rsidP="004E6912">
            <w:pPr>
              <w:jc w:val="center"/>
              <w:rPr>
                <w:b/>
                <w:bCs/>
                <w:sz w:val="24"/>
              </w:rPr>
            </w:pPr>
          </w:p>
        </w:tc>
        <w:tc>
          <w:tcPr>
            <w:tcW w:w="987" w:type="dxa"/>
          </w:tcPr>
          <w:p w:rsidR="004E6912" w:rsidRDefault="005E5E26"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Durvasula et al (2010)</w:t>
            </w:r>
            <w:r>
              <w:rPr>
                <w:rFonts w:asciiTheme="majorHAnsi" w:hAnsiTheme="majorHAnsi" w:cstheme="majorHAnsi"/>
                <w:sz w:val="16"/>
                <w:szCs w:val="16"/>
              </w:rPr>
              <w:t xml:space="preserve"> [50]</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r>
              <w:rPr>
                <w:b/>
                <w:bCs/>
                <w:sz w:val="24"/>
              </w:rPr>
              <w:sym w:font="Wingdings" w:char="F0FC"/>
            </w: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r>
              <w:rPr>
                <w:b/>
                <w:bCs/>
                <w:sz w:val="24"/>
              </w:rPr>
              <w:sym w:font="Wingdings" w:char="F0FC"/>
            </w: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BB1130">
              <w:rPr>
                <w:rFonts w:asciiTheme="majorHAnsi" w:hAnsiTheme="majorHAnsi" w:cstheme="majorHAnsi"/>
                <w:sz w:val="16"/>
                <w:szCs w:val="16"/>
              </w:rPr>
              <w:t>Edwards et al (2012)</w:t>
            </w:r>
            <w:r>
              <w:rPr>
                <w:rFonts w:asciiTheme="majorHAnsi" w:hAnsiTheme="majorHAnsi" w:cstheme="majorHAnsi"/>
                <w:sz w:val="16"/>
                <w:szCs w:val="16"/>
              </w:rPr>
              <w:t xml:space="preserve"> [87]</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r>
              <w:rPr>
                <w:b/>
                <w:bCs/>
                <w:sz w:val="24"/>
              </w:rPr>
              <w:sym w:font="Wingdings" w:char="F0FC"/>
            </w: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Gibson et al (2007)</w:t>
            </w:r>
            <w:r>
              <w:rPr>
                <w:rFonts w:asciiTheme="majorHAnsi" w:hAnsiTheme="majorHAnsi" w:cstheme="majorHAnsi"/>
                <w:sz w:val="16"/>
                <w:szCs w:val="16"/>
              </w:rPr>
              <w:t xml:space="preserve"> [36]</w:t>
            </w:r>
          </w:p>
        </w:tc>
        <w:tc>
          <w:tcPr>
            <w:tcW w:w="1701" w:type="dxa"/>
          </w:tcPr>
          <w:p w:rsidR="004E6912" w:rsidRDefault="004E6912" w:rsidP="004E6912">
            <w:pPr>
              <w:jc w:val="center"/>
              <w:rPr>
                <w:b/>
                <w:bCs/>
                <w:sz w:val="24"/>
              </w:rPr>
            </w:pPr>
            <w:r>
              <w:rPr>
                <w:b/>
                <w:bCs/>
                <w:sz w:val="24"/>
              </w:rPr>
              <w:sym w:font="Wingdings" w:char="F0FC"/>
            </w: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r>
              <w:rPr>
                <w:b/>
                <w:bCs/>
                <w:sz w:val="24"/>
              </w:rPr>
              <w:sym w:font="Wingdings" w:char="F0FC"/>
            </w: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Pr>
                <w:rFonts w:asciiTheme="majorHAnsi" w:hAnsiTheme="majorHAnsi" w:cstheme="majorHAnsi"/>
                <w:sz w:val="16"/>
                <w:szCs w:val="16"/>
              </w:rPr>
              <w:t>Hassink e</w:t>
            </w:r>
            <w:r w:rsidRPr="00FA3569">
              <w:rPr>
                <w:rFonts w:asciiTheme="majorHAnsi" w:hAnsiTheme="majorHAnsi" w:cstheme="majorHAnsi"/>
                <w:sz w:val="16"/>
                <w:szCs w:val="16"/>
              </w:rPr>
              <w:t>t al (2010)</w:t>
            </w:r>
            <w:r>
              <w:rPr>
                <w:rFonts w:asciiTheme="majorHAnsi" w:hAnsiTheme="majorHAnsi" w:cstheme="majorHAnsi"/>
                <w:sz w:val="16"/>
                <w:szCs w:val="16"/>
              </w:rPr>
              <w:t xml:space="preserve"> [37]</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Hawkins et al (2013)</w:t>
            </w:r>
            <w:r>
              <w:rPr>
                <w:rFonts w:asciiTheme="majorHAnsi" w:hAnsiTheme="majorHAnsi" w:cstheme="majorHAnsi"/>
                <w:sz w:val="16"/>
                <w:szCs w:val="16"/>
              </w:rPr>
              <w:t xml:space="preserve"> [32]</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0D096F" w:rsidP="004E6912">
            <w:pPr>
              <w:jc w:val="center"/>
              <w:rPr>
                <w:b/>
                <w:bCs/>
                <w:sz w:val="24"/>
              </w:rPr>
            </w:pPr>
            <w:r>
              <w:rPr>
                <w:b/>
                <w:bCs/>
                <w:sz w:val="24"/>
              </w:rPr>
              <w:sym w:font="Wingdings" w:char="F0FC"/>
            </w:r>
          </w:p>
        </w:tc>
        <w:tc>
          <w:tcPr>
            <w:tcW w:w="897" w:type="dxa"/>
          </w:tcPr>
          <w:p w:rsidR="004E6912" w:rsidRDefault="004E6912"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Heliker et al (2001)</w:t>
            </w:r>
            <w:r>
              <w:rPr>
                <w:rFonts w:asciiTheme="majorHAnsi" w:hAnsiTheme="majorHAnsi" w:cstheme="majorHAnsi"/>
                <w:sz w:val="16"/>
                <w:szCs w:val="16"/>
              </w:rPr>
              <w:t xml:space="preserve"> [54]</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r>
              <w:rPr>
                <w:b/>
                <w:bCs/>
                <w:sz w:val="24"/>
              </w:rPr>
              <w:sym w:font="Wingdings" w:char="F0FC"/>
            </w: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BB1130">
              <w:rPr>
                <w:rFonts w:asciiTheme="majorHAnsi" w:hAnsiTheme="majorHAnsi" w:cstheme="majorHAnsi"/>
                <w:sz w:val="16"/>
                <w:szCs w:val="16"/>
              </w:rPr>
              <w:t>Hulko (2014)</w:t>
            </w:r>
            <w:r>
              <w:rPr>
                <w:rFonts w:asciiTheme="majorHAnsi" w:hAnsiTheme="majorHAnsi" w:cstheme="majorHAnsi"/>
                <w:sz w:val="16"/>
                <w:szCs w:val="16"/>
              </w:rPr>
              <w:t xml:space="preserve"> [88]</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r>
              <w:rPr>
                <w:b/>
                <w:bCs/>
                <w:sz w:val="24"/>
              </w:rPr>
              <w:sym w:font="Wingdings" w:char="F0FC"/>
            </w: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 xml:space="preserve">Jansen &amp; von Sadovszky (2004) </w:t>
            </w:r>
            <w:r>
              <w:rPr>
                <w:rFonts w:asciiTheme="majorHAnsi" w:hAnsiTheme="majorHAnsi" w:cstheme="majorHAnsi"/>
                <w:sz w:val="16"/>
                <w:szCs w:val="16"/>
              </w:rPr>
              <w:t>[47]</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r>
              <w:rPr>
                <w:b/>
                <w:bCs/>
                <w:sz w:val="24"/>
              </w:rPr>
              <w:sym w:font="Wingdings" w:char="F0FC"/>
            </w:r>
          </w:p>
        </w:tc>
      </w:tr>
      <w:tr w:rsidR="004E6912" w:rsidTr="004E6912">
        <w:tc>
          <w:tcPr>
            <w:tcW w:w="2689" w:type="dxa"/>
          </w:tcPr>
          <w:p w:rsidR="004E6912" w:rsidRPr="00F47A7C" w:rsidRDefault="004E6912" w:rsidP="004E6912">
            <w:pPr>
              <w:rPr>
                <w:rFonts w:asciiTheme="majorHAnsi" w:hAnsiTheme="majorHAnsi" w:cstheme="majorHAnsi"/>
                <w:sz w:val="16"/>
                <w:szCs w:val="16"/>
                <w:lang w:val="es-ES"/>
              </w:rPr>
            </w:pPr>
            <w:r w:rsidRPr="00F47A7C">
              <w:rPr>
                <w:rFonts w:asciiTheme="majorHAnsi" w:hAnsiTheme="majorHAnsi" w:cstheme="majorHAnsi"/>
                <w:sz w:val="16"/>
                <w:szCs w:val="16"/>
                <w:lang w:val="es-ES"/>
              </w:rPr>
              <w:t>Lovering at al (2002)</w:t>
            </w:r>
            <w:r>
              <w:rPr>
                <w:rFonts w:asciiTheme="majorHAnsi" w:hAnsiTheme="majorHAnsi" w:cstheme="majorHAnsi"/>
                <w:sz w:val="16"/>
                <w:szCs w:val="16"/>
                <w:lang w:val="es-ES"/>
              </w:rPr>
              <w:t xml:space="preserve"> </w:t>
            </w:r>
            <w:r>
              <w:rPr>
                <w:rFonts w:asciiTheme="majorHAnsi" w:hAnsiTheme="majorHAnsi" w:cstheme="majorHAnsi"/>
                <w:sz w:val="16"/>
                <w:szCs w:val="16"/>
              </w:rPr>
              <w:t>[51]</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r>
              <w:rPr>
                <w:b/>
                <w:bCs/>
                <w:sz w:val="24"/>
              </w:rPr>
              <w:sym w:font="Wingdings" w:char="F0FC"/>
            </w: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F47A7C" w:rsidRDefault="004E6912" w:rsidP="004E6912">
            <w:pPr>
              <w:rPr>
                <w:rFonts w:asciiTheme="majorHAnsi" w:hAnsiTheme="majorHAnsi" w:cstheme="majorHAnsi"/>
                <w:sz w:val="16"/>
                <w:szCs w:val="16"/>
                <w:lang w:val="es-ES"/>
              </w:rPr>
            </w:pPr>
            <w:r w:rsidRPr="00F47A7C">
              <w:rPr>
                <w:rFonts w:asciiTheme="majorHAnsi" w:hAnsiTheme="majorHAnsi" w:cstheme="majorHAnsi"/>
                <w:sz w:val="16"/>
                <w:szCs w:val="16"/>
                <w:lang w:val="es-ES"/>
              </w:rPr>
              <w:t>McCaffrey et al (2010)</w:t>
            </w:r>
            <w:r>
              <w:rPr>
                <w:rFonts w:asciiTheme="majorHAnsi" w:hAnsiTheme="majorHAnsi" w:cstheme="majorHAnsi"/>
                <w:sz w:val="16"/>
                <w:szCs w:val="16"/>
                <w:lang w:val="es-ES"/>
              </w:rPr>
              <w:t xml:space="preserve"> </w:t>
            </w:r>
            <w:r>
              <w:rPr>
                <w:rFonts w:asciiTheme="majorHAnsi" w:hAnsiTheme="majorHAnsi" w:cstheme="majorHAnsi"/>
                <w:sz w:val="16"/>
                <w:szCs w:val="16"/>
              </w:rPr>
              <w:t>[43]</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r>
              <w:rPr>
                <w:b/>
                <w:bCs/>
                <w:sz w:val="24"/>
              </w:rPr>
              <w:sym w:font="Wingdings" w:char="F0FC"/>
            </w:r>
          </w:p>
        </w:tc>
      </w:tr>
      <w:tr w:rsidR="004E6912" w:rsidTr="004E6912">
        <w:tc>
          <w:tcPr>
            <w:tcW w:w="2689" w:type="dxa"/>
          </w:tcPr>
          <w:p w:rsidR="004E6912" w:rsidRPr="00F47A7C" w:rsidRDefault="004E6912" w:rsidP="004E6912">
            <w:pPr>
              <w:rPr>
                <w:rFonts w:asciiTheme="majorHAnsi" w:hAnsiTheme="majorHAnsi" w:cstheme="majorHAnsi"/>
                <w:sz w:val="16"/>
                <w:szCs w:val="16"/>
                <w:lang w:val="es-ES"/>
              </w:rPr>
            </w:pPr>
            <w:r w:rsidRPr="00BB1130">
              <w:rPr>
                <w:rFonts w:asciiTheme="majorHAnsi" w:hAnsiTheme="majorHAnsi" w:cstheme="majorHAnsi"/>
                <w:sz w:val="16"/>
                <w:szCs w:val="16"/>
                <w:lang w:val="es-ES"/>
              </w:rPr>
              <w:t>Mapes (2012)</w:t>
            </w:r>
            <w:r>
              <w:rPr>
                <w:rFonts w:asciiTheme="majorHAnsi" w:hAnsiTheme="majorHAnsi" w:cstheme="majorHAnsi"/>
                <w:sz w:val="16"/>
                <w:szCs w:val="16"/>
                <w:lang w:val="es-ES"/>
              </w:rPr>
              <w:t xml:space="preserve"> </w:t>
            </w:r>
            <w:r>
              <w:rPr>
                <w:rFonts w:asciiTheme="majorHAnsi" w:hAnsiTheme="majorHAnsi" w:cstheme="majorHAnsi"/>
                <w:sz w:val="16"/>
                <w:szCs w:val="16"/>
              </w:rPr>
              <w:t>[45]</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r>
              <w:rPr>
                <w:b/>
                <w:bCs/>
                <w:sz w:val="24"/>
              </w:rPr>
              <w:sym w:font="Wingdings" w:char="F0FC"/>
            </w: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47A7C">
              <w:rPr>
                <w:rFonts w:asciiTheme="majorHAnsi" w:hAnsiTheme="majorHAnsi" w:cstheme="majorHAnsi"/>
                <w:sz w:val="16"/>
                <w:szCs w:val="16"/>
                <w:lang w:val="es-ES"/>
              </w:rPr>
              <w:t>Milligan et a</w:t>
            </w:r>
            <w:r w:rsidRPr="00FA3569">
              <w:rPr>
                <w:rFonts w:asciiTheme="majorHAnsi" w:hAnsiTheme="majorHAnsi" w:cstheme="majorHAnsi"/>
                <w:sz w:val="16"/>
                <w:szCs w:val="16"/>
              </w:rPr>
              <w:t>l (2004)</w:t>
            </w:r>
            <w:r>
              <w:rPr>
                <w:rFonts w:asciiTheme="majorHAnsi" w:hAnsiTheme="majorHAnsi" w:cstheme="majorHAnsi"/>
                <w:sz w:val="16"/>
                <w:szCs w:val="16"/>
              </w:rPr>
              <w:t xml:space="preserve"> [24]</w:t>
            </w:r>
          </w:p>
        </w:tc>
        <w:tc>
          <w:tcPr>
            <w:tcW w:w="1701" w:type="dxa"/>
          </w:tcPr>
          <w:p w:rsidR="004E6912" w:rsidRDefault="004E6912" w:rsidP="004E6912">
            <w:pPr>
              <w:jc w:val="center"/>
              <w:rPr>
                <w:b/>
                <w:bCs/>
                <w:sz w:val="24"/>
              </w:rPr>
            </w:pPr>
            <w:r>
              <w:rPr>
                <w:b/>
                <w:bCs/>
                <w:sz w:val="24"/>
              </w:rPr>
              <w:sym w:font="Wingdings" w:char="F0FC"/>
            </w: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Olsson et al (2013)</w:t>
            </w:r>
            <w:r>
              <w:rPr>
                <w:rFonts w:asciiTheme="majorHAnsi" w:hAnsiTheme="majorHAnsi" w:cstheme="majorHAnsi"/>
                <w:sz w:val="16"/>
                <w:szCs w:val="16"/>
              </w:rPr>
              <w:t xml:space="preserve"> [33]</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r>
              <w:rPr>
                <w:b/>
                <w:bCs/>
                <w:sz w:val="24"/>
              </w:rPr>
              <w:sym w:font="Wingdings" w:char="F0FC"/>
            </w: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r>
              <w:rPr>
                <w:b/>
                <w:bCs/>
                <w:sz w:val="24"/>
              </w:rPr>
              <w:sym w:font="Wingdings" w:char="F0FC"/>
            </w: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 xml:space="preserve">Raske (2010) </w:t>
            </w:r>
            <w:r>
              <w:rPr>
                <w:rFonts w:asciiTheme="majorHAnsi" w:hAnsiTheme="majorHAnsi" w:cstheme="majorHAnsi"/>
                <w:sz w:val="16"/>
                <w:szCs w:val="16"/>
              </w:rPr>
              <w:t>[42]</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r>
              <w:rPr>
                <w:b/>
                <w:bCs/>
                <w:sz w:val="24"/>
              </w:rPr>
              <w:sym w:font="Wingdings" w:char="F0FC"/>
            </w:r>
          </w:p>
        </w:tc>
        <w:tc>
          <w:tcPr>
            <w:tcW w:w="1957" w:type="dxa"/>
          </w:tcPr>
          <w:p w:rsidR="004E6912" w:rsidRDefault="006D756A"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r>
              <w:rPr>
                <w:b/>
                <w:bCs/>
                <w:sz w:val="24"/>
              </w:rPr>
              <w:sym w:font="Wingdings" w:char="F0FC"/>
            </w: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Rubinstein</w:t>
            </w:r>
            <w:r>
              <w:rPr>
                <w:rFonts w:asciiTheme="majorHAnsi" w:hAnsiTheme="majorHAnsi" w:cstheme="majorHAnsi"/>
                <w:sz w:val="16"/>
                <w:szCs w:val="16"/>
              </w:rPr>
              <w:t xml:space="preserve"> (1990) [40]</w:t>
            </w:r>
          </w:p>
        </w:tc>
        <w:tc>
          <w:tcPr>
            <w:tcW w:w="1701" w:type="dxa"/>
          </w:tcPr>
          <w:p w:rsidR="004E6912" w:rsidRDefault="004E6912" w:rsidP="004E6912">
            <w:pPr>
              <w:jc w:val="center"/>
              <w:rPr>
                <w:b/>
                <w:bCs/>
                <w:sz w:val="24"/>
              </w:rPr>
            </w:pPr>
            <w:r>
              <w:rPr>
                <w:b/>
                <w:bCs/>
                <w:sz w:val="24"/>
              </w:rPr>
              <w:sym w:font="Wingdings" w:char="F0FC"/>
            </w: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r>
              <w:rPr>
                <w:b/>
                <w:bCs/>
                <w:sz w:val="24"/>
              </w:rPr>
              <w:sym w:font="Wingdings" w:char="F0FC"/>
            </w: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Scott et al (2014)</w:t>
            </w:r>
            <w:r>
              <w:rPr>
                <w:rFonts w:asciiTheme="majorHAnsi" w:hAnsiTheme="majorHAnsi" w:cstheme="majorHAnsi"/>
                <w:sz w:val="16"/>
                <w:szCs w:val="16"/>
              </w:rPr>
              <w:t xml:space="preserve"> [46]</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D0107" w:rsidP="004E6912">
            <w:pPr>
              <w:jc w:val="center"/>
              <w:rPr>
                <w:b/>
                <w:bCs/>
                <w:sz w:val="24"/>
              </w:rPr>
            </w:pPr>
            <w:r>
              <w:rPr>
                <w:b/>
                <w:bCs/>
                <w:sz w:val="24"/>
              </w:rPr>
              <w:sym w:font="Wingdings" w:char="F0FC"/>
            </w:r>
            <w:bookmarkStart w:id="0" w:name="_GoBack"/>
            <w:bookmarkEnd w:id="0"/>
          </w:p>
        </w:tc>
      </w:tr>
      <w:tr w:rsidR="004E6912" w:rsidTr="004E6912">
        <w:tc>
          <w:tcPr>
            <w:tcW w:w="2689" w:type="dxa"/>
          </w:tcPr>
          <w:p w:rsidR="004E6912" w:rsidRPr="00FA3569" w:rsidRDefault="004E6912" w:rsidP="004E6912">
            <w:pPr>
              <w:rPr>
                <w:rFonts w:asciiTheme="majorHAnsi" w:hAnsiTheme="majorHAnsi" w:cstheme="majorHAnsi"/>
                <w:sz w:val="16"/>
                <w:szCs w:val="16"/>
              </w:rPr>
            </w:pPr>
            <w:r>
              <w:rPr>
                <w:rFonts w:asciiTheme="majorHAnsi" w:hAnsiTheme="majorHAnsi" w:cstheme="majorHAnsi"/>
                <w:sz w:val="16"/>
                <w:szCs w:val="16"/>
              </w:rPr>
              <w:t>Sim e</w:t>
            </w:r>
            <w:r w:rsidRPr="00FA3569">
              <w:rPr>
                <w:rFonts w:asciiTheme="majorHAnsi" w:hAnsiTheme="majorHAnsi" w:cstheme="majorHAnsi"/>
                <w:sz w:val="16"/>
                <w:szCs w:val="16"/>
              </w:rPr>
              <w:t>t al (2012)</w:t>
            </w:r>
            <w:r>
              <w:rPr>
                <w:rFonts w:asciiTheme="majorHAnsi" w:hAnsiTheme="majorHAnsi" w:cstheme="majorHAnsi"/>
                <w:sz w:val="16"/>
                <w:szCs w:val="16"/>
              </w:rPr>
              <w:t xml:space="preserve"> [57]</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r>
              <w:rPr>
                <w:b/>
                <w:bCs/>
                <w:sz w:val="24"/>
              </w:rPr>
              <w:sym w:font="Wingdings" w:char="F0FC"/>
            </w: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Walker &amp; Hiller (2007)</w:t>
            </w:r>
            <w:r>
              <w:rPr>
                <w:rFonts w:asciiTheme="majorHAnsi" w:hAnsiTheme="majorHAnsi" w:cstheme="majorHAnsi"/>
                <w:sz w:val="16"/>
                <w:szCs w:val="16"/>
              </w:rPr>
              <w:t xml:space="preserve"> [52]</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p>
        </w:tc>
        <w:tc>
          <w:tcPr>
            <w:tcW w:w="876" w:type="dxa"/>
          </w:tcPr>
          <w:p w:rsidR="004E6912" w:rsidRDefault="004E6912" w:rsidP="004E6912">
            <w:pPr>
              <w:jc w:val="center"/>
              <w:rPr>
                <w:b/>
                <w:bCs/>
                <w:sz w:val="24"/>
              </w:rPr>
            </w:pPr>
          </w:p>
        </w:tc>
        <w:tc>
          <w:tcPr>
            <w:tcW w:w="897" w:type="dxa"/>
          </w:tcPr>
          <w:p w:rsidR="004E6912" w:rsidRDefault="00DD2169"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r w:rsidR="004E6912" w:rsidTr="004E6912">
        <w:tc>
          <w:tcPr>
            <w:tcW w:w="2689" w:type="dxa"/>
          </w:tcPr>
          <w:p w:rsidR="004E6912" w:rsidRPr="00FA3569" w:rsidRDefault="004E6912" w:rsidP="004E6912">
            <w:pPr>
              <w:rPr>
                <w:rFonts w:asciiTheme="majorHAnsi" w:hAnsiTheme="majorHAnsi" w:cstheme="majorHAnsi"/>
                <w:sz w:val="16"/>
                <w:szCs w:val="16"/>
              </w:rPr>
            </w:pPr>
            <w:r w:rsidRPr="00FA3569">
              <w:rPr>
                <w:rFonts w:asciiTheme="majorHAnsi" w:hAnsiTheme="majorHAnsi" w:cstheme="majorHAnsi"/>
                <w:sz w:val="16"/>
                <w:szCs w:val="16"/>
              </w:rPr>
              <w:t>Wang &amp; Glicksman (2013)</w:t>
            </w:r>
            <w:r>
              <w:rPr>
                <w:rFonts w:asciiTheme="majorHAnsi" w:hAnsiTheme="majorHAnsi" w:cstheme="majorHAnsi"/>
                <w:sz w:val="16"/>
                <w:szCs w:val="16"/>
              </w:rPr>
              <w:t xml:space="preserve"> [48]</w:t>
            </w:r>
          </w:p>
        </w:tc>
        <w:tc>
          <w:tcPr>
            <w:tcW w:w="1701" w:type="dxa"/>
          </w:tcPr>
          <w:p w:rsidR="004E6912" w:rsidRDefault="004E6912" w:rsidP="004E6912">
            <w:pPr>
              <w:jc w:val="center"/>
              <w:rPr>
                <w:b/>
                <w:bCs/>
                <w:sz w:val="24"/>
              </w:rPr>
            </w:pPr>
          </w:p>
        </w:tc>
        <w:tc>
          <w:tcPr>
            <w:tcW w:w="2268" w:type="dxa"/>
          </w:tcPr>
          <w:p w:rsidR="004E6912" w:rsidRDefault="004E6912" w:rsidP="004E6912">
            <w:pPr>
              <w:jc w:val="center"/>
              <w:rPr>
                <w:b/>
                <w:bCs/>
                <w:sz w:val="24"/>
              </w:rPr>
            </w:pPr>
            <w:r>
              <w:rPr>
                <w:b/>
                <w:bCs/>
                <w:sz w:val="24"/>
              </w:rPr>
              <w:sym w:font="Wingdings" w:char="F0FC"/>
            </w:r>
          </w:p>
        </w:tc>
        <w:tc>
          <w:tcPr>
            <w:tcW w:w="876" w:type="dxa"/>
          </w:tcPr>
          <w:p w:rsidR="004E6912" w:rsidRDefault="004E6912" w:rsidP="004E6912">
            <w:pPr>
              <w:jc w:val="center"/>
              <w:rPr>
                <w:b/>
                <w:bCs/>
                <w:sz w:val="24"/>
              </w:rPr>
            </w:pPr>
          </w:p>
        </w:tc>
        <w:tc>
          <w:tcPr>
            <w:tcW w:w="897" w:type="dxa"/>
          </w:tcPr>
          <w:p w:rsidR="004E6912" w:rsidRDefault="004E6912" w:rsidP="004E6912">
            <w:pPr>
              <w:jc w:val="center"/>
              <w:rPr>
                <w:b/>
                <w:bCs/>
                <w:sz w:val="24"/>
              </w:rPr>
            </w:pPr>
            <w:r>
              <w:rPr>
                <w:b/>
                <w:bCs/>
                <w:sz w:val="24"/>
              </w:rPr>
              <w:sym w:font="Wingdings" w:char="F0FC"/>
            </w:r>
          </w:p>
        </w:tc>
        <w:tc>
          <w:tcPr>
            <w:tcW w:w="885" w:type="dxa"/>
          </w:tcPr>
          <w:p w:rsidR="004E6912" w:rsidRDefault="004E6912" w:rsidP="004E6912">
            <w:pPr>
              <w:jc w:val="center"/>
              <w:rPr>
                <w:b/>
                <w:bCs/>
                <w:sz w:val="24"/>
              </w:rPr>
            </w:pPr>
          </w:p>
        </w:tc>
        <w:tc>
          <w:tcPr>
            <w:tcW w:w="1957" w:type="dxa"/>
          </w:tcPr>
          <w:p w:rsidR="004E6912" w:rsidRDefault="004E6912" w:rsidP="004E6912">
            <w:pPr>
              <w:jc w:val="center"/>
              <w:rPr>
                <w:b/>
                <w:bCs/>
                <w:sz w:val="24"/>
              </w:rPr>
            </w:pPr>
            <w:r>
              <w:rPr>
                <w:b/>
                <w:bCs/>
                <w:sz w:val="24"/>
              </w:rPr>
              <w:sym w:font="Wingdings" w:char="F0FC"/>
            </w:r>
          </w:p>
        </w:tc>
        <w:tc>
          <w:tcPr>
            <w:tcW w:w="987" w:type="dxa"/>
          </w:tcPr>
          <w:p w:rsidR="004E6912" w:rsidRDefault="004E6912" w:rsidP="004E6912">
            <w:pPr>
              <w:jc w:val="center"/>
              <w:rPr>
                <w:b/>
                <w:bCs/>
                <w:sz w:val="24"/>
              </w:rPr>
            </w:pPr>
          </w:p>
        </w:tc>
        <w:tc>
          <w:tcPr>
            <w:tcW w:w="966" w:type="dxa"/>
          </w:tcPr>
          <w:p w:rsidR="004E6912" w:rsidRDefault="004E6912" w:rsidP="004E6912">
            <w:pPr>
              <w:jc w:val="center"/>
              <w:rPr>
                <w:b/>
                <w:bCs/>
                <w:sz w:val="24"/>
              </w:rPr>
            </w:pPr>
          </w:p>
        </w:tc>
      </w:tr>
    </w:tbl>
    <w:p w:rsidR="00F2150E" w:rsidRPr="00976FEA" w:rsidRDefault="00F2150E" w:rsidP="00D9181D">
      <w:pPr>
        <w:spacing w:line="240" w:lineRule="auto"/>
        <w:rPr>
          <w:b/>
          <w:bCs/>
          <w:vanish/>
          <w:sz w:val="2"/>
          <w:szCs w:val="2"/>
        </w:rPr>
      </w:pPr>
    </w:p>
    <w:p w:rsidR="00D9181D" w:rsidRPr="00976FEA" w:rsidRDefault="00D9181D">
      <w:pPr>
        <w:spacing w:line="240" w:lineRule="auto"/>
        <w:rPr>
          <w:b/>
          <w:bCs/>
          <w:sz w:val="2"/>
          <w:szCs w:val="2"/>
        </w:rPr>
      </w:pPr>
    </w:p>
    <w:sectPr w:rsidR="00D9181D" w:rsidRPr="00976FEA" w:rsidSect="00FE4B07">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208D"/>
    <w:multiLevelType w:val="hybridMultilevel"/>
    <w:tmpl w:val="D7DA7E6A"/>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605DE2"/>
    <w:multiLevelType w:val="hybridMultilevel"/>
    <w:tmpl w:val="E252EE12"/>
    <w:lvl w:ilvl="0" w:tplc="17C67798">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FE797A"/>
    <w:multiLevelType w:val="hybridMultilevel"/>
    <w:tmpl w:val="259AE0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CC3B82"/>
    <w:multiLevelType w:val="hybridMultilevel"/>
    <w:tmpl w:val="50425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902837"/>
    <w:multiLevelType w:val="hybridMultilevel"/>
    <w:tmpl w:val="0A2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B70954"/>
    <w:multiLevelType w:val="hybridMultilevel"/>
    <w:tmpl w:val="51FC92E8"/>
    <w:lvl w:ilvl="0" w:tplc="444806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BDA372D"/>
    <w:multiLevelType w:val="hybridMultilevel"/>
    <w:tmpl w:val="00D8D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B91CEB"/>
    <w:multiLevelType w:val="hybridMultilevel"/>
    <w:tmpl w:val="1CF44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142204"/>
    <w:multiLevelType w:val="hybridMultilevel"/>
    <w:tmpl w:val="71EC0ACA"/>
    <w:lvl w:ilvl="0" w:tplc="17C67798">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nsid w:val="5F477760"/>
    <w:multiLevelType w:val="hybridMultilevel"/>
    <w:tmpl w:val="F86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4347B6D"/>
    <w:multiLevelType w:val="hybridMultilevel"/>
    <w:tmpl w:val="B704A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5246A74"/>
    <w:multiLevelType w:val="hybridMultilevel"/>
    <w:tmpl w:val="6C56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4"/>
  </w:num>
  <w:num w:numId="5">
    <w:abstractNumId w:val="8"/>
  </w:num>
  <w:num w:numId="6">
    <w:abstractNumId w:val="1"/>
  </w:num>
  <w:num w:numId="7">
    <w:abstractNumId w:val="0"/>
  </w:num>
  <w:num w:numId="8">
    <w:abstractNumId w:val="9"/>
  </w:num>
  <w:num w:numId="9">
    <w:abstractNumId w:val="11"/>
  </w:num>
  <w:num w:numId="10">
    <w:abstractNumId w:val="5"/>
  </w:num>
  <w:num w:numId="11">
    <w:abstractNumId w:val="7"/>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applyBreakingRules/>
    <w:useFELayout/>
  </w:compat>
  <w:rsids>
    <w:rsidRoot w:val="00610035"/>
    <w:rsid w:val="00061CBA"/>
    <w:rsid w:val="000C10D6"/>
    <w:rsid w:val="000D096F"/>
    <w:rsid w:val="0011263A"/>
    <w:rsid w:val="0012120B"/>
    <w:rsid w:val="001249B9"/>
    <w:rsid w:val="001A0D04"/>
    <w:rsid w:val="001C228E"/>
    <w:rsid w:val="001E1D58"/>
    <w:rsid w:val="001E3800"/>
    <w:rsid w:val="001E4C28"/>
    <w:rsid w:val="002F6B74"/>
    <w:rsid w:val="003A5B2C"/>
    <w:rsid w:val="004D0107"/>
    <w:rsid w:val="004E6912"/>
    <w:rsid w:val="005D2FD8"/>
    <w:rsid w:val="005E366E"/>
    <w:rsid w:val="005E5E26"/>
    <w:rsid w:val="00600369"/>
    <w:rsid w:val="00610035"/>
    <w:rsid w:val="006604D5"/>
    <w:rsid w:val="006D756A"/>
    <w:rsid w:val="006E0424"/>
    <w:rsid w:val="00731765"/>
    <w:rsid w:val="00763438"/>
    <w:rsid w:val="00774EF5"/>
    <w:rsid w:val="007C5DE1"/>
    <w:rsid w:val="007E111C"/>
    <w:rsid w:val="008D32BC"/>
    <w:rsid w:val="0091673C"/>
    <w:rsid w:val="009236F0"/>
    <w:rsid w:val="00976FEA"/>
    <w:rsid w:val="00994A17"/>
    <w:rsid w:val="009D5EC5"/>
    <w:rsid w:val="00AB3ABB"/>
    <w:rsid w:val="00AD62A4"/>
    <w:rsid w:val="00C15793"/>
    <w:rsid w:val="00C37D6C"/>
    <w:rsid w:val="00CA179B"/>
    <w:rsid w:val="00CD3AE2"/>
    <w:rsid w:val="00D9181D"/>
    <w:rsid w:val="00D972A1"/>
    <w:rsid w:val="00DD2169"/>
    <w:rsid w:val="00E56E92"/>
    <w:rsid w:val="00E7256D"/>
    <w:rsid w:val="00F2150E"/>
    <w:rsid w:val="00FC4A1C"/>
    <w:rsid w:val="00FE4B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A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0D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15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50E"/>
  </w:style>
  <w:style w:type="paragraph" w:styleId="Footer">
    <w:name w:val="footer"/>
    <w:basedOn w:val="Normal"/>
    <w:link w:val="FooterChar"/>
    <w:uiPriority w:val="99"/>
    <w:unhideWhenUsed/>
    <w:rsid w:val="00F215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50E"/>
  </w:style>
  <w:style w:type="paragraph" w:styleId="BalloonText">
    <w:name w:val="Balloon Text"/>
    <w:basedOn w:val="Normal"/>
    <w:link w:val="BalloonTextChar"/>
    <w:uiPriority w:val="99"/>
    <w:semiHidden/>
    <w:unhideWhenUsed/>
    <w:rsid w:val="00F21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50E"/>
    <w:rPr>
      <w:rFonts w:ascii="Tahoma" w:hAnsi="Tahoma" w:cs="Tahoma"/>
      <w:sz w:val="16"/>
      <w:szCs w:val="16"/>
    </w:rPr>
  </w:style>
  <w:style w:type="paragraph" w:styleId="ListParagraph">
    <w:name w:val="List Paragraph"/>
    <w:basedOn w:val="Normal"/>
    <w:uiPriority w:val="34"/>
    <w:qFormat/>
    <w:rsid w:val="00F2150E"/>
    <w:pPr>
      <w:ind w:left="720"/>
      <w:contextualSpacing/>
    </w:pPr>
  </w:style>
  <w:style w:type="paragraph" w:customStyle="1" w:styleId="EndNoteBibliographyTitle">
    <w:name w:val="EndNote Bibliography Title"/>
    <w:basedOn w:val="Normal"/>
    <w:link w:val="EndNoteBibliographyTitleChar"/>
    <w:rsid w:val="00F2150E"/>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F2150E"/>
    <w:rPr>
      <w:rFonts w:ascii="Arial" w:hAnsi="Arial" w:cs="Arial"/>
      <w:noProof/>
    </w:rPr>
  </w:style>
  <w:style w:type="paragraph" w:customStyle="1" w:styleId="EndNoteBibliography">
    <w:name w:val="EndNote Bibliography"/>
    <w:basedOn w:val="Normal"/>
    <w:link w:val="EndNoteBibliographyChar"/>
    <w:rsid w:val="00F2150E"/>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F2150E"/>
    <w:rPr>
      <w:rFonts w:ascii="Arial" w:hAnsi="Arial" w:cs="Arial"/>
      <w:noProof/>
    </w:rPr>
  </w:style>
  <w:style w:type="character" w:styleId="CommentReference">
    <w:name w:val="annotation reference"/>
    <w:basedOn w:val="DefaultParagraphFont"/>
    <w:uiPriority w:val="99"/>
    <w:semiHidden/>
    <w:unhideWhenUsed/>
    <w:rsid w:val="00F2150E"/>
    <w:rPr>
      <w:sz w:val="16"/>
      <w:szCs w:val="16"/>
    </w:rPr>
  </w:style>
  <w:style w:type="paragraph" w:styleId="CommentText">
    <w:name w:val="annotation text"/>
    <w:basedOn w:val="Normal"/>
    <w:link w:val="CommentTextChar"/>
    <w:uiPriority w:val="99"/>
    <w:semiHidden/>
    <w:unhideWhenUsed/>
    <w:rsid w:val="00F2150E"/>
    <w:pPr>
      <w:spacing w:line="240" w:lineRule="auto"/>
    </w:pPr>
    <w:rPr>
      <w:sz w:val="20"/>
      <w:szCs w:val="20"/>
    </w:rPr>
  </w:style>
  <w:style w:type="character" w:customStyle="1" w:styleId="CommentTextChar">
    <w:name w:val="Comment Text Char"/>
    <w:basedOn w:val="DefaultParagraphFont"/>
    <w:link w:val="CommentText"/>
    <w:uiPriority w:val="99"/>
    <w:semiHidden/>
    <w:rsid w:val="00F2150E"/>
    <w:rPr>
      <w:sz w:val="20"/>
      <w:szCs w:val="20"/>
    </w:rPr>
  </w:style>
  <w:style w:type="paragraph" w:styleId="CommentSubject">
    <w:name w:val="annotation subject"/>
    <w:basedOn w:val="CommentText"/>
    <w:next w:val="CommentText"/>
    <w:link w:val="CommentSubjectChar"/>
    <w:uiPriority w:val="99"/>
    <w:semiHidden/>
    <w:unhideWhenUsed/>
    <w:rsid w:val="00F2150E"/>
    <w:rPr>
      <w:b/>
      <w:bCs/>
    </w:rPr>
  </w:style>
  <w:style w:type="character" w:customStyle="1" w:styleId="CommentSubjectChar">
    <w:name w:val="Comment Subject Char"/>
    <w:basedOn w:val="CommentTextChar"/>
    <w:link w:val="CommentSubject"/>
    <w:uiPriority w:val="99"/>
    <w:semiHidden/>
    <w:rsid w:val="00F2150E"/>
    <w:rPr>
      <w:b/>
      <w:bCs/>
      <w:sz w:val="20"/>
      <w:szCs w:val="20"/>
    </w:rPr>
  </w:style>
  <w:style w:type="paragraph" w:styleId="NormalWeb">
    <w:name w:val="Normal (Web)"/>
    <w:basedOn w:val="Normal"/>
    <w:uiPriority w:val="99"/>
    <w:semiHidden/>
    <w:unhideWhenUsed/>
    <w:rsid w:val="00F2150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2150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BDB9E-5A46-482E-86EC-7AD2911A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2981</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Plymouth</Company>
  <LinksUpToDate>false</LinksUpToDate>
  <CharactersWithSpaces>19934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Orr</dc:creator>
  <cp:lastModifiedBy>adayap</cp:lastModifiedBy>
  <cp:revision>10</cp:revision>
  <dcterms:created xsi:type="dcterms:W3CDTF">2016-04-08T10:02:00Z</dcterms:created>
  <dcterms:modified xsi:type="dcterms:W3CDTF">2016-05-23T16:46:00Z</dcterms:modified>
</cp:coreProperties>
</file>