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447" w:rsidRDefault="00B3724B" w:rsidP="003D4447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 1: Appendices</w:t>
      </w:r>
    </w:p>
    <w:p w:rsidR="003D4447" w:rsidRPr="004B1C83" w:rsidRDefault="003D4447" w:rsidP="00703987">
      <w:pPr>
        <w:tabs>
          <w:tab w:val="left" w:pos="2127"/>
        </w:tabs>
        <w:spacing w:after="120" w:line="240" w:lineRule="auto"/>
        <w:ind w:left="2127" w:hanging="2127"/>
        <w:rPr>
          <w:rFonts w:ascii="Arial" w:hAnsi="Arial" w:cs="Arial"/>
          <w:b/>
          <w:sz w:val="24"/>
          <w:szCs w:val="24"/>
        </w:rPr>
      </w:pPr>
      <w:proofErr w:type="gramStart"/>
      <w:r w:rsidRPr="004B1C83">
        <w:rPr>
          <w:rFonts w:ascii="Arial" w:hAnsi="Arial" w:cs="Arial"/>
          <w:b/>
          <w:sz w:val="24"/>
          <w:szCs w:val="24"/>
        </w:rPr>
        <w:t>Appendix Table 1.</w:t>
      </w:r>
      <w:proofErr w:type="gramEnd"/>
      <w:r w:rsidR="00703987">
        <w:rPr>
          <w:rFonts w:ascii="Arial" w:hAnsi="Arial" w:cs="Arial"/>
          <w:b/>
          <w:sz w:val="24"/>
          <w:szCs w:val="24"/>
        </w:rPr>
        <w:tab/>
      </w:r>
      <w:r w:rsidRPr="004B1C83">
        <w:rPr>
          <w:rFonts w:ascii="Arial" w:hAnsi="Arial" w:cs="Arial"/>
          <w:b/>
          <w:sz w:val="24"/>
          <w:szCs w:val="24"/>
        </w:rPr>
        <w:t>List of items in the RAI</w:t>
      </w:r>
      <w:r w:rsidR="00703987">
        <w:rPr>
          <w:rFonts w:ascii="Arial" w:hAnsi="Arial" w:cs="Arial"/>
          <w:b/>
          <w:sz w:val="24"/>
          <w:szCs w:val="24"/>
        </w:rPr>
        <w:t xml:space="preserve">-HC </w:t>
      </w:r>
      <w:r w:rsidRPr="004B1C83">
        <w:rPr>
          <w:rFonts w:ascii="Arial" w:hAnsi="Arial" w:cs="Arial"/>
          <w:b/>
          <w:sz w:val="24"/>
          <w:szCs w:val="24"/>
        </w:rPr>
        <w:t>tool used to derive the full frailty index and the modified frailty index</w:t>
      </w:r>
      <w:r>
        <w:rPr>
          <w:rFonts w:ascii="Arial" w:hAnsi="Arial" w:cs="Arial"/>
          <w:b/>
          <w:sz w:val="24"/>
          <w:szCs w:val="24"/>
        </w:rPr>
        <w:t>.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5778"/>
        <w:gridCol w:w="1800"/>
        <w:gridCol w:w="2070"/>
      </w:tblGrid>
      <w:tr w:rsidR="003D4447" w:rsidTr="003D4447">
        <w:tc>
          <w:tcPr>
            <w:tcW w:w="577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RAI-HC i</w:t>
            </w:r>
            <w:r w:rsidRPr="00210E81">
              <w:rPr>
                <w:rFonts w:ascii="Arial" w:hAnsi="Arial" w:cs="Arial"/>
                <w:b/>
              </w:rPr>
              <w:t>tem description</w:t>
            </w:r>
          </w:p>
        </w:tc>
        <w:tc>
          <w:tcPr>
            <w:tcW w:w="180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  <w:b/>
              </w:rPr>
            </w:pPr>
            <w:r w:rsidRPr="00210E81">
              <w:rPr>
                <w:rFonts w:ascii="Arial" w:hAnsi="Arial" w:cs="Arial"/>
                <w:b/>
              </w:rPr>
              <w:t>Full frailty index (72 items)</w:t>
            </w:r>
          </w:p>
        </w:tc>
        <w:tc>
          <w:tcPr>
            <w:tcW w:w="207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  <w:b/>
              </w:rPr>
            </w:pPr>
            <w:r w:rsidRPr="00210E81">
              <w:rPr>
                <w:rFonts w:ascii="Arial" w:hAnsi="Arial" w:cs="Arial"/>
                <w:b/>
              </w:rPr>
              <w:t>Modified frailty index (48 items)</w:t>
            </w:r>
          </w:p>
        </w:tc>
      </w:tr>
      <w:tr w:rsidR="003D4447" w:rsidTr="003D4447"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4447" w:rsidRPr="00C03ACC" w:rsidRDefault="003D4447" w:rsidP="003D4447">
            <w:pPr>
              <w:rPr>
                <w:rFonts w:ascii="Arial" w:hAnsi="Arial" w:cs="Arial"/>
                <w:b/>
                <w:i/>
              </w:rPr>
            </w:pPr>
            <w:r w:rsidRPr="00C03ACC">
              <w:rPr>
                <w:rFonts w:ascii="Arial" w:hAnsi="Arial" w:cs="Arial"/>
                <w:b/>
                <w:i/>
              </w:rPr>
              <w:t>Psychosocial well-being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Recent decline in level of participation in social activities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Socially isolated during day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Client indicates feelings of loneliness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C03ACC" w:rsidRDefault="003D4447" w:rsidP="003D4447">
            <w:pPr>
              <w:rPr>
                <w:rFonts w:ascii="Arial" w:hAnsi="Arial" w:cs="Arial"/>
                <w:b/>
                <w:i/>
              </w:rPr>
            </w:pPr>
            <w:r w:rsidRPr="00C03ACC">
              <w:rPr>
                <w:rFonts w:ascii="Arial" w:hAnsi="Arial" w:cs="Arial"/>
                <w:b/>
                <w:i/>
              </w:rPr>
              <w:t>Mood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Makes negative statements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Exhibits persistent anger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Expresses unrealistic fears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Repetitive health complaints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Repetitive anxious complaints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Sad, pained, worried facial expressions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Crying, tearfulness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Withdrawal from activities of interest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Reduced social interactions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C03ACC" w:rsidRDefault="003D4447" w:rsidP="003D4447">
            <w:pPr>
              <w:rPr>
                <w:rFonts w:ascii="Arial" w:hAnsi="Arial" w:cs="Arial"/>
                <w:b/>
                <w:i/>
              </w:rPr>
            </w:pPr>
            <w:r w:rsidRPr="00C03ACC">
              <w:rPr>
                <w:rFonts w:ascii="Arial" w:hAnsi="Arial" w:cs="Arial"/>
                <w:b/>
                <w:i/>
              </w:rPr>
              <w:t>Cognition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Impaired cognitive skills for daily decision making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 xml:space="preserve">Short-term (5-min recall) memory problem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Procedural memory problem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New onset/worsening of mental function</w:t>
            </w:r>
            <w:r w:rsidRPr="00210E81">
              <w:rPr>
                <w:rFonts w:ascii="Arial" w:hAnsi="Arial" w:cs="Arial"/>
                <w:color w:val="000000"/>
              </w:rPr>
              <w:t xml:space="preserve"> in past 7 days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Change in decision making in past 90 days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C03ACC" w:rsidRDefault="003D4447" w:rsidP="003D4447">
            <w:pPr>
              <w:rPr>
                <w:rFonts w:ascii="Arial" w:hAnsi="Arial" w:cs="Arial"/>
                <w:b/>
                <w:i/>
              </w:rPr>
            </w:pPr>
            <w:r w:rsidRPr="00C03ACC">
              <w:rPr>
                <w:rFonts w:ascii="Arial" w:hAnsi="Arial" w:cs="Arial"/>
                <w:b/>
                <w:i/>
              </w:rPr>
              <w:t>Communication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 xml:space="preserve">At least some difficulty to make </w:t>
            </w:r>
            <w:proofErr w:type="spellStart"/>
            <w:r w:rsidRPr="00210E81">
              <w:rPr>
                <w:rFonts w:ascii="Arial" w:hAnsi="Arial" w:cs="Arial"/>
                <w:color w:val="000000"/>
              </w:rPr>
              <w:t>self understood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At least some difficulty in understanding others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Moderate/severe hearing problems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Moderate/severe vision problems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C03ACC" w:rsidRDefault="003D4447" w:rsidP="003D4447">
            <w:pPr>
              <w:rPr>
                <w:rFonts w:ascii="Arial" w:hAnsi="Arial" w:cs="Arial"/>
                <w:b/>
                <w:i/>
                <w:color w:val="000000"/>
              </w:rPr>
            </w:pPr>
            <w:r w:rsidRPr="00C03ACC">
              <w:rPr>
                <w:rFonts w:ascii="Arial" w:hAnsi="Arial" w:cs="Arial"/>
                <w:b/>
                <w:i/>
                <w:color w:val="000000"/>
              </w:rPr>
              <w:t>Functional Status</w:t>
            </w:r>
            <w:r>
              <w:rPr>
                <w:rFonts w:ascii="Arial" w:hAnsi="Arial" w:cs="Arial"/>
                <w:b/>
                <w:i/>
                <w:color w:val="000000"/>
              </w:rPr>
              <w:t xml:space="preserve"> and Activity Level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At least some difficulty with meal preparation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At least some difficulty with ordinary housework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At least some difficulty with managing finances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At least some difficulty with managing medications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At least some difficulty with phone use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Needs help with stairs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At least some difficulty with shopping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Requires at least some assistance with bathing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Requires at least some assistance with personal hygiene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Requires at least some assistance with dressing upper body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Requires at least some assistance with dressing lower body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Requires at least some assistance with locomotion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Requires at least some assistance with transferring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Requires at least some assistance with toilet use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Requires at least some assistance with bed mobility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Requires at least some assistance with eating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Less than 2 hours of physical activity in past 3 days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Does not leave house at all in typical week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 w:rsidRPr="00210E81">
              <w:rPr>
                <w:rFonts w:ascii="Arial" w:hAnsi="Arial" w:cs="Arial"/>
                <w:color w:val="000000"/>
              </w:rPr>
              <w:t>Decline in</w:t>
            </w:r>
            <w:r>
              <w:rPr>
                <w:rFonts w:ascii="Arial" w:hAnsi="Arial" w:cs="Arial"/>
                <w:color w:val="000000"/>
              </w:rPr>
              <w:t xml:space="preserve"> an</w:t>
            </w:r>
            <w:r w:rsidRPr="00210E81">
              <w:rPr>
                <w:rFonts w:ascii="Arial" w:hAnsi="Arial" w:cs="Arial"/>
                <w:color w:val="000000"/>
              </w:rPr>
              <w:t xml:space="preserve"> A</w:t>
            </w:r>
            <w:r>
              <w:rPr>
                <w:rFonts w:ascii="Arial" w:hAnsi="Arial" w:cs="Arial"/>
                <w:color w:val="000000"/>
              </w:rPr>
              <w:t xml:space="preserve">ctivity of </w:t>
            </w:r>
            <w:r w:rsidRPr="00210E81">
              <w:rPr>
                <w:rFonts w:ascii="Arial" w:hAnsi="Arial" w:cs="Arial"/>
                <w:color w:val="000000"/>
              </w:rPr>
              <w:t>D</w:t>
            </w:r>
            <w:r>
              <w:rPr>
                <w:rFonts w:ascii="Arial" w:hAnsi="Arial" w:cs="Arial"/>
                <w:color w:val="000000"/>
              </w:rPr>
              <w:t xml:space="preserve">aily </w:t>
            </w:r>
            <w:r w:rsidRPr="00210E81">
              <w:rPr>
                <w:rFonts w:ascii="Arial" w:hAnsi="Arial" w:cs="Arial"/>
                <w:color w:val="000000"/>
              </w:rPr>
              <w:t>L</w:t>
            </w:r>
            <w:r>
              <w:rPr>
                <w:rFonts w:ascii="Arial" w:hAnsi="Arial" w:cs="Arial"/>
                <w:color w:val="000000"/>
              </w:rPr>
              <w:t>iving</w:t>
            </w:r>
            <w:r w:rsidRPr="00210E81">
              <w:rPr>
                <w:rFonts w:ascii="Arial" w:hAnsi="Arial" w:cs="Arial"/>
                <w:color w:val="000000"/>
              </w:rPr>
              <w:t xml:space="preserve"> in last 90 days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C03ACC" w:rsidRDefault="003D4447" w:rsidP="003D4447">
            <w:pPr>
              <w:rPr>
                <w:rFonts w:ascii="Arial" w:hAnsi="Arial" w:cs="Arial"/>
                <w:b/>
                <w:i/>
                <w:color w:val="000000"/>
              </w:rPr>
            </w:pPr>
            <w:r w:rsidRPr="00C03ACC">
              <w:rPr>
                <w:rFonts w:ascii="Arial" w:hAnsi="Arial" w:cs="Arial"/>
                <w:b/>
                <w:i/>
                <w:color w:val="000000"/>
              </w:rPr>
              <w:t>Incontinence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Some</w:t>
            </w:r>
            <w:r w:rsidR="00BC5C78">
              <w:rPr>
                <w:rFonts w:ascii="Arial" w:hAnsi="Arial" w:cs="Arial"/>
                <w:color w:val="000000"/>
              </w:rPr>
              <w:t xml:space="preserve"> to Daily</w:t>
            </w:r>
            <w:r>
              <w:rPr>
                <w:rFonts w:ascii="Arial" w:hAnsi="Arial" w:cs="Arial"/>
                <w:color w:val="000000"/>
              </w:rPr>
              <w:t xml:space="preserve"> bladder incontinence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Some</w:t>
            </w:r>
            <w:r w:rsidR="00BC5C78">
              <w:rPr>
                <w:rFonts w:ascii="Arial" w:hAnsi="Arial" w:cs="Arial"/>
                <w:color w:val="000000"/>
              </w:rPr>
              <w:t xml:space="preserve"> to Daily</w:t>
            </w:r>
            <w:r>
              <w:rPr>
                <w:rFonts w:ascii="Arial" w:hAnsi="Arial" w:cs="Arial"/>
                <w:color w:val="000000"/>
              </w:rPr>
              <w:t xml:space="preserve"> bowel incontinence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0C74C5" w:rsidRDefault="003D4447" w:rsidP="003D4447">
            <w:pPr>
              <w:rPr>
                <w:rFonts w:ascii="Arial" w:hAnsi="Arial" w:cs="Arial"/>
                <w:b/>
                <w:i/>
                <w:color w:val="000000"/>
              </w:rPr>
            </w:pPr>
            <w:r w:rsidRPr="000C74C5">
              <w:rPr>
                <w:rFonts w:ascii="Arial" w:hAnsi="Arial" w:cs="Arial"/>
                <w:b/>
                <w:i/>
                <w:color w:val="000000"/>
              </w:rPr>
              <w:lastRenderedPageBreak/>
              <w:t>Disease Diagnoses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Hip fracture, other fractures, osteoporosis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Arthritis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Alzheimer disease/Dementia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Head Trauma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Hemiplegia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Multiple sclerosis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Parkinsonism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Stroke or CVA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Hypertension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Coronary artery disease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Congestive heart failure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Emphysema/COPD/asthma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Cancer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Diabetes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Renal failure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Peripheral vascular disease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Irregularly irregular pulse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Thyroid disease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0C74C5" w:rsidRDefault="003D4447" w:rsidP="003D4447">
            <w:pPr>
              <w:rPr>
                <w:rFonts w:ascii="Arial" w:hAnsi="Arial" w:cs="Arial"/>
                <w:b/>
                <w:i/>
                <w:color w:val="000000"/>
              </w:rPr>
            </w:pPr>
            <w:r w:rsidRPr="000C74C5">
              <w:rPr>
                <w:rFonts w:ascii="Arial" w:hAnsi="Arial" w:cs="Arial"/>
                <w:b/>
                <w:i/>
                <w:color w:val="000000"/>
              </w:rPr>
              <w:t>Presence of other health conditions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At least one fall in last 90 days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Dizziness in past 3 days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Unsteady gait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Chest pain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Delusions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Hallucinations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Vomiting present last 3 days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Edema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Shortness of breath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Pain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Client reports poor self-rated health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Unstable health condition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0C74C5" w:rsidRDefault="003D4447" w:rsidP="003D4447">
            <w:pPr>
              <w:rPr>
                <w:rFonts w:ascii="Arial" w:hAnsi="Arial" w:cs="Arial"/>
                <w:b/>
                <w:i/>
                <w:color w:val="000000"/>
              </w:rPr>
            </w:pPr>
            <w:r w:rsidRPr="000C74C5">
              <w:rPr>
                <w:rFonts w:ascii="Arial" w:hAnsi="Arial" w:cs="Arial"/>
                <w:b/>
                <w:i/>
                <w:color w:val="000000"/>
              </w:rPr>
              <w:t>Nutritional status and medications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Severe malnutrition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Morbid obesity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Unintended weight loss of 5% or more in past 30 days / 10% or more in past 180 days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Problems chewing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</w:tr>
      <w:tr w:rsidR="003D4447" w:rsidTr="003D4447">
        <w:tc>
          <w:tcPr>
            <w:tcW w:w="577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3D4447" w:rsidRDefault="003D4447" w:rsidP="003D444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 or more medications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  <w:r w:rsidRPr="00210E81">
              <w:rPr>
                <w:rFonts w:ascii="Arial" w:hAnsi="Arial" w:cs="Arial"/>
              </w:rPr>
              <w:sym w:font="Wingdings" w:char="F0FC"/>
            </w:r>
          </w:p>
        </w:tc>
        <w:tc>
          <w:tcPr>
            <w:tcW w:w="207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3D4447" w:rsidRPr="00210E81" w:rsidRDefault="003D4447" w:rsidP="003D444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D4447" w:rsidRDefault="003D4447" w:rsidP="00703987">
      <w:pPr>
        <w:rPr>
          <w:rFonts w:ascii="Arial" w:hAnsi="Arial" w:cs="Arial"/>
          <w:sz w:val="20"/>
          <w:szCs w:val="24"/>
        </w:rPr>
      </w:pPr>
    </w:p>
    <w:p w:rsidR="003D4447" w:rsidRDefault="003D4447" w:rsidP="00703987">
      <w:pPr>
        <w:rPr>
          <w:rFonts w:ascii="Arial" w:hAnsi="Arial" w:cs="Arial"/>
          <w:sz w:val="20"/>
          <w:szCs w:val="24"/>
        </w:rPr>
        <w:sectPr w:rsidR="003D4447" w:rsidSect="003D4447">
          <w:pgSz w:w="12240" w:h="15840"/>
          <w:pgMar w:top="1440" w:right="1440" w:bottom="1440" w:left="1440" w:header="706" w:footer="706" w:gutter="0"/>
          <w:cols w:space="708"/>
          <w:docGrid w:linePitch="360"/>
        </w:sectPr>
      </w:pPr>
    </w:p>
    <w:p w:rsidR="006A08A0" w:rsidRDefault="003D4447" w:rsidP="006A08A0">
      <w:pPr>
        <w:tabs>
          <w:tab w:val="left" w:pos="2127"/>
        </w:tabs>
        <w:spacing w:after="0" w:line="240" w:lineRule="auto"/>
        <w:rPr>
          <w:rFonts w:ascii="Arial" w:hAnsi="Arial" w:cs="Arial"/>
          <w:b/>
          <w:sz w:val="24"/>
          <w:szCs w:val="20"/>
        </w:rPr>
      </w:pPr>
      <w:proofErr w:type="gramStart"/>
      <w:r w:rsidRPr="004B1C83">
        <w:rPr>
          <w:rFonts w:ascii="Arial" w:hAnsi="Arial" w:cs="Arial"/>
          <w:b/>
          <w:sz w:val="24"/>
          <w:szCs w:val="20"/>
        </w:rPr>
        <w:lastRenderedPageBreak/>
        <w:t>Appendix Table</w:t>
      </w:r>
      <w:r w:rsidR="00BE5FC5">
        <w:rPr>
          <w:rFonts w:ascii="Arial" w:hAnsi="Arial" w:cs="Arial"/>
          <w:b/>
          <w:sz w:val="24"/>
          <w:szCs w:val="20"/>
        </w:rPr>
        <w:t xml:space="preserve"> </w:t>
      </w:r>
      <w:r w:rsidR="00CA60B6">
        <w:rPr>
          <w:rFonts w:ascii="Arial" w:hAnsi="Arial" w:cs="Arial"/>
          <w:b/>
          <w:sz w:val="24"/>
          <w:szCs w:val="20"/>
        </w:rPr>
        <w:t>2</w:t>
      </w:r>
      <w:r w:rsidRPr="004B1C83">
        <w:rPr>
          <w:rFonts w:ascii="Arial" w:hAnsi="Arial" w:cs="Arial"/>
          <w:b/>
          <w:sz w:val="24"/>
          <w:szCs w:val="20"/>
        </w:rPr>
        <w:t>.</w:t>
      </w:r>
      <w:proofErr w:type="gramEnd"/>
      <w:r w:rsidR="00BE5FC5">
        <w:rPr>
          <w:rFonts w:ascii="Arial" w:hAnsi="Arial" w:cs="Arial"/>
          <w:b/>
          <w:sz w:val="24"/>
          <w:szCs w:val="20"/>
        </w:rPr>
        <w:t xml:space="preserve"> </w:t>
      </w:r>
      <w:r w:rsidRPr="004B1C83">
        <w:rPr>
          <w:rFonts w:ascii="Arial" w:hAnsi="Arial" w:cs="Arial"/>
          <w:b/>
          <w:sz w:val="24"/>
          <w:szCs w:val="20"/>
        </w:rPr>
        <w:t>Baseline characteristics and outcomes for long-stay home care recipients in Ontario</w:t>
      </w:r>
      <w:r w:rsidR="006A08A0">
        <w:rPr>
          <w:rFonts w:ascii="Arial" w:hAnsi="Arial" w:cs="Arial"/>
          <w:b/>
          <w:sz w:val="24"/>
          <w:szCs w:val="20"/>
        </w:rPr>
        <w:t>,</w:t>
      </w:r>
    </w:p>
    <w:p w:rsidR="003D4447" w:rsidRPr="004B1C83" w:rsidRDefault="006A08A0" w:rsidP="002B11FA">
      <w:pPr>
        <w:tabs>
          <w:tab w:val="left" w:pos="2127"/>
        </w:tabs>
        <w:spacing w:after="120" w:line="240" w:lineRule="auto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ab/>
      </w:r>
      <w:proofErr w:type="gramStart"/>
      <w:r w:rsidR="003D4447" w:rsidRPr="004B1C83">
        <w:rPr>
          <w:rFonts w:ascii="Arial" w:hAnsi="Arial" w:cs="Arial"/>
          <w:b/>
          <w:sz w:val="24"/>
          <w:szCs w:val="20"/>
        </w:rPr>
        <w:t>by</w:t>
      </w:r>
      <w:proofErr w:type="gramEnd"/>
      <w:r w:rsidR="003D4447" w:rsidRPr="004B1C83">
        <w:rPr>
          <w:rFonts w:ascii="Arial" w:hAnsi="Arial" w:cs="Arial"/>
          <w:b/>
          <w:sz w:val="24"/>
          <w:szCs w:val="20"/>
        </w:rPr>
        <w:t xml:space="preserve"> the modified frailty</w:t>
      </w:r>
      <w:r w:rsidR="003D4447">
        <w:rPr>
          <w:rFonts w:ascii="Arial" w:hAnsi="Arial" w:cs="Arial"/>
          <w:b/>
          <w:sz w:val="24"/>
          <w:szCs w:val="20"/>
        </w:rPr>
        <w:t xml:space="preserve"> index.</w:t>
      </w:r>
    </w:p>
    <w:tbl>
      <w:tblPr>
        <w:tblW w:w="12729" w:type="dxa"/>
        <w:tblInd w:w="103" w:type="dxa"/>
        <w:tblLook w:val="04A0" w:firstRow="1" w:lastRow="0" w:firstColumn="1" w:lastColumn="0" w:noHBand="0" w:noVBand="1"/>
      </w:tblPr>
      <w:tblGrid>
        <w:gridCol w:w="6665"/>
        <w:gridCol w:w="1710"/>
        <w:gridCol w:w="1620"/>
        <w:gridCol w:w="1620"/>
        <w:gridCol w:w="1114"/>
      </w:tblGrid>
      <w:tr w:rsidR="003D4447" w:rsidRPr="00264843" w:rsidTr="003D4447">
        <w:trPr>
          <w:trHeight w:val="274"/>
        </w:trPr>
        <w:tc>
          <w:tcPr>
            <w:tcW w:w="6665" w:type="dxa"/>
            <w:vMerge w:val="restart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D4447" w:rsidRPr="00264843" w:rsidRDefault="003D4447" w:rsidP="003D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 </w:t>
            </w:r>
          </w:p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264843">
              <w:rPr>
                <w:rFonts w:ascii="Arial" w:hAnsi="Arial" w:cs="Arial"/>
                <w:b/>
                <w:sz w:val="20"/>
                <w:szCs w:val="20"/>
              </w:rPr>
              <w:t>Characteristics</w:t>
            </w:r>
            <w:r w:rsidRPr="0026484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495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47" w:rsidRPr="00264843" w:rsidRDefault="003D4447" w:rsidP="003D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Modified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 xml:space="preserve"> Frailty Index</w:t>
            </w:r>
            <w:r w:rsidR="002B11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 xml:space="preserve"> [FI]</w:t>
            </w:r>
          </w:p>
        </w:tc>
        <w:tc>
          <w:tcPr>
            <w:tcW w:w="1114" w:type="dxa"/>
            <w:vMerge w:val="restart"/>
            <w:tcBorders>
              <w:top w:val="single" w:sz="18" w:space="0" w:color="auto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47" w:rsidRPr="00264843" w:rsidRDefault="003D4447" w:rsidP="003D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Robust (N=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95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209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47" w:rsidRPr="00264843" w:rsidRDefault="003D4447" w:rsidP="003D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Pre-Frail (N=8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2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,1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07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47" w:rsidRPr="00264843" w:rsidRDefault="003D4447" w:rsidP="003D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Frail (N=5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7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236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114" w:type="dxa"/>
            <w:vMerge/>
            <w:tcBorders>
              <w:bottom w:val="single" w:sz="4" w:space="0" w:color="auto"/>
            </w:tcBorders>
          </w:tcPr>
          <w:p w:rsidR="003D4447" w:rsidRPr="00264843" w:rsidRDefault="003D4447" w:rsidP="003D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2B11FA">
            <w:pPr>
              <w:spacing w:before="12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264843">
              <w:rPr>
                <w:rFonts w:ascii="Arial" w:hAnsi="Arial" w:cs="Arial"/>
                <w:i/>
                <w:sz w:val="20"/>
                <w:szCs w:val="20"/>
              </w:rPr>
              <w:t>Sociodemographic characteristics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Age (years), mean ± SD</w:t>
            </w: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81.42 ± 7.44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82.26 ± 7.32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82.59 ± 7.46</w:t>
            </w:r>
          </w:p>
        </w:tc>
        <w:tc>
          <w:tcPr>
            <w:tcW w:w="1114" w:type="dxa"/>
            <w:tcBorders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Sex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left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t>Male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34,091 (35.8%)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28,102 (34.2%)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20,932 (36.6%)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left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t>Female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61,118 (64.2%)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54,005 (65.8%)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36,304 (63.4%)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Rurality Index of Ontario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t>Major Urban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61,661 (65.1%)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55,043 (67.4%)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40,103 (70.5%)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t>Urban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AC64D5" w:rsidP="00AC64D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  <w:r w:rsidR="003D4447" w:rsidRPr="00646622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428</w:t>
            </w:r>
            <w:r w:rsidR="003D4447" w:rsidRPr="00646622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  <w:r w:rsidR="003D4447" w:rsidRPr="0064662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3D4447" w:rsidRPr="00646622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AC64D5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18,686 (22.9%)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AC64D5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11,767 (20.7%)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t>Rural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AC64D5" w:rsidP="00AC64D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10,625</w:t>
            </w:r>
            <w:r w:rsidR="003D4447" w:rsidRPr="00646622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11.2</w:t>
            </w:r>
            <w:r w:rsidR="003D4447" w:rsidRPr="00646622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AC64D5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7,899 (9.7%)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AC64D5" w:rsidP="00AC64D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5,016</w:t>
            </w:r>
            <w:r w:rsidR="003D4447" w:rsidRPr="00646622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3D4447" w:rsidRPr="0064662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3D4447" w:rsidRPr="00646622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Marital status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Married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34,820 (36.6%)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32,211 (39.2%)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25,033 (43.7%)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Never Married/Other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5,731 (6.0%)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3,836 (4.7%)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2,321 (4.1%)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Widowed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47,416 (49.8%)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40,753 (49.6%)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27,007 (47.2%)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Separated/Divorced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7,242 (7.6%)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5,307 (6.5%)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2,875 (5.0%)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Primary caregiver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No primary caregiver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3,069 (3.2%)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1,431 (1.7%)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681 (1.2%)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Yes, does not live with client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50,560 (53.1%)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38,187 (46.5%)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22,137 (38.7%)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Yes, lives with client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41,580 (43.7%)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42,489 (51.7%)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34,418 (60.1%)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Caregiver is distressed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10,999 (11.6%)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20,493 (25.0%)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23,128 (40.4%)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Total weekday hours of caregiver support during past week</w:t>
            </w:r>
            <w:r w:rsidRPr="00264843">
              <w:rPr>
                <w:rFonts w:ascii="Arial" w:hAnsi="Arial" w:cs="Arial"/>
                <w:sz w:val="20"/>
                <w:szCs w:val="20"/>
              </w:rPr>
              <w:t>, mean ± SD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7.74 ± 8.90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12.25 ± 13.09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17.42 ± 19.31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Total weekend hours of caregiver support during past week</w:t>
            </w:r>
            <w:r w:rsidRPr="00264843">
              <w:rPr>
                <w:rFonts w:ascii="Arial" w:hAnsi="Arial" w:cs="Arial"/>
                <w:sz w:val="20"/>
                <w:szCs w:val="20"/>
              </w:rPr>
              <w:t>, mean ± SD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3.43 ± 3.75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5.20 ± 5.33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7.23 ± 7.84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Average hours of caregiver support per day</w:t>
            </w:r>
            <w:r w:rsidRPr="00264843">
              <w:rPr>
                <w:rFonts w:ascii="Arial" w:hAnsi="Arial" w:cs="Arial"/>
                <w:sz w:val="20"/>
                <w:szCs w:val="20"/>
              </w:rPr>
              <w:t>, mean ± SD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1.60 ± 1.76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2.49 ± 2.58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3.52 ± 3.82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2B11FA">
            <w:pPr>
              <w:spacing w:before="120"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t>Comorbidity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Number of ADG comorbidity categories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sz w:val="20"/>
                <w:szCs w:val="20"/>
              </w:rPr>
              <w:t>0-5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14,732 (15.5%)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11,252 (13.7%)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6,735 (11.8%)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sz w:val="20"/>
                <w:szCs w:val="20"/>
              </w:rPr>
              <w:t>6-9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31,516 (33.1%)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24,860 (30.3%)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15,202 (26.6%)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sz w:val="20"/>
                <w:szCs w:val="20"/>
              </w:rPr>
              <w:t>10+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48,961 (51.4%)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45,995 (56.0%)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35,299 (61.7%)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2B11FA">
            <w:pPr>
              <w:spacing w:before="120"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lastRenderedPageBreak/>
              <w:t>Health care utilization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Acute care hospitalization in year prior to index date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40,130 (42.1%)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37,329 (45.5%)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29,497 (51.5%)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Acute care hospitalization with ALC stay in year prior to index date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6,778 (7.1%)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9,235 (11.2%)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9,857 (17.2%)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Emergency department visit in year prior to index date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60,603 (63.7%)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56,513 (68.8%)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43,654 (76.3%)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Number of unique prescription medications overlapping index date, mean ± SD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5.38 ± 3.44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6.52 ± 3.81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6.50 ± 4.30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Unique prescription medications overlapping index date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0-5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52,585 (55.2%)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34,420 (41.9%)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24,115 (42.1%)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6-9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31,108 (32.7%)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30,654 (37.3%)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19,442 (34.0%)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10+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11,516 (12.1%)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17,033 (20.7%)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13,679 (23.9%)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264843">
              <w:rPr>
                <w:rFonts w:ascii="Arial" w:hAnsi="Arial" w:cs="Arial"/>
                <w:i/>
                <w:sz w:val="20"/>
                <w:szCs w:val="20"/>
              </w:rPr>
              <w:t>Outcomes</w:t>
            </w:r>
            <w:r w:rsidRPr="009E4914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b</w:t>
            </w:r>
            <w:proofErr w:type="spellEnd"/>
            <w:r w:rsidRPr="00264843">
              <w:rPr>
                <w:rFonts w:ascii="Arial" w:hAnsi="Arial" w:cs="Arial"/>
                <w:i/>
                <w:sz w:val="20"/>
                <w:szCs w:val="20"/>
              </w:rPr>
              <w:t xml:space="preserve"> one year following index date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Death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11,607 (12.2%)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13,635 (16.6%)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15,802 (27.6%)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LTC admission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7,984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14,683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17,477 (3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.5%)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Hospitalization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35,710 (3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35,744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26,931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7.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Hospitalization with ALC stay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10,316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12,133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9,172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  <w:r w:rsidRPr="00646622">
              <w:rPr>
                <w:rFonts w:ascii="Arial" w:hAnsi="Arial" w:cs="Arial"/>
                <w:color w:val="000000"/>
                <w:sz w:val="20"/>
                <w:szCs w:val="20"/>
              </w:rPr>
              <w:t>.0%)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3D4447" w:rsidRPr="00646622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D4447" w:rsidRPr="00264843" w:rsidRDefault="003D4447" w:rsidP="002B11FA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264843">
        <w:rPr>
          <w:rFonts w:ascii="Arial" w:hAnsi="Arial" w:cs="Arial"/>
          <w:sz w:val="20"/>
          <w:szCs w:val="20"/>
        </w:rPr>
        <w:t>ADG=Adjusted Diagnosis Groups; ALC=Alternative Level of Care; LTC=Long-Term Care; SD=Standard Deviation;</w:t>
      </w:r>
    </w:p>
    <w:p w:rsidR="003D4447" w:rsidRDefault="002B11FA" w:rsidP="003D444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- </w:t>
      </w:r>
      <w:r w:rsidR="003D4447" w:rsidRPr="00264843">
        <w:rPr>
          <w:rFonts w:ascii="Arial" w:hAnsi="Arial" w:cs="Arial"/>
          <w:sz w:val="20"/>
          <w:szCs w:val="20"/>
        </w:rPr>
        <w:t>Data are presented as N</w:t>
      </w:r>
      <w:r>
        <w:rPr>
          <w:rFonts w:ascii="Arial" w:hAnsi="Arial" w:cs="Arial"/>
          <w:sz w:val="20"/>
          <w:szCs w:val="20"/>
        </w:rPr>
        <w:t xml:space="preserve"> </w:t>
      </w:r>
      <w:r w:rsidR="003D4447" w:rsidRPr="00264843">
        <w:rPr>
          <w:rFonts w:ascii="Arial" w:hAnsi="Arial" w:cs="Arial"/>
          <w:sz w:val="20"/>
          <w:szCs w:val="20"/>
        </w:rPr>
        <w:t>(column %) unless otherwise noted</w:t>
      </w:r>
    </w:p>
    <w:p w:rsidR="003D4447" w:rsidRPr="003176A4" w:rsidRDefault="003D4447" w:rsidP="003D4447">
      <w:pPr>
        <w:spacing w:after="0" w:line="24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b - Outcome categories are not mutually exclusive</w:t>
      </w:r>
    </w:p>
    <w:p w:rsidR="003D4447" w:rsidRDefault="003D4447" w:rsidP="003D4447">
      <w:pPr>
        <w:rPr>
          <w:rFonts w:ascii="Arial" w:hAnsi="Arial" w:cs="Arial"/>
          <w:sz w:val="20"/>
          <w:szCs w:val="20"/>
        </w:rPr>
      </w:pPr>
    </w:p>
    <w:p w:rsidR="003D4447" w:rsidRDefault="003D4447" w:rsidP="003D4447">
      <w:pPr>
        <w:rPr>
          <w:rFonts w:ascii="Arial" w:hAnsi="Arial" w:cs="Arial"/>
          <w:sz w:val="20"/>
          <w:szCs w:val="20"/>
        </w:rPr>
      </w:pPr>
    </w:p>
    <w:p w:rsidR="003D4447" w:rsidRDefault="003D4447" w:rsidP="003D4447">
      <w:pPr>
        <w:rPr>
          <w:rFonts w:ascii="Arial" w:hAnsi="Arial" w:cs="Arial"/>
          <w:sz w:val="20"/>
          <w:szCs w:val="20"/>
        </w:rPr>
      </w:pPr>
    </w:p>
    <w:p w:rsidR="006A08A0" w:rsidRDefault="006A08A0">
      <w:pPr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br w:type="page"/>
      </w:r>
    </w:p>
    <w:p w:rsidR="006A08A0" w:rsidRDefault="003D4447" w:rsidP="006A08A0">
      <w:pPr>
        <w:tabs>
          <w:tab w:val="left" w:pos="2127"/>
        </w:tabs>
        <w:spacing w:after="0" w:line="240" w:lineRule="auto"/>
        <w:rPr>
          <w:rFonts w:ascii="Arial" w:hAnsi="Arial" w:cs="Arial"/>
          <w:b/>
          <w:sz w:val="24"/>
          <w:szCs w:val="20"/>
        </w:rPr>
      </w:pPr>
      <w:proofErr w:type="gramStart"/>
      <w:r w:rsidRPr="004B1C83">
        <w:rPr>
          <w:rFonts w:ascii="Arial" w:hAnsi="Arial" w:cs="Arial"/>
          <w:b/>
          <w:sz w:val="24"/>
          <w:szCs w:val="20"/>
        </w:rPr>
        <w:lastRenderedPageBreak/>
        <w:t xml:space="preserve">Appendix Table </w:t>
      </w:r>
      <w:r w:rsidR="00CA60B6">
        <w:rPr>
          <w:rFonts w:ascii="Arial" w:hAnsi="Arial" w:cs="Arial"/>
          <w:b/>
          <w:sz w:val="24"/>
          <w:szCs w:val="20"/>
        </w:rPr>
        <w:t>3</w:t>
      </w:r>
      <w:r w:rsidRPr="004B1C83">
        <w:rPr>
          <w:rFonts w:ascii="Arial" w:hAnsi="Arial" w:cs="Arial"/>
          <w:b/>
          <w:sz w:val="24"/>
          <w:szCs w:val="20"/>
        </w:rPr>
        <w:t>.</w:t>
      </w:r>
      <w:proofErr w:type="gramEnd"/>
      <w:r w:rsidR="00BE5FC5">
        <w:rPr>
          <w:rFonts w:ascii="Arial" w:hAnsi="Arial" w:cs="Arial"/>
          <w:b/>
          <w:sz w:val="24"/>
          <w:szCs w:val="20"/>
        </w:rPr>
        <w:t xml:space="preserve"> </w:t>
      </w:r>
      <w:r w:rsidRPr="004B1C83">
        <w:rPr>
          <w:rFonts w:ascii="Arial" w:hAnsi="Arial" w:cs="Arial"/>
          <w:b/>
          <w:sz w:val="24"/>
          <w:szCs w:val="20"/>
        </w:rPr>
        <w:t>Baseline characteristics and outcomes for long-stay home care recipients in Ontario</w:t>
      </w:r>
      <w:r w:rsidR="006A08A0">
        <w:rPr>
          <w:rFonts w:ascii="Arial" w:hAnsi="Arial" w:cs="Arial"/>
          <w:b/>
          <w:sz w:val="24"/>
          <w:szCs w:val="20"/>
        </w:rPr>
        <w:t>,</w:t>
      </w:r>
    </w:p>
    <w:p w:rsidR="003D4447" w:rsidRPr="004B1C83" w:rsidRDefault="006A08A0" w:rsidP="002B11FA">
      <w:pPr>
        <w:tabs>
          <w:tab w:val="left" w:pos="2127"/>
        </w:tabs>
        <w:spacing w:after="120" w:line="240" w:lineRule="auto"/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tab/>
      </w:r>
      <w:proofErr w:type="gramStart"/>
      <w:r w:rsidR="003D4447" w:rsidRPr="004B1C83">
        <w:rPr>
          <w:rFonts w:ascii="Arial" w:hAnsi="Arial" w:cs="Arial"/>
          <w:b/>
          <w:sz w:val="24"/>
          <w:szCs w:val="20"/>
        </w:rPr>
        <w:t>by</w:t>
      </w:r>
      <w:proofErr w:type="gramEnd"/>
      <w:r w:rsidR="003D4447" w:rsidRPr="004B1C83">
        <w:rPr>
          <w:rFonts w:ascii="Arial" w:hAnsi="Arial" w:cs="Arial"/>
          <w:b/>
          <w:sz w:val="24"/>
          <w:szCs w:val="20"/>
        </w:rPr>
        <w:t xml:space="preserve"> the Changes in Health, End-stage disease and Signs and Symptoms (CHESS) scale.</w:t>
      </w:r>
    </w:p>
    <w:tbl>
      <w:tblPr>
        <w:tblW w:w="12729" w:type="dxa"/>
        <w:tblInd w:w="103" w:type="dxa"/>
        <w:tblLook w:val="04A0" w:firstRow="1" w:lastRow="0" w:firstColumn="1" w:lastColumn="0" w:noHBand="0" w:noVBand="1"/>
      </w:tblPr>
      <w:tblGrid>
        <w:gridCol w:w="6665"/>
        <w:gridCol w:w="1710"/>
        <w:gridCol w:w="1620"/>
        <w:gridCol w:w="1620"/>
        <w:gridCol w:w="1114"/>
      </w:tblGrid>
      <w:tr w:rsidR="003D4447" w:rsidRPr="00264843" w:rsidTr="003D4447">
        <w:trPr>
          <w:trHeight w:val="274"/>
        </w:trPr>
        <w:tc>
          <w:tcPr>
            <w:tcW w:w="6665" w:type="dxa"/>
            <w:vMerge w:val="restart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3D4447" w:rsidRPr="00264843" w:rsidRDefault="003D4447" w:rsidP="003D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 </w:t>
            </w:r>
          </w:p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264843">
              <w:rPr>
                <w:rFonts w:ascii="Arial" w:hAnsi="Arial" w:cs="Arial"/>
                <w:b/>
                <w:sz w:val="20"/>
                <w:szCs w:val="20"/>
              </w:rPr>
              <w:t>Characteristics</w:t>
            </w:r>
            <w:r w:rsidRPr="0026484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495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47" w:rsidRPr="00264843" w:rsidRDefault="003D4447" w:rsidP="003D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CHESS Scale</w:t>
            </w:r>
          </w:p>
        </w:tc>
        <w:tc>
          <w:tcPr>
            <w:tcW w:w="1114" w:type="dxa"/>
            <w:vMerge w:val="restart"/>
            <w:tcBorders>
              <w:top w:val="single" w:sz="18" w:space="0" w:color="auto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P-value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47" w:rsidRPr="00264843" w:rsidRDefault="003D4447" w:rsidP="003D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Robust (N=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55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241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47" w:rsidRPr="00264843" w:rsidRDefault="003D4447" w:rsidP="003D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Pre-Frail (N=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75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763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4447" w:rsidRPr="00264843" w:rsidRDefault="003D4447" w:rsidP="003D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Frail (N=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103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,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548</w:t>
            </w:r>
            <w:r w:rsidRPr="0026484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114" w:type="dxa"/>
            <w:vMerge/>
            <w:tcBorders>
              <w:bottom w:val="single" w:sz="4" w:space="0" w:color="auto"/>
            </w:tcBorders>
          </w:tcPr>
          <w:p w:rsidR="003D4447" w:rsidRPr="00264843" w:rsidRDefault="003D4447" w:rsidP="003D44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2B11FA">
            <w:pPr>
              <w:spacing w:before="120" w:after="0" w:line="240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264843">
              <w:rPr>
                <w:rFonts w:ascii="Arial" w:hAnsi="Arial" w:cs="Arial"/>
                <w:i/>
                <w:sz w:val="20"/>
                <w:szCs w:val="20"/>
              </w:rPr>
              <w:t>Sociodemographic characteristics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Age (years), mean ± SD</w:t>
            </w: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81.85 ± 7.56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82.02 ± 7.40</w:t>
            </w:r>
          </w:p>
        </w:tc>
        <w:tc>
          <w:tcPr>
            <w:tcW w:w="16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82.07 ± 7.36</w:t>
            </w:r>
          </w:p>
        </w:tc>
        <w:tc>
          <w:tcPr>
            <w:tcW w:w="1114" w:type="dxa"/>
            <w:tcBorders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Sex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left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t>Male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19,361 (35.0%)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25,620 (33.8%)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38,144 (36.8%)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left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t>Female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35,880 (65.0%)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50,143 (66.2%)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65,404 (63.2%)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Rurality Index of Ontario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  <w:bookmarkStart w:id="0" w:name="_GoBack"/>
        <w:bookmarkEnd w:id="0"/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t>Major Urban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37,948 (69.0%)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51,900 (68.8%)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66,959 (65.1%)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t>Urban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0A30E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11,730 (21.3%)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0A30E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16,406 (21.8%)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0A30E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24,745 (24.1%)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t>Rural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0A30E7" w:rsidP="000A30E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5,286</w:t>
            </w:r>
            <w:r w:rsidR="003D4447" w:rsidRPr="00F56D1A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3D4447" w:rsidRPr="00F56D1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3D4447" w:rsidRPr="00F56D1A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0A30E7" w:rsidP="000A30E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7,091</w:t>
            </w:r>
            <w:r w:rsidR="003D4447" w:rsidRPr="00F56D1A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3D4447" w:rsidRPr="00F56D1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 w:rsidR="003D4447" w:rsidRPr="00F56D1A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0A30E7" w:rsidP="000A30E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11,163</w:t>
            </w:r>
            <w:r w:rsidR="003D4447" w:rsidRPr="00F56D1A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="003D4447" w:rsidRPr="00F56D1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3D4447" w:rsidRPr="00F56D1A">
              <w:rPr>
                <w:rFonts w:ascii="Arial" w:hAnsi="Arial" w:cs="Arial"/>
                <w:color w:val="000000"/>
                <w:sz w:val="20"/>
                <w:szCs w:val="20"/>
              </w:rPr>
              <w:t>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Marital status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Married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21,255 (38.5%)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29,354 (38.7%)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41,455 (40.0%)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Never Married/Other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3,286 (5.9%)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3,961 (5.2%)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4,641 (4.5%)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Widowed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26,999 (48.9%)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37,431 (49.4%)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50,746 (49.0%)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Separated/Divorced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3,701 (6.7%)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5,017 (6.6%)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6,706 (6.5%)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Primary caregiver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No primary caregiver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1,682 (3.0%)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1,773 (2.3%)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1,726 (1.7%)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Yes, does not live with client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26,179 (47.4%)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36,468 (48.1%)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48,237 (46.6%)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Yes, lives with client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27,380 (49.6%)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37,522 (49.5%)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53,585 (51.7%)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Caregiver is distressed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7,196 (13.0%)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14,648 (19.3%)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32,776 (31.7%)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Total weekday hours of caregiver support during past week</w:t>
            </w:r>
            <w:r w:rsidRPr="00264843">
              <w:rPr>
                <w:rFonts w:ascii="Arial" w:hAnsi="Arial" w:cs="Arial"/>
                <w:sz w:val="20"/>
                <w:szCs w:val="20"/>
              </w:rPr>
              <w:t>, mean ± SD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9.80 ± 12.11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10.80 ± 12.99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13.33 ± 15.52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Total weekend hours of caregiver support during past week</w:t>
            </w:r>
            <w:r w:rsidRPr="00264843">
              <w:rPr>
                <w:rFonts w:ascii="Arial" w:hAnsi="Arial" w:cs="Arial"/>
                <w:sz w:val="20"/>
                <w:szCs w:val="20"/>
              </w:rPr>
              <w:t>, mean ± SD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4.27 ± 4.97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4.64 ± 5.29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5.60 ± 6.33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  <w:t>Average hours of caregiver support per day</w:t>
            </w:r>
            <w:r w:rsidRPr="00264843">
              <w:rPr>
                <w:rFonts w:ascii="Arial" w:hAnsi="Arial" w:cs="Arial"/>
                <w:sz w:val="20"/>
                <w:szCs w:val="20"/>
              </w:rPr>
              <w:t>, mean ± SD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2.01 ± 2.39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2.21 ± 2.56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2.70 ± 3.07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2B11FA">
            <w:pPr>
              <w:spacing w:before="120"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t>Comorbidity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Number of ADG comorbidity categories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sz w:val="20"/>
                <w:szCs w:val="20"/>
              </w:rPr>
              <w:t>0-5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10,024 (18.1%)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10,693 (14.1%)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12,002 (11.6%)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sz w:val="20"/>
                <w:szCs w:val="20"/>
              </w:rPr>
              <w:t>6-9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18,177 (32.9%)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23,449 (31.0%)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29,952 (28.9%)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i/>
                <w:sz w:val="20"/>
                <w:szCs w:val="20"/>
              </w:rPr>
              <w:t>10+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27,040 (48.9%)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41,621 (54.9%)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61,594 (59.5%)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2B11FA">
            <w:pPr>
              <w:spacing w:before="120"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  <w:lastRenderedPageBreak/>
              <w:t>Health care utilization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Acute care hospitalization in year prior to index date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18,650 (33.8%)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33,476 (44.2%)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54,830 (53.0%)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Acute care hospitalization with ALC stay in year prior to index date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3,970 (7.2%)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8,174 (10.8%)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13,726 (13.3%)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Emergency department visit in year prior to index date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31,038 (56.2%)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51,284 (67.7%)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78,448 (75.8%)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Number of unique prescription medications overlapping index date, mean ± SD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5.57 ± 3.56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5.96 ± 3.75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6.38 ± 4.00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Unique prescription medications overlapping index date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0-5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29,012 (52.5%)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36,735 (48.5%)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45,373 (43.8%)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6-9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18,728 (33.9%)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26,155 (34.5%)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36,321 (35.1%)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ind w:firstLine="288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i/>
                <w:color w:val="000000"/>
                <w:sz w:val="20"/>
                <w:szCs w:val="20"/>
              </w:rPr>
              <w:t>10+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7,501 (13.6%)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12,873 (17.0%)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56D1A">
              <w:rPr>
                <w:rFonts w:ascii="Arial" w:hAnsi="Arial" w:cs="Arial"/>
                <w:color w:val="000000"/>
                <w:sz w:val="20"/>
                <w:szCs w:val="20"/>
              </w:rPr>
              <w:t>21,854 (21.1%)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n-CA"/>
              </w:rPr>
            </w:pPr>
            <w:proofErr w:type="spellStart"/>
            <w:r w:rsidRPr="00264843">
              <w:rPr>
                <w:rFonts w:ascii="Arial" w:hAnsi="Arial" w:cs="Arial"/>
                <w:i/>
                <w:sz w:val="20"/>
                <w:szCs w:val="20"/>
              </w:rPr>
              <w:t>Outcomes</w:t>
            </w:r>
            <w:r w:rsidRPr="009E4914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b</w:t>
            </w:r>
            <w:proofErr w:type="spellEnd"/>
            <w:r w:rsidRPr="00264843">
              <w:rPr>
                <w:rFonts w:ascii="Arial" w:hAnsi="Arial" w:cs="Arial"/>
                <w:i/>
                <w:sz w:val="20"/>
                <w:szCs w:val="20"/>
              </w:rPr>
              <w:t xml:space="preserve"> one year following index date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sz w:val="20"/>
                <w:szCs w:val="20"/>
              </w:rPr>
              <w:t>Death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5,694 (10.3%)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10,149 (13.4%)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25,201 (24.3%)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LTC admission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6,092 (11.0%)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11,628 (15.3%)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22,424 (21.7%)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Hospitalization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18,855 (34.1%)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30,221 (39.9%)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49,309 (47.6%)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Hospitalization with ALC stay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5,713 (10.3%)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9,771 (12.9%)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16,137 (15.6%)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  <w:r w:rsidRPr="00264843">
              <w:rPr>
                <w:rFonts w:ascii="Arial" w:hAnsi="Arial" w:cs="Arial"/>
                <w:color w:val="000000"/>
                <w:sz w:val="20"/>
                <w:szCs w:val="20"/>
              </w:rPr>
              <w:t>&lt;.001</w:t>
            </w:r>
          </w:p>
        </w:tc>
      </w:tr>
      <w:tr w:rsidR="003D4447" w:rsidRPr="00264843" w:rsidTr="003D4447">
        <w:trPr>
          <w:trHeight w:val="274"/>
        </w:trPr>
        <w:tc>
          <w:tcPr>
            <w:tcW w:w="666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3D4447" w:rsidRPr="00F56D1A" w:rsidRDefault="003D4447" w:rsidP="003D4447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3D4447" w:rsidRPr="00264843" w:rsidRDefault="003D4447" w:rsidP="003D444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D4447" w:rsidRPr="00264843" w:rsidRDefault="003D4447" w:rsidP="005A3533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264843">
        <w:rPr>
          <w:rFonts w:ascii="Arial" w:hAnsi="Arial" w:cs="Arial"/>
          <w:sz w:val="20"/>
          <w:szCs w:val="20"/>
        </w:rPr>
        <w:t>ADG=Adjusted Diagnosis Groups; ALC=Alternative Level of Care; LTC=Long-Term Care; SD=Standard Deviation;</w:t>
      </w:r>
    </w:p>
    <w:p w:rsidR="003D4447" w:rsidRDefault="003D4447" w:rsidP="003D444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64843">
        <w:rPr>
          <w:rFonts w:ascii="Arial" w:hAnsi="Arial" w:cs="Arial"/>
          <w:sz w:val="20"/>
          <w:szCs w:val="20"/>
        </w:rPr>
        <w:t>a – Data are presented as N</w:t>
      </w:r>
      <w:r w:rsidR="005A3533">
        <w:rPr>
          <w:rFonts w:ascii="Arial" w:hAnsi="Arial" w:cs="Arial"/>
          <w:sz w:val="20"/>
          <w:szCs w:val="20"/>
        </w:rPr>
        <w:t xml:space="preserve"> </w:t>
      </w:r>
      <w:r w:rsidRPr="00264843">
        <w:rPr>
          <w:rFonts w:ascii="Arial" w:hAnsi="Arial" w:cs="Arial"/>
          <w:sz w:val="20"/>
          <w:szCs w:val="20"/>
        </w:rPr>
        <w:t>(column %) unless otherwise noted</w:t>
      </w:r>
    </w:p>
    <w:p w:rsidR="003D4447" w:rsidRPr="003176A4" w:rsidRDefault="003D4447" w:rsidP="003D4447">
      <w:pPr>
        <w:spacing w:after="0" w:line="240" w:lineRule="auto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b – Outcome categories are not mutually exclusive</w:t>
      </w:r>
      <w:r w:rsidRPr="003176A4">
        <w:rPr>
          <w:rFonts w:ascii="Arial" w:hAnsi="Arial" w:cs="Arial"/>
          <w:sz w:val="20"/>
          <w:szCs w:val="24"/>
        </w:rPr>
        <w:t xml:space="preserve"> </w:t>
      </w:r>
    </w:p>
    <w:p w:rsidR="00421144" w:rsidRDefault="00421144"/>
    <w:p w:rsidR="00214FBB" w:rsidRDefault="00214FBB"/>
    <w:p w:rsidR="00214FBB" w:rsidRDefault="00214FBB"/>
    <w:p w:rsidR="00214FBB" w:rsidRDefault="00214FBB"/>
    <w:p w:rsidR="006A08A0" w:rsidRDefault="006A08A0">
      <w:pPr>
        <w:rPr>
          <w:rFonts w:ascii="Arial" w:hAnsi="Arial" w:cs="Arial"/>
          <w:b/>
          <w:sz w:val="24"/>
          <w:szCs w:val="20"/>
        </w:rPr>
      </w:pPr>
      <w:r>
        <w:rPr>
          <w:rFonts w:ascii="Arial" w:hAnsi="Arial" w:cs="Arial"/>
          <w:b/>
          <w:sz w:val="24"/>
          <w:szCs w:val="20"/>
        </w:rPr>
        <w:br w:type="page"/>
      </w:r>
    </w:p>
    <w:p w:rsidR="006A08A0" w:rsidRDefault="00214FBB" w:rsidP="006A08A0">
      <w:pPr>
        <w:tabs>
          <w:tab w:val="left" w:pos="2268"/>
        </w:tabs>
        <w:spacing w:after="0" w:line="240" w:lineRule="auto"/>
        <w:rPr>
          <w:rFonts w:ascii="Arial" w:hAnsi="Arial" w:cs="Arial"/>
          <w:b/>
          <w:sz w:val="24"/>
          <w:szCs w:val="20"/>
        </w:rPr>
      </w:pPr>
      <w:proofErr w:type="gramStart"/>
      <w:r w:rsidRPr="004B1C83">
        <w:rPr>
          <w:rFonts w:ascii="Arial" w:hAnsi="Arial" w:cs="Arial"/>
          <w:b/>
          <w:sz w:val="24"/>
          <w:szCs w:val="20"/>
        </w:rPr>
        <w:lastRenderedPageBreak/>
        <w:t xml:space="preserve">Appendix </w:t>
      </w:r>
      <w:r>
        <w:rPr>
          <w:rFonts w:ascii="Arial" w:hAnsi="Arial" w:cs="Arial"/>
          <w:b/>
          <w:sz w:val="24"/>
          <w:szCs w:val="20"/>
        </w:rPr>
        <w:t>Figure</w:t>
      </w:r>
      <w:r w:rsidRPr="004B1C83">
        <w:rPr>
          <w:rFonts w:ascii="Arial" w:hAnsi="Arial" w:cs="Arial"/>
          <w:b/>
          <w:sz w:val="24"/>
          <w:szCs w:val="20"/>
        </w:rPr>
        <w:t xml:space="preserve"> </w:t>
      </w:r>
      <w:r>
        <w:rPr>
          <w:rFonts w:ascii="Arial" w:hAnsi="Arial" w:cs="Arial"/>
          <w:b/>
          <w:sz w:val="24"/>
          <w:szCs w:val="20"/>
        </w:rPr>
        <w:t>1</w:t>
      </w:r>
      <w:r w:rsidRPr="004B1C83">
        <w:rPr>
          <w:rFonts w:ascii="Arial" w:hAnsi="Arial" w:cs="Arial"/>
          <w:b/>
          <w:sz w:val="24"/>
          <w:szCs w:val="20"/>
        </w:rPr>
        <w:t>.</w:t>
      </w:r>
      <w:proofErr w:type="gramEnd"/>
      <w:r w:rsidR="006A08A0">
        <w:rPr>
          <w:rFonts w:ascii="Arial" w:hAnsi="Arial" w:cs="Arial"/>
          <w:b/>
          <w:sz w:val="24"/>
          <w:szCs w:val="20"/>
        </w:rPr>
        <w:tab/>
      </w:r>
      <w:proofErr w:type="gramStart"/>
      <w:r>
        <w:rPr>
          <w:rFonts w:ascii="Arial" w:hAnsi="Arial" w:cs="Arial"/>
          <w:b/>
          <w:sz w:val="24"/>
          <w:szCs w:val="20"/>
        </w:rPr>
        <w:t>Distribution of</w:t>
      </w:r>
      <w:r w:rsidR="00922D61">
        <w:rPr>
          <w:rFonts w:ascii="Arial" w:hAnsi="Arial" w:cs="Arial"/>
          <w:b/>
          <w:sz w:val="24"/>
          <w:szCs w:val="20"/>
        </w:rPr>
        <w:t xml:space="preserve"> modified and full frailty index </w:t>
      </w:r>
      <w:r w:rsidR="00922D61" w:rsidRPr="004B1C83">
        <w:rPr>
          <w:rFonts w:ascii="Arial" w:hAnsi="Arial" w:cs="Arial"/>
          <w:b/>
          <w:sz w:val="24"/>
          <w:szCs w:val="20"/>
        </w:rPr>
        <w:t xml:space="preserve">for </w:t>
      </w:r>
      <w:r w:rsidR="00922D61">
        <w:rPr>
          <w:rFonts w:ascii="Arial" w:hAnsi="Arial" w:cs="Arial"/>
          <w:b/>
          <w:sz w:val="24"/>
          <w:szCs w:val="20"/>
        </w:rPr>
        <w:t xml:space="preserve">all </w:t>
      </w:r>
      <w:r w:rsidR="00922D61" w:rsidRPr="004B1C83">
        <w:rPr>
          <w:rFonts w:ascii="Arial" w:hAnsi="Arial" w:cs="Arial"/>
          <w:b/>
          <w:sz w:val="24"/>
          <w:szCs w:val="20"/>
        </w:rPr>
        <w:t>long-stay home care</w:t>
      </w:r>
      <w:r w:rsidR="006A08A0">
        <w:rPr>
          <w:rFonts w:ascii="Arial" w:hAnsi="Arial" w:cs="Arial"/>
          <w:b/>
          <w:sz w:val="24"/>
          <w:szCs w:val="20"/>
        </w:rPr>
        <w:t xml:space="preserve"> </w:t>
      </w:r>
      <w:r w:rsidR="00922D61" w:rsidRPr="004B1C83">
        <w:rPr>
          <w:rFonts w:ascii="Arial" w:hAnsi="Arial" w:cs="Arial"/>
          <w:b/>
          <w:sz w:val="24"/>
          <w:szCs w:val="20"/>
        </w:rPr>
        <w:t>recipients in Ontario</w:t>
      </w:r>
      <w:r w:rsidR="00922D61">
        <w:rPr>
          <w:rFonts w:ascii="Arial" w:hAnsi="Arial" w:cs="Arial"/>
          <w:b/>
          <w:sz w:val="24"/>
          <w:szCs w:val="20"/>
        </w:rPr>
        <w:t>.</w:t>
      </w:r>
      <w:proofErr w:type="gramEnd"/>
    </w:p>
    <w:p w:rsidR="00214FBB" w:rsidRDefault="00922D61" w:rsidP="006A08A0">
      <w:pPr>
        <w:tabs>
          <w:tab w:val="left" w:pos="2268"/>
        </w:tabs>
        <w:spacing w:after="0" w:line="240" w:lineRule="auto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.</w:t>
      </w:r>
      <w:r w:rsidR="005F3A41">
        <w:rPr>
          <w:noProof/>
          <w:lang w:eastAsia="en-CA"/>
        </w:rPr>
        <w:drawing>
          <wp:inline distT="0" distB="0" distL="0" distR="0" wp14:anchorId="075F0CAF" wp14:editId="64764ED1">
            <wp:extent cx="8067675" cy="5257800"/>
            <wp:effectExtent l="0" t="0" r="9525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6A08A0" w:rsidRDefault="006A08A0" w:rsidP="006A08A0">
      <w:pPr>
        <w:tabs>
          <w:tab w:val="left" w:pos="2268"/>
        </w:tabs>
        <w:spacing w:after="0" w:line="240" w:lineRule="auto"/>
      </w:pPr>
      <w:r w:rsidRPr="006A08A0">
        <w:rPr>
          <w:rFonts w:ascii="Arial" w:hAnsi="Arial" w:cs="Arial"/>
          <w:sz w:val="20"/>
          <w:szCs w:val="20"/>
        </w:rPr>
        <w:t xml:space="preserve">Modified frailty index (Median = 0.223; Interquartile Range = 0.138; Range = 0.000-0.723) shown in grey and </w:t>
      </w:r>
      <w:r>
        <w:rPr>
          <w:rFonts w:ascii="Arial" w:hAnsi="Arial" w:cs="Arial"/>
          <w:sz w:val="20"/>
          <w:szCs w:val="20"/>
        </w:rPr>
        <w:t>F</w:t>
      </w:r>
      <w:r w:rsidRPr="006A08A0">
        <w:rPr>
          <w:rFonts w:ascii="Arial" w:hAnsi="Arial" w:cs="Arial"/>
          <w:sz w:val="20"/>
          <w:szCs w:val="20"/>
        </w:rPr>
        <w:t>ull frailty index (Median = 0.208; Interquartile Range = 0.125; Range =0.000-0.706) shown in black</w:t>
      </w:r>
      <w:r>
        <w:rPr>
          <w:rFonts w:ascii="Arial" w:hAnsi="Arial" w:cs="Arial"/>
          <w:sz w:val="20"/>
          <w:szCs w:val="20"/>
        </w:rPr>
        <w:t>.</w:t>
      </w:r>
    </w:p>
    <w:sectPr w:rsidR="006A08A0" w:rsidSect="003D4447">
      <w:pgSz w:w="15840" w:h="12240" w:orient="landscape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EAC7F03"/>
    <w:multiLevelType w:val="hybridMultilevel"/>
    <w:tmpl w:val="9020B656"/>
    <w:lvl w:ilvl="0" w:tplc="24DA06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0564790"/>
    <w:multiLevelType w:val="hybridMultilevel"/>
    <w:tmpl w:val="F354A0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B962F4"/>
    <w:multiLevelType w:val="multilevel"/>
    <w:tmpl w:val="A3C0A0E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567" w:hanging="20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794" w:hanging="7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191" w:hanging="11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4E281F94"/>
    <w:multiLevelType w:val="hybridMultilevel"/>
    <w:tmpl w:val="39EC8ECC"/>
    <w:lvl w:ilvl="0" w:tplc="8A185C7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AF51FEE"/>
    <w:multiLevelType w:val="multilevel"/>
    <w:tmpl w:val="25F0D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447"/>
    <w:rsid w:val="000A30E7"/>
    <w:rsid w:val="001719A6"/>
    <w:rsid w:val="00214FBB"/>
    <w:rsid w:val="002B11FA"/>
    <w:rsid w:val="002B55A1"/>
    <w:rsid w:val="002C3E1C"/>
    <w:rsid w:val="00367167"/>
    <w:rsid w:val="003D4447"/>
    <w:rsid w:val="00421144"/>
    <w:rsid w:val="005A3533"/>
    <w:rsid w:val="005F3A41"/>
    <w:rsid w:val="0061451B"/>
    <w:rsid w:val="006A08A0"/>
    <w:rsid w:val="00703987"/>
    <w:rsid w:val="00836BB6"/>
    <w:rsid w:val="0085281A"/>
    <w:rsid w:val="00880BC7"/>
    <w:rsid w:val="00922D61"/>
    <w:rsid w:val="00AC64D5"/>
    <w:rsid w:val="00B3724B"/>
    <w:rsid w:val="00BC5C78"/>
    <w:rsid w:val="00BE5FC5"/>
    <w:rsid w:val="00CA60B6"/>
    <w:rsid w:val="00D72455"/>
    <w:rsid w:val="00DD2951"/>
    <w:rsid w:val="00EB19B0"/>
    <w:rsid w:val="00EF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n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Table Simple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4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D4447"/>
    <w:rPr>
      <w:strike w:val="0"/>
      <w:dstrike w:val="0"/>
      <w:color w:val="3333CC"/>
      <w:u w:val="none"/>
      <w:effect w:val="none"/>
    </w:rPr>
  </w:style>
  <w:style w:type="character" w:styleId="Strong">
    <w:name w:val="Strong"/>
    <w:qFormat/>
    <w:rsid w:val="003D4447"/>
    <w:rPr>
      <w:b/>
      <w:bCs/>
    </w:rPr>
  </w:style>
  <w:style w:type="paragraph" w:customStyle="1" w:styleId="para">
    <w:name w:val="para"/>
    <w:basedOn w:val="Normal"/>
    <w:rsid w:val="003D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Emphasis">
    <w:name w:val="Emphasis"/>
    <w:basedOn w:val="DefaultParagraphFont"/>
    <w:qFormat/>
    <w:rsid w:val="003D4447"/>
    <w:rPr>
      <w:i/>
      <w:iCs/>
    </w:rPr>
  </w:style>
  <w:style w:type="paragraph" w:customStyle="1" w:styleId="Quote1">
    <w:name w:val="Quote1"/>
    <w:basedOn w:val="Normal"/>
    <w:rsid w:val="003D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NormalWeb">
    <w:name w:val="Normal (Web)"/>
    <w:basedOn w:val="Normal"/>
    <w:rsid w:val="003D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3D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3D44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D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444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semiHidden/>
    <w:rsid w:val="003D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3D444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rsid w:val="003D4447"/>
    <w:rPr>
      <w:vertAlign w:val="superscript"/>
    </w:rPr>
  </w:style>
  <w:style w:type="paragraph" w:styleId="BalloonText">
    <w:name w:val="Balloon Text"/>
    <w:basedOn w:val="Normal"/>
    <w:link w:val="BalloonTextChar"/>
    <w:semiHidden/>
    <w:rsid w:val="003D4447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semiHidden/>
    <w:rsid w:val="003D4447"/>
    <w:rPr>
      <w:rFonts w:ascii="Tahoma" w:eastAsia="Times New Roman" w:hAnsi="Tahoma" w:cs="Tahoma"/>
      <w:sz w:val="16"/>
      <w:szCs w:val="16"/>
      <w:lang w:val="en-US"/>
    </w:rPr>
  </w:style>
  <w:style w:type="paragraph" w:styleId="EndnoteText">
    <w:name w:val="endnote text"/>
    <w:basedOn w:val="Normal"/>
    <w:link w:val="EndnoteTextChar"/>
    <w:semiHidden/>
    <w:rsid w:val="003D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3D444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D44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D444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ref-journal1">
    <w:name w:val="ref-journal1"/>
    <w:basedOn w:val="DefaultParagraphFont"/>
    <w:rsid w:val="003D4447"/>
    <w:rPr>
      <w:i/>
      <w:iCs/>
    </w:rPr>
  </w:style>
  <w:style w:type="paragraph" w:styleId="Footer">
    <w:name w:val="footer"/>
    <w:basedOn w:val="Normal"/>
    <w:link w:val="FooterChar"/>
    <w:uiPriority w:val="99"/>
    <w:rsid w:val="003D444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D444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rsid w:val="003D4447"/>
  </w:style>
  <w:style w:type="paragraph" w:styleId="BodyTextIndent3">
    <w:name w:val="Body Text Indent 3"/>
    <w:basedOn w:val="Normal"/>
    <w:link w:val="BodyTextIndent3Char"/>
    <w:rsid w:val="003D4447"/>
    <w:pPr>
      <w:spacing w:after="0" w:line="480" w:lineRule="auto"/>
      <w:ind w:firstLine="720"/>
    </w:pPr>
    <w:rPr>
      <w:rFonts w:ascii="Arial" w:eastAsia="Times New Roman" w:hAnsi="Arial" w:cs="Arial"/>
      <w:color w:val="000000"/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3D4447"/>
    <w:rPr>
      <w:rFonts w:ascii="Arial" w:eastAsia="Times New Roman" w:hAnsi="Arial" w:cs="Arial"/>
      <w:color w:val="000000"/>
      <w:sz w:val="24"/>
    </w:rPr>
  </w:style>
  <w:style w:type="table" w:styleId="TableSimple1">
    <w:name w:val="Table Simple 1"/>
    <w:basedOn w:val="TableNormal"/>
    <w:rsid w:val="003D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LineNumber">
    <w:name w:val="line number"/>
    <w:basedOn w:val="DefaultParagraphFont"/>
    <w:rsid w:val="003D4447"/>
  </w:style>
  <w:style w:type="paragraph" w:styleId="Revision">
    <w:name w:val="Revision"/>
    <w:hidden/>
    <w:uiPriority w:val="99"/>
    <w:semiHidden/>
    <w:rsid w:val="003D4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3">
    <w:name w:val="xl63"/>
    <w:basedOn w:val="Normal"/>
    <w:rsid w:val="003D444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4">
    <w:name w:val="xl64"/>
    <w:basedOn w:val="Normal"/>
    <w:rsid w:val="003D4447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5">
    <w:name w:val="xl65"/>
    <w:basedOn w:val="Normal"/>
    <w:rsid w:val="003D444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6">
    <w:name w:val="xl66"/>
    <w:basedOn w:val="Normal"/>
    <w:rsid w:val="003D444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paragraph" w:customStyle="1" w:styleId="xl67">
    <w:name w:val="xl67"/>
    <w:basedOn w:val="Normal"/>
    <w:rsid w:val="003D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paragraph" w:customStyle="1" w:styleId="xl68">
    <w:name w:val="xl68"/>
    <w:basedOn w:val="Normal"/>
    <w:rsid w:val="003D444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paragraph" w:customStyle="1" w:styleId="xl69">
    <w:name w:val="xl69"/>
    <w:basedOn w:val="Normal"/>
    <w:rsid w:val="003D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CA"/>
    </w:rPr>
  </w:style>
  <w:style w:type="paragraph" w:customStyle="1" w:styleId="xl70">
    <w:name w:val="xl70"/>
    <w:basedOn w:val="Normal"/>
    <w:rsid w:val="003D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1">
    <w:name w:val="xl71"/>
    <w:basedOn w:val="Normal"/>
    <w:rsid w:val="003D444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2">
    <w:name w:val="xl72"/>
    <w:basedOn w:val="Normal"/>
    <w:rsid w:val="003D444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3">
    <w:name w:val="xl73"/>
    <w:basedOn w:val="Normal"/>
    <w:rsid w:val="003D444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3D44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447"/>
  </w:style>
  <w:style w:type="paragraph" w:customStyle="1" w:styleId="NormalBold">
    <w:name w:val="Normal + Bold"/>
    <w:aliases w:val="small caps"/>
    <w:basedOn w:val="Normal"/>
    <w:uiPriority w:val="99"/>
    <w:rsid w:val="003D444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n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Table Simple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4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D4447"/>
    <w:rPr>
      <w:strike w:val="0"/>
      <w:dstrike w:val="0"/>
      <w:color w:val="3333CC"/>
      <w:u w:val="none"/>
      <w:effect w:val="none"/>
    </w:rPr>
  </w:style>
  <w:style w:type="character" w:styleId="Strong">
    <w:name w:val="Strong"/>
    <w:qFormat/>
    <w:rsid w:val="003D4447"/>
    <w:rPr>
      <w:b/>
      <w:bCs/>
    </w:rPr>
  </w:style>
  <w:style w:type="paragraph" w:customStyle="1" w:styleId="para">
    <w:name w:val="para"/>
    <w:basedOn w:val="Normal"/>
    <w:rsid w:val="003D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Emphasis">
    <w:name w:val="Emphasis"/>
    <w:basedOn w:val="DefaultParagraphFont"/>
    <w:qFormat/>
    <w:rsid w:val="003D4447"/>
    <w:rPr>
      <w:i/>
      <w:iCs/>
    </w:rPr>
  </w:style>
  <w:style w:type="paragraph" w:customStyle="1" w:styleId="Quote1">
    <w:name w:val="Quote1"/>
    <w:basedOn w:val="Normal"/>
    <w:rsid w:val="003D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NormalWeb">
    <w:name w:val="Normal (Web)"/>
    <w:basedOn w:val="Normal"/>
    <w:rsid w:val="003D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3D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3D44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D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444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semiHidden/>
    <w:rsid w:val="003D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3D444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semiHidden/>
    <w:rsid w:val="003D4447"/>
    <w:rPr>
      <w:vertAlign w:val="superscript"/>
    </w:rPr>
  </w:style>
  <w:style w:type="paragraph" w:styleId="BalloonText">
    <w:name w:val="Balloon Text"/>
    <w:basedOn w:val="Normal"/>
    <w:link w:val="BalloonTextChar"/>
    <w:semiHidden/>
    <w:rsid w:val="003D4447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semiHidden/>
    <w:rsid w:val="003D4447"/>
    <w:rPr>
      <w:rFonts w:ascii="Tahoma" w:eastAsia="Times New Roman" w:hAnsi="Tahoma" w:cs="Tahoma"/>
      <w:sz w:val="16"/>
      <w:szCs w:val="16"/>
      <w:lang w:val="en-US"/>
    </w:rPr>
  </w:style>
  <w:style w:type="paragraph" w:styleId="EndnoteText">
    <w:name w:val="endnote text"/>
    <w:basedOn w:val="Normal"/>
    <w:link w:val="EndnoteTextChar"/>
    <w:semiHidden/>
    <w:rsid w:val="003D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3D4447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D44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D444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ref-journal1">
    <w:name w:val="ref-journal1"/>
    <w:basedOn w:val="DefaultParagraphFont"/>
    <w:rsid w:val="003D4447"/>
    <w:rPr>
      <w:i/>
      <w:iCs/>
    </w:rPr>
  </w:style>
  <w:style w:type="paragraph" w:styleId="Footer">
    <w:name w:val="footer"/>
    <w:basedOn w:val="Normal"/>
    <w:link w:val="FooterChar"/>
    <w:uiPriority w:val="99"/>
    <w:rsid w:val="003D444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D444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rsid w:val="003D4447"/>
  </w:style>
  <w:style w:type="paragraph" w:styleId="BodyTextIndent3">
    <w:name w:val="Body Text Indent 3"/>
    <w:basedOn w:val="Normal"/>
    <w:link w:val="BodyTextIndent3Char"/>
    <w:rsid w:val="003D4447"/>
    <w:pPr>
      <w:spacing w:after="0" w:line="480" w:lineRule="auto"/>
      <w:ind w:firstLine="720"/>
    </w:pPr>
    <w:rPr>
      <w:rFonts w:ascii="Arial" w:eastAsia="Times New Roman" w:hAnsi="Arial" w:cs="Arial"/>
      <w:color w:val="000000"/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3D4447"/>
    <w:rPr>
      <w:rFonts w:ascii="Arial" w:eastAsia="Times New Roman" w:hAnsi="Arial" w:cs="Arial"/>
      <w:color w:val="000000"/>
      <w:sz w:val="24"/>
    </w:rPr>
  </w:style>
  <w:style w:type="table" w:styleId="TableSimple1">
    <w:name w:val="Table Simple 1"/>
    <w:basedOn w:val="TableNormal"/>
    <w:rsid w:val="003D44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LineNumber">
    <w:name w:val="line number"/>
    <w:basedOn w:val="DefaultParagraphFont"/>
    <w:rsid w:val="003D4447"/>
  </w:style>
  <w:style w:type="paragraph" w:styleId="Revision">
    <w:name w:val="Revision"/>
    <w:hidden/>
    <w:uiPriority w:val="99"/>
    <w:semiHidden/>
    <w:rsid w:val="003D4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3">
    <w:name w:val="xl63"/>
    <w:basedOn w:val="Normal"/>
    <w:rsid w:val="003D444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4">
    <w:name w:val="xl64"/>
    <w:basedOn w:val="Normal"/>
    <w:rsid w:val="003D4447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5">
    <w:name w:val="xl65"/>
    <w:basedOn w:val="Normal"/>
    <w:rsid w:val="003D444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66">
    <w:name w:val="xl66"/>
    <w:basedOn w:val="Normal"/>
    <w:rsid w:val="003D444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paragraph" w:customStyle="1" w:styleId="xl67">
    <w:name w:val="xl67"/>
    <w:basedOn w:val="Normal"/>
    <w:rsid w:val="003D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paragraph" w:customStyle="1" w:styleId="xl68">
    <w:name w:val="xl68"/>
    <w:basedOn w:val="Normal"/>
    <w:rsid w:val="003D444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paragraph" w:customStyle="1" w:styleId="xl69">
    <w:name w:val="xl69"/>
    <w:basedOn w:val="Normal"/>
    <w:rsid w:val="003D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CA"/>
    </w:rPr>
  </w:style>
  <w:style w:type="paragraph" w:customStyle="1" w:styleId="xl70">
    <w:name w:val="xl70"/>
    <w:basedOn w:val="Normal"/>
    <w:rsid w:val="003D4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1">
    <w:name w:val="xl71"/>
    <w:basedOn w:val="Normal"/>
    <w:rsid w:val="003D444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2">
    <w:name w:val="xl72"/>
    <w:basedOn w:val="Normal"/>
    <w:rsid w:val="003D444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xl73">
    <w:name w:val="xl73"/>
    <w:basedOn w:val="Normal"/>
    <w:rsid w:val="003D444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3D44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447"/>
  </w:style>
  <w:style w:type="paragraph" w:customStyle="1" w:styleId="NormalBold">
    <w:name w:val="Normal + Bold"/>
    <w:aliases w:val="small caps"/>
    <w:basedOn w:val="Normal"/>
    <w:uiPriority w:val="99"/>
    <w:rsid w:val="003D444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ICESFS1\Personal$\michaelcam\Mike's%20projects%20-%20Jan%2011%202012\Home%20Care%20drugs\Frailty%20histograms%20-%20Feb%208%20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C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5004074903860161E-2"/>
          <c:y val="2.0406720346397379E-2"/>
          <c:w val="0.87923645907897863"/>
          <c:h val="0.743117273384305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Combined_hist!$B$1</c:f>
              <c:strCache>
                <c:ptCount val="1"/>
                <c:pt idx="0">
                  <c:v>Modified Frailty Index</c:v>
                </c:pt>
              </c:strCache>
            </c:strRef>
          </c:tx>
          <c:spPr>
            <a:solidFill>
              <a:schemeClr val="bg1">
                <a:lumMod val="50000"/>
              </a:schemeClr>
            </a:solidFill>
          </c:spPr>
          <c:invertIfNegative val="0"/>
          <c:cat>
            <c:strRef>
              <c:f>Combined_hist!$A$2:$A$12</c:f>
              <c:strCache>
                <c:ptCount val="11"/>
                <c:pt idx="0">
                  <c:v>0.000-0.049</c:v>
                </c:pt>
                <c:pt idx="1">
                  <c:v>0.050-0.099</c:v>
                </c:pt>
                <c:pt idx="2">
                  <c:v>0.100-0.149</c:v>
                </c:pt>
                <c:pt idx="3">
                  <c:v>0.150-0.199</c:v>
                </c:pt>
                <c:pt idx="4">
                  <c:v>0.200-0.249</c:v>
                </c:pt>
                <c:pt idx="5">
                  <c:v>0.250-0.299</c:v>
                </c:pt>
                <c:pt idx="6">
                  <c:v>0.300-0.349</c:v>
                </c:pt>
                <c:pt idx="7">
                  <c:v>0.350-0.399</c:v>
                </c:pt>
                <c:pt idx="8">
                  <c:v>0.400-0.449</c:v>
                </c:pt>
                <c:pt idx="9">
                  <c:v>0.450-0.499</c:v>
                </c:pt>
                <c:pt idx="10">
                  <c:v>0.500+</c:v>
                </c:pt>
              </c:strCache>
            </c:strRef>
          </c:cat>
          <c:val>
            <c:numRef>
              <c:f>Combined_hist!$B$2:$B$12</c:f>
              <c:numCache>
                <c:formatCode>General</c:formatCode>
                <c:ptCount val="11"/>
                <c:pt idx="0">
                  <c:v>1.4082165149000001</c:v>
                </c:pt>
                <c:pt idx="1">
                  <c:v>6.0728537808</c:v>
                </c:pt>
                <c:pt idx="2">
                  <c:v>14.341809066</c:v>
                </c:pt>
                <c:pt idx="3">
                  <c:v>18.768972339000001</c:v>
                </c:pt>
                <c:pt idx="4">
                  <c:v>18.692230294000002</c:v>
                </c:pt>
                <c:pt idx="5">
                  <c:v>16.313653261999999</c:v>
                </c:pt>
                <c:pt idx="6">
                  <c:v>9.5833759678000003</c:v>
                </c:pt>
                <c:pt idx="7">
                  <c:v>7.0786009073000002</c:v>
                </c:pt>
                <c:pt idx="8">
                  <c:v>4.4958047682000002</c:v>
                </c:pt>
                <c:pt idx="9">
                  <c:v>1.8503359596</c:v>
                </c:pt>
                <c:pt idx="10">
                  <c:v>1.3941471401000001</c:v>
                </c:pt>
              </c:numCache>
            </c:numRef>
          </c:val>
        </c:ser>
        <c:ser>
          <c:idx val="1"/>
          <c:order val="1"/>
          <c:tx>
            <c:strRef>
              <c:f>Combined_hist!$C$1</c:f>
              <c:strCache>
                <c:ptCount val="1"/>
                <c:pt idx="0">
                  <c:v>Full Frailty Index</c:v>
                </c:pt>
              </c:strCache>
            </c:strRef>
          </c:tx>
          <c:spPr>
            <a:solidFill>
              <a:schemeClr val="tx1"/>
            </a:solidFill>
          </c:spPr>
          <c:invertIfNegative val="0"/>
          <c:cat>
            <c:strRef>
              <c:f>Combined_hist!$A$2:$A$12</c:f>
              <c:strCache>
                <c:ptCount val="11"/>
                <c:pt idx="0">
                  <c:v>0.000-0.049</c:v>
                </c:pt>
                <c:pt idx="1">
                  <c:v>0.050-0.099</c:v>
                </c:pt>
                <c:pt idx="2">
                  <c:v>0.100-0.149</c:v>
                </c:pt>
                <c:pt idx="3">
                  <c:v>0.150-0.199</c:v>
                </c:pt>
                <c:pt idx="4">
                  <c:v>0.200-0.249</c:v>
                </c:pt>
                <c:pt idx="5">
                  <c:v>0.250-0.299</c:v>
                </c:pt>
                <c:pt idx="6">
                  <c:v>0.300-0.349</c:v>
                </c:pt>
                <c:pt idx="7">
                  <c:v>0.350-0.399</c:v>
                </c:pt>
                <c:pt idx="8">
                  <c:v>0.400-0.449</c:v>
                </c:pt>
                <c:pt idx="9">
                  <c:v>0.450-0.499</c:v>
                </c:pt>
                <c:pt idx="10">
                  <c:v>0.500+</c:v>
                </c:pt>
              </c:strCache>
            </c:strRef>
          </c:cat>
          <c:val>
            <c:numRef>
              <c:f>Combined_hist!$C$2:$C$12</c:f>
              <c:numCache>
                <c:formatCode>General</c:formatCode>
                <c:ptCount val="11"/>
                <c:pt idx="0">
                  <c:v>1.230004434</c:v>
                </c:pt>
                <c:pt idx="1">
                  <c:v>7.0960810395999996</c:v>
                </c:pt>
                <c:pt idx="2">
                  <c:v>16.310668849999999</c:v>
                </c:pt>
                <c:pt idx="3">
                  <c:v>21.696681333000001</c:v>
                </c:pt>
                <c:pt idx="4">
                  <c:v>19.398257102999999</c:v>
                </c:pt>
                <c:pt idx="5">
                  <c:v>14.775401617</c:v>
                </c:pt>
                <c:pt idx="6">
                  <c:v>8.9208363176999992</c:v>
                </c:pt>
                <c:pt idx="7">
                  <c:v>5.5288379549000002</c:v>
                </c:pt>
                <c:pt idx="8">
                  <c:v>2.9575531224999998</c:v>
                </c:pt>
                <c:pt idx="9">
                  <c:v>1.3596132201</c:v>
                </c:pt>
                <c:pt idx="10">
                  <c:v>0.72606500900000004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3894272"/>
        <c:axId val="153880064"/>
      </c:barChart>
      <c:catAx>
        <c:axId val="1538942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CA" sz="1400"/>
                  <a:t>Frailty Index</a:t>
                </a:r>
                <a:r>
                  <a:rPr lang="en-CA" sz="1400" baseline="0"/>
                  <a:t> Score</a:t>
                </a:r>
                <a:endParaRPr lang="en-CA" sz="1400"/>
              </a:p>
            </c:rich>
          </c:tx>
          <c:layout>
            <c:manualLayout>
              <c:xMode val="edge"/>
              <c:yMode val="edge"/>
              <c:x val="0.4337034361624143"/>
              <c:y val="0.96202630603377959"/>
            </c:manualLayout>
          </c:layout>
          <c:overlay val="0"/>
        </c:title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en-US"/>
          </a:p>
        </c:txPr>
        <c:crossAx val="153880064"/>
        <c:crosses val="autoZero"/>
        <c:auto val="1"/>
        <c:lblAlgn val="ctr"/>
        <c:lblOffset val="100"/>
        <c:noMultiLvlLbl val="0"/>
      </c:catAx>
      <c:valAx>
        <c:axId val="15388006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CA" sz="1400"/>
                  <a:t>Percent of Cohort</a:t>
                </a:r>
              </a:p>
            </c:rich>
          </c:tx>
          <c:layout>
            <c:manualLayout>
              <c:xMode val="edge"/>
              <c:yMode val="edge"/>
              <c:x val="1.4236824706918449E-2"/>
              <c:y val="0.3851442976407610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en-US"/>
          </a:p>
        </c:txPr>
        <c:crossAx val="1538942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0150470860563918"/>
          <c:y val="3.5844892269822209E-2"/>
          <c:w val="0.27111677156057973"/>
          <c:h val="8.5888013998250218E-2"/>
        </c:manualLayout>
      </c:layout>
      <c:overlay val="0"/>
      <c:txPr>
        <a:bodyPr/>
        <a:lstStyle/>
        <a:p>
          <a:pPr>
            <a:defRPr sz="140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1451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Colleen Maxwell</cp:lastModifiedBy>
  <cp:revision>3</cp:revision>
  <dcterms:created xsi:type="dcterms:W3CDTF">2016-07-05T21:04:00Z</dcterms:created>
  <dcterms:modified xsi:type="dcterms:W3CDTF">2016-07-05T21:06:00Z</dcterms:modified>
</cp:coreProperties>
</file>