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2FB" w:rsidRPr="00D249E9" w:rsidRDefault="00621A8D" w:rsidP="00D249E9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  <w:r>
        <w:rPr>
          <w:rFonts w:ascii="Arial" w:hAnsi="Arial" w:cs="Arial"/>
          <w:b/>
          <w:sz w:val="24"/>
          <w:szCs w:val="20"/>
          <w:lang w:val="en-GB"/>
        </w:rPr>
        <w:t>Table</w:t>
      </w:r>
      <w:r w:rsidR="008A32FB" w:rsidRPr="00D249E9">
        <w:rPr>
          <w:rFonts w:ascii="Arial" w:hAnsi="Arial" w:cs="Arial"/>
          <w:b/>
          <w:sz w:val="24"/>
          <w:szCs w:val="20"/>
          <w:lang w:val="en-GB"/>
        </w:rPr>
        <w:t xml:space="preserve"> </w:t>
      </w:r>
      <w:r w:rsidR="003C7662">
        <w:rPr>
          <w:rFonts w:ascii="Arial" w:hAnsi="Arial" w:cs="Arial"/>
          <w:b/>
          <w:sz w:val="24"/>
          <w:szCs w:val="20"/>
          <w:lang w:val="en-GB"/>
        </w:rPr>
        <w:t>S</w:t>
      </w:r>
      <w:r w:rsidR="008A32FB" w:rsidRPr="00D249E9">
        <w:rPr>
          <w:rFonts w:ascii="Arial" w:hAnsi="Arial" w:cs="Arial"/>
          <w:b/>
          <w:sz w:val="24"/>
          <w:szCs w:val="20"/>
          <w:lang w:val="en-GB"/>
        </w:rPr>
        <w:t xml:space="preserve">1 Characteristics persons with previous fractures in the AD and </w:t>
      </w:r>
      <w:r w:rsidR="008A32FB" w:rsidRPr="00C251CA">
        <w:rPr>
          <w:rFonts w:ascii="Arial" w:hAnsi="Arial" w:cs="Arial"/>
          <w:b/>
          <w:sz w:val="24"/>
          <w:szCs w:val="24"/>
          <w:lang w:val="en-GB"/>
        </w:rPr>
        <w:t>non-AD cohorts. Data are given as n (%) unless otherwise indicated.</w:t>
      </w:r>
      <w:r w:rsidR="00C251CA" w:rsidRPr="00C251CA">
        <w:rPr>
          <w:rFonts w:ascii="Arial" w:hAnsi="Arial" w:cs="Arial"/>
          <w:b/>
          <w:sz w:val="24"/>
          <w:szCs w:val="24"/>
          <w:lang w:val="en-GB"/>
        </w:rPr>
        <w:t xml:space="preserve"> Abbreviations: COPD; chronic obstructive pulmonary disease; </w:t>
      </w:r>
      <w:proofErr w:type="gramStart"/>
      <w:r w:rsidR="00C251CA" w:rsidRPr="00C251CA">
        <w:rPr>
          <w:rFonts w:ascii="Arial" w:hAnsi="Arial" w:cs="Arial"/>
          <w:b/>
          <w:sz w:val="24"/>
          <w:szCs w:val="24"/>
          <w:lang w:val="en-GB"/>
        </w:rPr>
        <w:t>CVD  cardiovascular</w:t>
      </w:r>
      <w:proofErr w:type="gramEnd"/>
      <w:r w:rsidR="00C251CA" w:rsidRPr="00C251CA">
        <w:rPr>
          <w:rFonts w:ascii="Arial" w:hAnsi="Arial" w:cs="Arial"/>
          <w:b/>
          <w:sz w:val="24"/>
          <w:szCs w:val="24"/>
          <w:lang w:val="en-GB"/>
        </w:rPr>
        <w:t xml:space="preserve"> disease; PPI proton pump inhibitors; BZDRs benzodiazepines and related drugs</w:t>
      </w:r>
    </w:p>
    <w:tbl>
      <w:tblPr>
        <w:tblW w:w="9069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2378"/>
        <w:gridCol w:w="2552"/>
        <w:gridCol w:w="953"/>
      </w:tblGrid>
      <w:tr w:rsidR="008A32FB" w:rsidRPr="00D249E9" w:rsidTr="001035FA">
        <w:trPr>
          <w:trHeight w:val="300"/>
        </w:trPr>
        <w:tc>
          <w:tcPr>
            <w:tcW w:w="3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 w:eastAsia="fi-FI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Characteristic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AD cohort,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N=3,646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non-AD cohort,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N=3,646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Age at baseline, mean(95% CI)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83.5 (83.3-83.7)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83.5 (83.3-83.7)</w:t>
            </w:r>
          </w:p>
        </w:tc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matched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Age at first fracture during the follow-up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85.6 (85.1-86.2)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86.2 (85.5-86.8)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0.22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Age at first fracture before the follow-up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78.3 (78.1-78.6)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76.5 (76.2-76.8)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2958 (81.1)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2958 (81.1)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matched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688 (18.9)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688 (18.9)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Highest occupational social class before follow-up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Managerial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professional</w:t>
            </w:r>
            <w:proofErr w:type="spellEnd"/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620 (17.0)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600 (16.5)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Office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  <w:proofErr w:type="spellEnd"/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365 (10.0)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346 (9.5)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Farming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forestry</w:t>
            </w:r>
            <w:proofErr w:type="spellEnd"/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704 (19.3)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790 (21.7)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Sales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industry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cleaning</w:t>
            </w:r>
            <w:proofErr w:type="spellEnd"/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1479 (40.6)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1330 (36.5)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459 (12.6)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550 (15.1)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Did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not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respond</w:t>
            </w:r>
            <w:proofErr w:type="spellEnd"/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 (0.5)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 (0.8)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C251C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Hip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replacement</w:t>
            </w:r>
            <w:proofErr w:type="spellEnd"/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223 (6.2)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143 (3.9)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C251C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Knee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replacement</w:t>
            </w:r>
            <w:proofErr w:type="spellEnd"/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 (0.3)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 (0.4)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Cardiovascular disease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1874 (51.4)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1853 (50.8)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0.62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472 (12.9)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455 (12.5)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0.55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491 (13.5)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414 (11.4)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Asthma/COPD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353 (9.7)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334 (9.2)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0.44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Cancer treatment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54 (1.5)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92 (2.5)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0.001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Any mental or behavioural disorder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1302 (35.7)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650 (17.8)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Any CVD medication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3230 (88.6)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3215 (88.2)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0.58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Drugs for obstructive airway diseases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906 (24.8)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890 (24.4)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0.66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Hormone therapy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155 (4.3)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141 (3.9)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Bisphosphonates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1359 (37.3)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1286 (35.3)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PPI 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1631 (44.7)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1654 (45.4)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0.59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Anti-Parkinson drugs</w:t>
            </w:r>
          </w:p>
        </w:tc>
        <w:tc>
          <w:tcPr>
            <w:tcW w:w="237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138 (3.8)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168 (4.6)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Antiepileptics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drugs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463 (12.7)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490 (13.4)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0.35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Antipsychotics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852 (23.4)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650 (17.8)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Antidepressants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1554 (42.6)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1237 (33.9)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8A32FB" w:rsidRPr="00D249E9" w:rsidTr="001035FA">
        <w:trPr>
          <w:trHeight w:val="30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C251C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BZDR</w:t>
            </w:r>
            <w:r w:rsidR="00C251CA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2005 (55.0)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1968 (54.0)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8A32FB" w:rsidRPr="00D249E9" w:rsidTr="001035FA">
        <w:trPr>
          <w:trHeight w:val="70"/>
        </w:trPr>
        <w:tc>
          <w:tcPr>
            <w:tcW w:w="3186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Opioids</w:t>
            </w:r>
          </w:p>
        </w:tc>
        <w:tc>
          <w:tcPr>
            <w:tcW w:w="2378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2412 (66.2)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2340 (64.2)</w:t>
            </w:r>
          </w:p>
        </w:tc>
        <w:tc>
          <w:tcPr>
            <w:tcW w:w="953" w:type="dxa"/>
            <w:vAlign w:val="center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</w:tbl>
    <w:p w:rsidR="008A32FB" w:rsidRPr="00D249E9" w:rsidRDefault="008A32FB" w:rsidP="008A32FB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8A32FB" w:rsidRDefault="008A32FB" w:rsidP="008A32FB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C251CA" w:rsidRPr="00D249E9" w:rsidRDefault="00C251CA" w:rsidP="008A32FB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  <w:sectPr w:rsidR="00C251CA" w:rsidSect="00C251CA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8A32FB" w:rsidRPr="00D249E9" w:rsidRDefault="00621A8D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  <w:r>
        <w:rPr>
          <w:rFonts w:ascii="Arial" w:hAnsi="Arial" w:cs="Arial"/>
          <w:b/>
          <w:sz w:val="24"/>
          <w:szCs w:val="20"/>
          <w:lang w:val="en-GB"/>
        </w:rPr>
        <w:lastRenderedPageBreak/>
        <w:t>Table</w:t>
      </w:r>
      <w:r w:rsidR="008A32FB" w:rsidRPr="00D249E9">
        <w:rPr>
          <w:rFonts w:ascii="Arial" w:hAnsi="Arial" w:cs="Arial"/>
          <w:b/>
          <w:sz w:val="24"/>
          <w:szCs w:val="20"/>
          <w:lang w:val="en-GB"/>
        </w:rPr>
        <w:t xml:space="preserve"> </w:t>
      </w:r>
      <w:r w:rsidR="003C7662">
        <w:rPr>
          <w:rFonts w:ascii="Arial" w:hAnsi="Arial" w:cs="Arial"/>
          <w:b/>
          <w:sz w:val="24"/>
          <w:szCs w:val="20"/>
          <w:lang w:val="en-GB"/>
        </w:rPr>
        <w:t>S</w:t>
      </w:r>
      <w:r w:rsidR="008A32FB" w:rsidRPr="00D249E9">
        <w:rPr>
          <w:rFonts w:ascii="Arial" w:hAnsi="Arial" w:cs="Arial"/>
          <w:b/>
          <w:sz w:val="24"/>
          <w:szCs w:val="20"/>
          <w:lang w:val="en-GB"/>
        </w:rPr>
        <w:t>2 Hip fracture risk factors in AD and non-AD cohorts (persons with previous</w:t>
      </w:r>
      <w:r w:rsidR="008A32FB" w:rsidRPr="00C251CA">
        <w:rPr>
          <w:rFonts w:ascii="Arial" w:hAnsi="Arial" w:cs="Arial"/>
          <w:b/>
          <w:sz w:val="24"/>
          <w:szCs w:val="20"/>
          <w:lang w:val="en-GB"/>
        </w:rPr>
        <w:t xml:space="preserve"> </w:t>
      </w:r>
      <w:r w:rsidR="008A32FB" w:rsidRPr="00C251CA">
        <w:rPr>
          <w:rFonts w:ascii="Arial" w:hAnsi="Arial" w:cs="Arial"/>
          <w:b/>
          <w:sz w:val="24"/>
          <w:szCs w:val="24"/>
          <w:lang w:val="en-GB"/>
        </w:rPr>
        <w:t>fractures included, N=70,718 per cohort). Adjusted model is adjusted for occupational social class.</w:t>
      </w:r>
      <w:r w:rsidR="00C251CA" w:rsidRPr="00C251CA">
        <w:rPr>
          <w:rFonts w:ascii="Arial" w:hAnsi="Arial" w:cs="Arial"/>
          <w:b/>
          <w:sz w:val="24"/>
          <w:szCs w:val="24"/>
          <w:lang w:val="en-GB"/>
        </w:rPr>
        <w:t xml:space="preserve"> COPD; chronic obstructive pulmonary disease; </w:t>
      </w:r>
      <w:proofErr w:type="gramStart"/>
      <w:r w:rsidR="00C251CA" w:rsidRPr="00C251CA">
        <w:rPr>
          <w:rFonts w:ascii="Arial" w:hAnsi="Arial" w:cs="Arial"/>
          <w:b/>
          <w:sz w:val="24"/>
          <w:szCs w:val="24"/>
          <w:lang w:val="en-GB"/>
        </w:rPr>
        <w:t>CVD  cardiovascular</w:t>
      </w:r>
      <w:proofErr w:type="gramEnd"/>
      <w:r w:rsidR="00C251CA" w:rsidRPr="00C251CA">
        <w:rPr>
          <w:rFonts w:ascii="Arial" w:hAnsi="Arial" w:cs="Arial"/>
          <w:b/>
          <w:sz w:val="24"/>
          <w:szCs w:val="24"/>
          <w:lang w:val="en-GB"/>
        </w:rPr>
        <w:t xml:space="preserve"> disease; PPI proton pump inhibitors; BZDRs benzodiazepines and related drugs</w:t>
      </w:r>
    </w:p>
    <w:tbl>
      <w:tblPr>
        <w:tblW w:w="13538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2380"/>
        <w:gridCol w:w="1028"/>
        <w:gridCol w:w="1701"/>
        <w:gridCol w:w="2126"/>
        <w:gridCol w:w="993"/>
        <w:gridCol w:w="1701"/>
        <w:gridCol w:w="1842"/>
      </w:tblGrid>
      <w:tr w:rsidR="008A32FB" w:rsidRPr="00D249E9" w:rsidTr="001035FA">
        <w:trPr>
          <w:trHeight w:val="300"/>
        </w:trPr>
        <w:tc>
          <w:tcPr>
            <w:tcW w:w="17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fi-FI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855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AD cohort</w:t>
            </w:r>
          </w:p>
        </w:tc>
        <w:tc>
          <w:tcPr>
            <w:tcW w:w="4536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Non-AD cohort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Risk factor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102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IR/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 PY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unadjusted HR 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adjusted HR 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IR/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 PY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unadjusted HR (95% CI)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adjusted HR 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(95% CI)</w:t>
            </w:r>
          </w:p>
        </w:tc>
      </w:tr>
      <w:tr w:rsidR="008A32FB" w:rsidRPr="00D249E9" w:rsidTr="001035FA">
        <w:trPr>
          <w:trHeight w:val="300"/>
        </w:trPr>
        <w:tc>
          <w:tcPr>
            <w:tcW w:w="517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Age at baseline, increase per year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 (1.06-1.07)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1.06 (1.06-1.07)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N.A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1.11 (1.11-1.12)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1.12 (1.11-1.12)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Hip fracture before follow-up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4.1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1.88 (1.70-2.08)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1.46 (1.32-1.61)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2.71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3.02 (2.68-3.40)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2.02 (1.79-2.28)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0.63 (0.59-0.67)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0.73 (0.68-0.78)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0.58 (0.53-0.63)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0.73 (0.66-0.80)</w:t>
            </w:r>
          </w:p>
        </w:tc>
      </w:tr>
      <w:tr w:rsidR="008A32FB" w:rsidRPr="00D249E9" w:rsidTr="001035FA">
        <w:trPr>
          <w:trHeight w:val="1504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Highest occupational social class before follow-up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Managerial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professional</w:t>
            </w:r>
            <w:proofErr w:type="spellEnd"/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1.94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FA02CE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N.A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Office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  <w:proofErr w:type="spellEnd"/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1.37 (1.23-1.53)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1.16 (1.04-1.29)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1.49 (1.28-1.75)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Farming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forestry</w:t>
            </w:r>
            <w:proofErr w:type="spellEnd"/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1.09 (1.00-1.19)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0.92 (0.84-1.00)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1.46 (1.28-1.66)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Sales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industry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cleaning</w:t>
            </w:r>
            <w:proofErr w:type="spellEnd"/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 (1.06-1.23)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1.01 (0.94-1.09)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1.43 (1.28-1.60)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3.30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1.70 (1.54-1.88)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1.12 (1.01-1.25)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2.29 (1.99-2.65)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Did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not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respond</w:t>
            </w:r>
            <w:proofErr w:type="spellEnd"/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1.32 (0.97-1.79)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1.13 (0.83-1.53)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0.37 (0.25-0.54)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Hip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replacement</w:t>
            </w:r>
            <w:proofErr w:type="spellEnd"/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43.31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42.23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39.86-44.74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39.10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36.90-41.44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37.98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89.48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82.41-97.17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68.29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62.76-74.30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Knee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replacement</w:t>
            </w:r>
            <w:proofErr w:type="spellEnd"/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60.56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27.81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23.11-33.48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25.05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20.80-30.17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39.56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45.24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36.21-56.53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39.89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31.89-49.89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Cardiovascular disease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1.01 (0.95-1.06)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0.95 (0.90-1.00)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1.18 (1.09-1.27)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0.98 (0.91-1.06)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1.04 (0.95-1.15)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1.04 (0.94-1.14)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1.61 (1.43-1.81)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1.38 (1.23-1.55)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0.97 (0.89-1.05)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1.03 (0.94-1.12)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1.11 (0.99-1.25)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1.14 (1.01-1.28)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Asthma/COPD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1.03 (0.93-1.13)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1.04 (0.95-1.15)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1.03 (0.90-1.18)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 (0.92-1.20)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Cancer treatment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0.96 (0.74-1.25)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1.04 (0.80-1.35)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1.54 (1.16-2.05)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1.78 (1.34-2.36)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Any mental or behavioural disorder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1.22 (1.14-1.29)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1.16 (1.09-1.23)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1.81 (1.62-2.01)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1.67 (1.50-1.86)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Any CVD medication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(0.92-1.07)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0.85 (0.79-0.91)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1.57 (1.41-1.75)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1.05 (0.93-1.17)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Drugs for obstructive airway diseases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0.96 (0.90-1.03)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0.97 (0.91-1.04)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1.02 (0.93-1.12)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1.02 (0.93-1.12)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Hormone therapy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1.74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0.75 (0.67-0.84)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0.88 (0.78-0.99)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0.54 (0.45-0.66)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0.77 (0.63-0.95)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Bisphosphonates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1.22 (1.13-1.31)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0.98 (0.91-1.05)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1.42 (1.28-1.58)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1.04 (0.94-1.16)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PPI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1.03 (0.97-1.09)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0.98 (0.92-1.03)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1.30 (1.20-1.40)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1.16 (1.07-1.25)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vMerge w:val="restart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Anti-Parkinson drugs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vMerge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2.98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1.33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1.16-1.52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1.42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1.24-1.62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1.88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1.57-2.25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1.68 (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1.40-2.01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Antiepileptics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drugs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0.96 (0.87-1.05)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0.99 (0.90-1.09)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1.40 (1.24-1.59)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1.30 (1.15-1.48)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Antipsychotics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1.21 (1.13-1.29)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1.13 (1.05-1.21)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1.76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1.93 (1.73-2.16)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1.54 (1.37-1.72)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Antidepressants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2.22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 (1.01-1.13)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1.06 (1.00-1.12)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1.53 (1.40-1.67)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1.35 (1.24-1.47)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BZDRS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2.50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1.19 (1.13-1.26)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1.04 (0.99-1.10)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1.61 (1.49-1.74)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1.24 (1.14-1.34)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Opioids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2.14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2.47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1.15 (1.09-1.21)</w:t>
            </w:r>
          </w:p>
        </w:tc>
        <w:tc>
          <w:tcPr>
            <w:tcW w:w="2126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1.02 (0.96-1.08)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1.39 (1.28-1.50)</w:t>
            </w:r>
          </w:p>
        </w:tc>
        <w:tc>
          <w:tcPr>
            <w:tcW w:w="1842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1.11 (1.02-1.20)</w:t>
            </w:r>
          </w:p>
        </w:tc>
      </w:tr>
    </w:tbl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C251CA" w:rsidRDefault="00C251CA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</w:p>
    <w:p w:rsidR="008A32FB" w:rsidRPr="00D249E9" w:rsidRDefault="00621A8D" w:rsidP="008A32FB">
      <w:pPr>
        <w:spacing w:after="0" w:line="240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  <w:r>
        <w:rPr>
          <w:rFonts w:ascii="Arial" w:hAnsi="Arial" w:cs="Arial"/>
          <w:b/>
          <w:sz w:val="24"/>
          <w:szCs w:val="20"/>
          <w:lang w:val="en-GB"/>
        </w:rPr>
        <w:lastRenderedPageBreak/>
        <w:t>Table</w:t>
      </w:r>
      <w:r w:rsidR="008A32FB" w:rsidRPr="00D249E9">
        <w:rPr>
          <w:rFonts w:ascii="Arial" w:hAnsi="Arial" w:cs="Arial"/>
          <w:b/>
          <w:sz w:val="24"/>
          <w:szCs w:val="20"/>
          <w:lang w:val="en-GB"/>
        </w:rPr>
        <w:t xml:space="preserve"> </w:t>
      </w:r>
      <w:r w:rsidR="003C7662">
        <w:rPr>
          <w:rFonts w:ascii="Arial" w:hAnsi="Arial" w:cs="Arial"/>
          <w:b/>
          <w:sz w:val="24"/>
          <w:szCs w:val="20"/>
          <w:lang w:val="en-GB"/>
        </w:rPr>
        <w:t>S</w:t>
      </w:r>
      <w:bookmarkStart w:id="0" w:name="_GoBack"/>
      <w:bookmarkEnd w:id="0"/>
      <w:r w:rsidR="008A32FB" w:rsidRPr="00D249E9">
        <w:rPr>
          <w:rFonts w:ascii="Arial" w:hAnsi="Arial" w:cs="Arial"/>
          <w:b/>
          <w:sz w:val="24"/>
          <w:szCs w:val="20"/>
          <w:lang w:val="en-GB"/>
        </w:rPr>
        <w:t>3 Predictors of mortality after hip fracture risk factors in AD and non-AD cohorts (persons with previous fractures included). Adjusted model is adjusted for occupational social class.</w:t>
      </w:r>
      <w:r w:rsidR="00C251CA">
        <w:rPr>
          <w:rFonts w:ascii="Arial" w:hAnsi="Arial" w:cs="Arial"/>
          <w:b/>
          <w:sz w:val="24"/>
          <w:szCs w:val="20"/>
          <w:lang w:val="en-GB"/>
        </w:rPr>
        <w:t xml:space="preserve"> </w:t>
      </w:r>
      <w:r w:rsidR="00C251CA" w:rsidRPr="00C251CA">
        <w:rPr>
          <w:rFonts w:ascii="Arial" w:hAnsi="Arial" w:cs="Arial"/>
          <w:b/>
          <w:sz w:val="24"/>
          <w:szCs w:val="24"/>
          <w:lang w:val="en-GB"/>
        </w:rPr>
        <w:t xml:space="preserve">COPD; chronic obstructive pulmonary disease; </w:t>
      </w:r>
      <w:proofErr w:type="gramStart"/>
      <w:r w:rsidR="00C251CA" w:rsidRPr="00C251CA">
        <w:rPr>
          <w:rFonts w:ascii="Arial" w:hAnsi="Arial" w:cs="Arial"/>
          <w:b/>
          <w:sz w:val="24"/>
          <w:szCs w:val="24"/>
          <w:lang w:val="en-GB"/>
        </w:rPr>
        <w:t>CVD  cardiovascular</w:t>
      </w:r>
      <w:proofErr w:type="gramEnd"/>
      <w:r w:rsidR="00C251CA" w:rsidRPr="00C251CA">
        <w:rPr>
          <w:rFonts w:ascii="Arial" w:hAnsi="Arial" w:cs="Arial"/>
          <w:b/>
          <w:sz w:val="24"/>
          <w:szCs w:val="24"/>
          <w:lang w:val="en-GB"/>
        </w:rPr>
        <w:t xml:space="preserve"> disease; PPI proton pump inhibitors; BZDRs benzodiazepines and related drugs</w:t>
      </w:r>
    </w:p>
    <w:tbl>
      <w:tblPr>
        <w:tblW w:w="14242" w:type="dxa"/>
        <w:tblInd w:w="7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2380"/>
        <w:gridCol w:w="1020"/>
        <w:gridCol w:w="1988"/>
        <w:gridCol w:w="1984"/>
        <w:gridCol w:w="1020"/>
        <w:gridCol w:w="2099"/>
        <w:gridCol w:w="1984"/>
      </w:tblGrid>
      <w:tr w:rsidR="008A32FB" w:rsidRPr="00D249E9" w:rsidTr="001035FA">
        <w:trPr>
          <w:trHeight w:val="300"/>
        </w:trPr>
        <w:tc>
          <w:tcPr>
            <w:tcW w:w="17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 w:eastAsia="fi-FI"/>
              </w:rPr>
            </w:pPr>
          </w:p>
        </w:tc>
        <w:tc>
          <w:tcPr>
            <w:tcW w:w="23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992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AD cohort</w:t>
            </w:r>
          </w:p>
        </w:tc>
        <w:tc>
          <w:tcPr>
            <w:tcW w:w="5103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Non-AD cohort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Risk factor</w:t>
            </w:r>
          </w:p>
        </w:tc>
        <w:tc>
          <w:tcPr>
            <w:tcW w:w="23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Category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mortality /100 PY</w:t>
            </w:r>
          </w:p>
        </w:tc>
        <w:tc>
          <w:tcPr>
            <w:tcW w:w="19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unadjusted HR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adjusted HR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mortality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/100 PY</w:t>
            </w: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unadjusted HR (95% CI)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adjusted HR</w:t>
            </w:r>
          </w:p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(95% CI)</w:t>
            </w:r>
          </w:p>
        </w:tc>
      </w:tr>
      <w:tr w:rsidR="008A32FB" w:rsidRPr="00D249E9" w:rsidTr="001035FA">
        <w:trPr>
          <w:trHeight w:val="300"/>
        </w:trPr>
        <w:tc>
          <w:tcPr>
            <w:tcW w:w="516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Age at baseline, increase per year</w:t>
            </w:r>
          </w:p>
        </w:tc>
        <w:tc>
          <w:tcPr>
            <w:tcW w:w="19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1.07 (1.06-1.07)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1.06 (1.06-1.07)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N.A</w:t>
            </w:r>
          </w:p>
        </w:tc>
        <w:tc>
          <w:tcPr>
            <w:tcW w:w="20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1.11 (1.11-1.12)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1.12 (1.11-1.12)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Hip fracture before follow-up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22.9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27.9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0.96 (0.83-1.10)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0.92 (0.80-1.06)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18.8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0.83 (0.68-1.00)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0.87 (0.71-1.05)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24.9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19.0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47.2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1.89 (1.74-2.05)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2.09 (1.91-2.28)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36.8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1.96 (1.71-2.23)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2.33 (2.03-2.67)</w:t>
            </w:r>
          </w:p>
        </w:tc>
      </w:tr>
      <w:tr w:rsidR="008A32FB" w:rsidRPr="00D249E9" w:rsidTr="001035FA">
        <w:trPr>
          <w:trHeight w:val="765"/>
        </w:trPr>
        <w:tc>
          <w:tcPr>
            <w:tcW w:w="1767" w:type="dxa"/>
            <w:vMerge w:val="restart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Highest occupational social class before follow-up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Managerial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professional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29.4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22.2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FA02CE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N.A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vMerge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Office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25.8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0.88 (0.75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1.04 (0.89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1.22)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21.9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0.97 (0.75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1.27)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Farming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forestry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30.6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1.04 (0.91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1.19)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1.02 (0.90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1.17)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21.4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0.96 (0.78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1.18)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Sales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industry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cleaning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29.7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1.01 (0.90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1.07 (0.96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1.20)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23.3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1.04 (0.86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1.25)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28.2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0.96 (0.83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1.11)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1.04 (0.90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1.20)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23.8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1.08 (0.86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1.35)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Did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not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respond</w:t>
            </w:r>
            <w:proofErr w:type="spellEnd"/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0.80 (0.51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1.24)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0.97 (0.62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1.50)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23.3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1.03 (0.53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2.02)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Hip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replacement</w:t>
            </w:r>
            <w:proofErr w:type="spellEnd"/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29.36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22.74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24.56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0.84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68-1.03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0.80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65-0.98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20.98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0.93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69-1.24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1.19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88-1.59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Knee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replacement</w:t>
            </w:r>
            <w:proofErr w:type="spellEnd"/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29.51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22.81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15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19.62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0.66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52-0.86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0.73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57-0.94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17.53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0.77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51-1.15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0.91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60-1.36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Cardiovascular disease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25.9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19.7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32.5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1.25 (1.16-1.35)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1.23 (1.14-1.33)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25.1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1.27 (1.12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1.44)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1.29 (1.14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1.47)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28.6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21.6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36.0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1.26 (1.10-1.44)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1.20 (1.04-1.37)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37.3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1.72 (1.41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2.08)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1.67 (1.37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2.02)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28.5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22.6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33.0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1.18 (1.05-1.32)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1.25 (1.11-1.40)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23.2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1.03 (0.86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1.14 (0.95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Asthma/COPD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28.8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22.7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33.5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1.17 (1.02-1.33)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1.19 (1.04-1.35)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22.4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0.97 (0.79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1.20)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1.08 (0.88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1.34)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lastRenderedPageBreak/>
              <w:t>Cancer treatment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29.2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23.3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22.4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0.77 (0.51</w:t>
            </w:r>
            <w:r w:rsidR="00C251CA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1.16)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0.84 (0.56</w:t>
            </w:r>
            <w:r w:rsidR="00C251CA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1.26)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26.4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0.95 (0.61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1.49)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1.45 (0.93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2.27)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Any mental or behavioural disorder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28.2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22.1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31.4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1.11 (1.03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1.21)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1.18 (1.08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1.28)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27.6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1.26 (1.04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1.53)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1.33 (1.09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1.62)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Any CVD medication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17.6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30.0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1.27 (1.12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1.44)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1.29 (1.14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1.46)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23.2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1.31 (1.04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1.65)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1.34 (1.06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1.68)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Drugs for obstructive airway diseases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28.2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22.4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35.0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1.24 (1.12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1.37)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1.18 (1.06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1.31)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23.8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1.05 (0.90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1.13 (0.96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Hormone therapy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29.7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23.7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18.8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0.63 (0.50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0.80)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0.83 (0.66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1.04)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11.7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0.46 (0.27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0.76)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0.69 (0.41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Bisphosphonates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29.5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23.2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27.4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0.93 (0.83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1.04 (0.94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1.16)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20.1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0.86 (0.73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1.02)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1.04 (0.87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1.24)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PPI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20.5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21.0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25.6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1.23 (1.14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1.24 (1.15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1.35)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28.8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1.24 (1.09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1.40)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1.29 (1.14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vMerge w:val="restart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Anti-Parkinson drugs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29.16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22.55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vMerge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29.22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1.00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85-1.18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1.02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87-1.21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24.33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1.09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84-1.40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1.12 (0.</w:t>
            </w:r>
            <w:proofErr w:type="gramStart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87-1.45</w:t>
            </w:r>
            <w:proofErr w:type="gramEnd"/>
            <w:r w:rsidRPr="00D249E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Antiepileptics</w:t>
            </w:r>
            <w:proofErr w:type="spellEnd"/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drugs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28.9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22.9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31.4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1.09 (0.96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1.23)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1.11 (0.98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1.26)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20.8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0.91 (0.74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1.10)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1.00 (0.82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1.22)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Antipsychotics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28.1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21.5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31.2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1.11 (1.03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1.20)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1.17 (1.08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1.26)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31.0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1.46 (1.24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1.72)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1.48 (1.25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1.74)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Antidepressants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30.6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21.6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27.4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0.90 (0.83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0.97)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0.98 (0.90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1.06)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25.7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1.19 (1.04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1.36)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1.27 (1.11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BZDRS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28.2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20.5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30.1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1.07 (0.99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1.16)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1.07 (0.99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1.15)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25.1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1.23 (1.09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1.39)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1.20 (1.06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1.36)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Opioids</w:t>
            </w: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25.5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18.3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1.00 (reference)</w:t>
            </w:r>
          </w:p>
        </w:tc>
      </w:tr>
      <w:tr w:rsidR="008A32FB" w:rsidRPr="00D249E9" w:rsidTr="001035FA">
        <w:trPr>
          <w:trHeight w:val="300"/>
        </w:trPr>
        <w:tc>
          <w:tcPr>
            <w:tcW w:w="1767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38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32.5</w:t>
            </w:r>
          </w:p>
        </w:tc>
        <w:tc>
          <w:tcPr>
            <w:tcW w:w="1988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1.28 (1.18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1.39)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1.27 (1.17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1.38)</w:t>
            </w:r>
          </w:p>
        </w:tc>
        <w:tc>
          <w:tcPr>
            <w:tcW w:w="1020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27.2</w:t>
            </w:r>
          </w:p>
        </w:tc>
        <w:tc>
          <w:tcPr>
            <w:tcW w:w="2099" w:type="dxa"/>
            <w:shd w:val="clear" w:color="auto" w:fill="auto"/>
            <w:noWrap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1.46 (1.29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1.66)</w:t>
            </w:r>
          </w:p>
        </w:tc>
        <w:tc>
          <w:tcPr>
            <w:tcW w:w="1984" w:type="dxa"/>
            <w:vAlign w:val="bottom"/>
          </w:tcPr>
          <w:p w:rsidR="008A32FB" w:rsidRPr="00D249E9" w:rsidRDefault="008A32FB" w:rsidP="001035F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1.52 (1.34</w:t>
            </w:r>
            <w:r w:rsidR="00C251CA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D249E9">
              <w:rPr>
                <w:rFonts w:ascii="Arial" w:hAnsi="Arial" w:cs="Arial"/>
                <w:sz w:val="20"/>
                <w:szCs w:val="20"/>
                <w:lang w:val="en-GB"/>
              </w:rPr>
              <w:t>1.73)</w:t>
            </w:r>
          </w:p>
        </w:tc>
      </w:tr>
    </w:tbl>
    <w:p w:rsidR="008A32FB" w:rsidRPr="00D249E9" w:rsidRDefault="008A32FB" w:rsidP="008A32F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:rsidR="00735D71" w:rsidRPr="00D249E9" w:rsidRDefault="00735D71">
      <w:pPr>
        <w:rPr>
          <w:rFonts w:ascii="Arial" w:hAnsi="Arial" w:cs="Arial"/>
          <w:sz w:val="20"/>
          <w:szCs w:val="20"/>
        </w:rPr>
      </w:pPr>
    </w:p>
    <w:sectPr w:rsidR="00735D71" w:rsidRPr="00D249E9" w:rsidSect="00C251CA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00F36"/>
    <w:multiLevelType w:val="hybridMultilevel"/>
    <w:tmpl w:val="5E0ED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36324"/>
    <w:multiLevelType w:val="hybridMultilevel"/>
    <w:tmpl w:val="2AB82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FB"/>
    <w:rsid w:val="00002108"/>
    <w:rsid w:val="00095172"/>
    <w:rsid w:val="000D47BF"/>
    <w:rsid w:val="0010409E"/>
    <w:rsid w:val="00190588"/>
    <w:rsid w:val="001C6CE9"/>
    <w:rsid w:val="0020510F"/>
    <w:rsid w:val="00223236"/>
    <w:rsid w:val="00227F26"/>
    <w:rsid w:val="00272D19"/>
    <w:rsid w:val="002826FE"/>
    <w:rsid w:val="002832C8"/>
    <w:rsid w:val="00290C28"/>
    <w:rsid w:val="00320A8A"/>
    <w:rsid w:val="00326A37"/>
    <w:rsid w:val="0039732E"/>
    <w:rsid w:val="003C7662"/>
    <w:rsid w:val="003E35C3"/>
    <w:rsid w:val="00467D32"/>
    <w:rsid w:val="004715AF"/>
    <w:rsid w:val="004A38C1"/>
    <w:rsid w:val="004F3B9E"/>
    <w:rsid w:val="00514C0F"/>
    <w:rsid w:val="00524075"/>
    <w:rsid w:val="00545DCD"/>
    <w:rsid w:val="00555D13"/>
    <w:rsid w:val="00585306"/>
    <w:rsid w:val="005A3BEE"/>
    <w:rsid w:val="005C42AF"/>
    <w:rsid w:val="005D637A"/>
    <w:rsid w:val="005E3BDA"/>
    <w:rsid w:val="00607250"/>
    <w:rsid w:val="0061494E"/>
    <w:rsid w:val="00621A8D"/>
    <w:rsid w:val="006537C1"/>
    <w:rsid w:val="00660455"/>
    <w:rsid w:val="00671FC5"/>
    <w:rsid w:val="0067456C"/>
    <w:rsid w:val="00691ADD"/>
    <w:rsid w:val="006B609D"/>
    <w:rsid w:val="00732228"/>
    <w:rsid w:val="00735D71"/>
    <w:rsid w:val="00797C6F"/>
    <w:rsid w:val="007A6D65"/>
    <w:rsid w:val="00841B72"/>
    <w:rsid w:val="00855EE5"/>
    <w:rsid w:val="008A2D41"/>
    <w:rsid w:val="008A32FB"/>
    <w:rsid w:val="009219B7"/>
    <w:rsid w:val="00936387"/>
    <w:rsid w:val="0095163B"/>
    <w:rsid w:val="00956D80"/>
    <w:rsid w:val="009966A2"/>
    <w:rsid w:val="009F3B81"/>
    <w:rsid w:val="00A375F8"/>
    <w:rsid w:val="00A4220C"/>
    <w:rsid w:val="00A43690"/>
    <w:rsid w:val="00A806A0"/>
    <w:rsid w:val="00A8296A"/>
    <w:rsid w:val="00AC769D"/>
    <w:rsid w:val="00AD2A10"/>
    <w:rsid w:val="00AD5D2F"/>
    <w:rsid w:val="00AF16E7"/>
    <w:rsid w:val="00B225E4"/>
    <w:rsid w:val="00B26591"/>
    <w:rsid w:val="00B4295B"/>
    <w:rsid w:val="00B66472"/>
    <w:rsid w:val="00BA1681"/>
    <w:rsid w:val="00BA7F94"/>
    <w:rsid w:val="00BC2F44"/>
    <w:rsid w:val="00BD3103"/>
    <w:rsid w:val="00C251CA"/>
    <w:rsid w:val="00CC01FA"/>
    <w:rsid w:val="00D02E8B"/>
    <w:rsid w:val="00D226E0"/>
    <w:rsid w:val="00D249E9"/>
    <w:rsid w:val="00DC4363"/>
    <w:rsid w:val="00DE6038"/>
    <w:rsid w:val="00DE62CC"/>
    <w:rsid w:val="00DE6542"/>
    <w:rsid w:val="00DF7D73"/>
    <w:rsid w:val="00E021A1"/>
    <w:rsid w:val="00E86E93"/>
    <w:rsid w:val="00ED3C44"/>
    <w:rsid w:val="00F2149F"/>
    <w:rsid w:val="00FA02CE"/>
    <w:rsid w:val="00FC3F0A"/>
    <w:rsid w:val="00FE31C6"/>
    <w:rsid w:val="00FE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481D49-5B77-49ED-9762-7323339A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2FB"/>
    <w:rPr>
      <w:lang w:val="fi-F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A32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8A32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2FB"/>
    <w:rPr>
      <w:rFonts w:asciiTheme="majorHAnsi" w:eastAsiaTheme="majorEastAsia" w:hAnsiTheme="majorHAnsi" w:cstheme="majorBidi"/>
      <w:i/>
      <w:iCs/>
      <w:color w:val="2E74B5" w:themeColor="accent1" w:themeShade="BF"/>
      <w:lang w:val="fi-FI"/>
    </w:rPr>
  </w:style>
  <w:style w:type="character" w:customStyle="1" w:styleId="Heading5Char">
    <w:name w:val="Heading 5 Char"/>
    <w:basedOn w:val="DefaultParagraphFont"/>
    <w:link w:val="Heading5"/>
    <w:uiPriority w:val="9"/>
    <w:rsid w:val="008A32FB"/>
    <w:rPr>
      <w:rFonts w:ascii="Times New Roman" w:eastAsia="Times New Roman" w:hAnsi="Times New Roman" w:cs="Times New Roman"/>
      <w:b/>
      <w:bCs/>
      <w:sz w:val="20"/>
      <w:szCs w:val="20"/>
      <w:lang w:val="fi-FI" w:eastAsia="fi-FI"/>
    </w:rPr>
  </w:style>
  <w:style w:type="paragraph" w:customStyle="1" w:styleId="Leipteksti">
    <w:name w:val="Leipäteksti"/>
    <w:rsid w:val="008A32F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fi-FI"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8A32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32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32FB"/>
    <w:rPr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2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2FB"/>
    <w:rPr>
      <w:b/>
      <w:bCs/>
      <w:sz w:val="20"/>
      <w:szCs w:val="20"/>
      <w:lang w:val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2FB"/>
    <w:rPr>
      <w:rFonts w:ascii="Segoe UI" w:hAnsi="Segoe UI" w:cs="Segoe UI"/>
      <w:sz w:val="18"/>
      <w:szCs w:val="18"/>
      <w:lang w:val="fi-FI"/>
    </w:rPr>
  </w:style>
  <w:style w:type="character" w:customStyle="1" w:styleId="label">
    <w:name w:val="label"/>
    <w:basedOn w:val="DefaultParagraphFont"/>
    <w:rsid w:val="008A32FB"/>
  </w:style>
  <w:style w:type="character" w:styleId="Strong">
    <w:name w:val="Strong"/>
    <w:uiPriority w:val="22"/>
    <w:qFormat/>
    <w:rsid w:val="008A32FB"/>
    <w:rPr>
      <w:b/>
      <w:bCs/>
    </w:rPr>
  </w:style>
  <w:style w:type="character" w:styleId="Hyperlink">
    <w:name w:val="Hyperlink"/>
    <w:uiPriority w:val="99"/>
    <w:unhideWhenUsed/>
    <w:rsid w:val="008A32FB"/>
    <w:rPr>
      <w:color w:val="0000FF"/>
      <w:u w:val="single"/>
    </w:rPr>
  </w:style>
  <w:style w:type="paragraph" w:styleId="NoSpacing">
    <w:name w:val="No Spacing"/>
    <w:uiPriority w:val="1"/>
    <w:qFormat/>
    <w:rsid w:val="008A32FB"/>
    <w:pPr>
      <w:spacing w:after="0" w:line="240" w:lineRule="auto"/>
    </w:pPr>
    <w:rPr>
      <w:rFonts w:ascii="Calibri" w:eastAsia="Calibri" w:hAnsi="Calibri" w:cs="Times New Roman"/>
      <w:lang w:val="fi-FI"/>
    </w:rPr>
  </w:style>
  <w:style w:type="paragraph" w:customStyle="1" w:styleId="Leipteksti1">
    <w:name w:val="Leipäteksti1"/>
    <w:rsid w:val="008A32F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fi-FI" w:eastAsia="fi-FI"/>
    </w:rPr>
  </w:style>
  <w:style w:type="character" w:customStyle="1" w:styleId="st">
    <w:name w:val="st"/>
    <w:rsid w:val="008A32FB"/>
  </w:style>
  <w:style w:type="character" w:customStyle="1" w:styleId="detaillink">
    <w:name w:val="detaillink"/>
    <w:basedOn w:val="DefaultParagraphFont"/>
    <w:rsid w:val="008A32FB"/>
  </w:style>
  <w:style w:type="paragraph" w:styleId="NormalWeb">
    <w:name w:val="Normal (Web)"/>
    <w:basedOn w:val="Normal"/>
    <w:uiPriority w:val="99"/>
    <w:semiHidden/>
    <w:unhideWhenUsed/>
    <w:rsid w:val="008A32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8A32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2FB"/>
    <w:rPr>
      <w:lang w:val="fi-FI"/>
    </w:rPr>
  </w:style>
  <w:style w:type="paragraph" w:styleId="Footer">
    <w:name w:val="footer"/>
    <w:basedOn w:val="Normal"/>
    <w:link w:val="FooterChar"/>
    <w:uiPriority w:val="99"/>
    <w:unhideWhenUsed/>
    <w:rsid w:val="008A3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2FB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1773</Words>
  <Characters>10107</Characters>
  <Application>Microsoft Office Word</Application>
  <DocSecurity>0</DocSecurity>
  <Lines>84</Lines>
  <Paragraphs>23</Paragraphs>
  <ScaleCrop>false</ScaleCrop>
  <Company>University of Eastern Finland</Company>
  <LinksUpToDate>false</LinksUpToDate>
  <CharactersWithSpaces>11857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Anna-Maija Tolppanen</dc:creator>
  <cp:keywords/>
  <dc:description/>
  <cp:lastModifiedBy>Anna-Maija Tolppanen</cp:lastModifiedBy>
  <cp:revision>15</cp:revision>
  <dcterms:created xsi:type="dcterms:W3CDTF">2016-06-09T07:46:00Z</dcterms:created>
  <dcterms:modified xsi:type="dcterms:W3CDTF">2016-11-30T08:47:00Z</dcterms:modified>
</cp:coreProperties>
</file>