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F83" w:rsidRDefault="00FA0F83" w:rsidP="00FA0F83">
      <w:pPr>
        <w:pStyle w:val="Heading1"/>
      </w:pPr>
      <w:r w:rsidRPr="00DD7D6E">
        <w:t>App</w:t>
      </w:r>
      <w:r>
        <w:t>endix</w:t>
      </w:r>
      <w:r w:rsidR="000B795E">
        <w:t xml:space="preserve"> 1.</w:t>
      </w:r>
      <w:bookmarkStart w:id="0" w:name="_GoBack"/>
      <w:bookmarkEnd w:id="0"/>
      <w:r>
        <w:t xml:space="preserve"> (description of the variable inappropriate drug use)</w:t>
      </w:r>
    </w:p>
    <w:p w:rsidR="00FA0F83" w:rsidRDefault="00FA0F83" w:rsidP="00FA0F83"/>
    <w:p w:rsidR="00FA0F83" w:rsidRPr="00FA0F83" w:rsidRDefault="00FA0F83" w:rsidP="00FA0F83">
      <w:pPr>
        <w:spacing w:line="360" w:lineRule="auto"/>
        <w:rPr>
          <w:rFonts w:ascii="Times New Roman" w:hAnsi="Times New Roman" w:cs="Times New Roman"/>
          <w:sz w:val="24"/>
          <w:szCs w:val="24"/>
        </w:rPr>
      </w:pPr>
      <w:r>
        <w:rPr>
          <w:rFonts w:ascii="Times New Roman" w:hAnsi="Times New Roman" w:cs="Times New Roman"/>
          <w:sz w:val="24"/>
          <w:szCs w:val="24"/>
        </w:rPr>
        <w:t xml:space="preserve">The following criteria were used to assess inappropriate drug use, based on the Swedish Board for Health and Welfare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"id" : "ITEM-1", "issued" : { "date-parts" : [ [ "2014" ] ] }, "publisher-place" : "Stockholm, Sweden", "title" : "Indikatorer f\u00f6r god l\u00e4kemedelsterapi hos \u00e4ldre [Swedish]", "type" : "report" }, "uris" : [ "http://www.mendeley.com/documents/?uuid=67fd6f3c-6ba3-4011-8bf3-1cf51038fcfc" ] } ], "mendeley" : { "formattedCitation" : "[33]", "plainTextFormattedCitation" : "[33]", "previouslyFormattedCitation" : "[20]" }, "properties" : { "noteIndex" : 0 }, "schema" : "https://github.com/citation-style-language/schema/raw/master/csl-citation.json" }</w:instrText>
      </w:r>
      <w:r>
        <w:rPr>
          <w:rFonts w:ascii="Times New Roman" w:hAnsi="Times New Roman" w:cs="Times New Roman"/>
          <w:sz w:val="24"/>
          <w:szCs w:val="24"/>
        </w:rPr>
        <w:fldChar w:fldCharType="separate"/>
      </w:r>
      <w:r w:rsidRPr="00DE16F9">
        <w:rPr>
          <w:rFonts w:ascii="Times New Roman" w:hAnsi="Times New Roman" w:cs="Times New Roman"/>
          <w:noProof/>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w:t>
      </w:r>
    </w:p>
    <w:p w:rsidR="00FA0F83" w:rsidRPr="00112515" w:rsidRDefault="00FA0F83" w:rsidP="00FA0F83">
      <w:pPr>
        <w:spacing w:line="360" w:lineRule="auto"/>
        <w:rPr>
          <w:rFonts w:ascii="Times New Roman" w:hAnsi="Times New Roman" w:cs="Times New Roman"/>
          <w:b/>
          <w:sz w:val="24"/>
          <w:szCs w:val="24"/>
        </w:rPr>
      </w:pPr>
      <w:r w:rsidRPr="00112515">
        <w:rPr>
          <w:rFonts w:ascii="Times New Roman" w:hAnsi="Times New Roman" w:cs="Times New Roman"/>
          <w:b/>
          <w:sz w:val="24"/>
          <w:szCs w:val="24"/>
        </w:rPr>
        <w:t>Single drug criteria</w:t>
      </w:r>
    </w:p>
    <w:p w:rsidR="00FA0F83" w:rsidRPr="00112515" w:rsidRDefault="00FA0F83" w:rsidP="00FA0F83">
      <w:pPr>
        <w:spacing w:line="360" w:lineRule="auto"/>
        <w:ind w:left="720" w:hanging="720"/>
        <w:rPr>
          <w:rFonts w:ascii="Times New Roman" w:hAnsi="Times New Roman" w:cs="Times New Roman"/>
          <w:sz w:val="24"/>
          <w:szCs w:val="24"/>
        </w:rPr>
      </w:pPr>
      <w:r w:rsidRPr="00112515">
        <w:rPr>
          <w:rFonts w:ascii="Times New Roman" w:hAnsi="Times New Roman" w:cs="Times New Roman"/>
          <w:sz w:val="24"/>
          <w:szCs w:val="24"/>
        </w:rPr>
        <w:t>Except in specific circumstances these medications should be avoided among elderly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"id" : "ITEM-1", "issued" : { "date-parts" : [ [ "2014" ] ] }, "publisher-place" : "Stockholm, Sweden", "title" : "Indikatorer f\u00f6r god l\u00e4kemedelsterapi hos \u00e4ldre [Swedish]", "type" : "report" }, "uris" : [ "http://www.mendeley.com/documents/?uuid=67fd6f3c-6ba3-4011-8bf3-1cf51038fcfc" ] } ], "mendeley" : { "formattedCitation" : "[33]", "plainTextFormattedCitation" : "[33]", "previouslyFormattedCitation" : "[20]" }, "properties" : { "noteIndex" : 0 }, "schema" : "https://github.com/citation-style-language/schema/raw/master/csl-citation.json" }</w:instrText>
      </w:r>
      <w:r>
        <w:rPr>
          <w:rFonts w:ascii="Times New Roman" w:hAnsi="Times New Roman" w:cs="Times New Roman"/>
          <w:sz w:val="24"/>
          <w:szCs w:val="24"/>
        </w:rPr>
        <w:fldChar w:fldCharType="separate"/>
      </w:r>
      <w:r w:rsidRPr="00DE16F9">
        <w:rPr>
          <w:rFonts w:ascii="Times New Roman" w:hAnsi="Times New Roman" w:cs="Times New Roman"/>
          <w:noProof/>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w:t>
      </w:r>
      <w:r w:rsidRPr="00112515">
        <w:rPr>
          <w:rFonts w:ascii="Times New Roman" w:hAnsi="Times New Roman" w:cs="Times New Roman"/>
          <w:sz w:val="24"/>
          <w:szCs w:val="24"/>
        </w:rPr>
        <w:t xml:space="preserve">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dispensation of long-acting benzodiazepines</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dispensation of anti-cholinergic medication</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dispensation of </w:t>
      </w:r>
      <w:r w:rsidRPr="00112515">
        <w:rPr>
          <w:rFonts w:ascii="Times New Roman" w:hAnsi="Times New Roman" w:cs="Times New Roman"/>
          <w:sz w:val="24"/>
          <w:szCs w:val="24"/>
        </w:rPr>
        <w:t>Tramadol</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dispensation of </w:t>
      </w:r>
      <w:proofErr w:type="spellStart"/>
      <w:r w:rsidRPr="00112515">
        <w:rPr>
          <w:rFonts w:ascii="Times New Roman" w:hAnsi="Times New Roman" w:cs="Times New Roman"/>
          <w:sz w:val="24"/>
          <w:szCs w:val="24"/>
        </w:rPr>
        <w:t>Propiomazin</w:t>
      </w:r>
      <w:proofErr w:type="spellEnd"/>
    </w:p>
    <w:p w:rsidR="00FA0F83" w:rsidRPr="00112515" w:rsidRDefault="00FA0F83" w:rsidP="00FA0F83">
      <w:pPr>
        <w:spacing w:line="360" w:lineRule="auto"/>
        <w:rPr>
          <w:rFonts w:ascii="Times New Roman" w:hAnsi="Times New Roman" w:cs="Times New Roman"/>
          <w:b/>
          <w:sz w:val="24"/>
          <w:szCs w:val="24"/>
        </w:rPr>
      </w:pPr>
      <w:r w:rsidRPr="00112515">
        <w:rPr>
          <w:rFonts w:ascii="Times New Roman" w:hAnsi="Times New Roman" w:cs="Times New Roman"/>
          <w:b/>
          <w:sz w:val="24"/>
          <w:szCs w:val="24"/>
        </w:rPr>
        <w:t xml:space="preserve">Multiple medication criteria </w:t>
      </w:r>
    </w:p>
    <w:p w:rsidR="00FA0F83" w:rsidRPr="00112515" w:rsidRDefault="00FA0F83" w:rsidP="00FA0F83">
      <w:pPr>
        <w:numPr>
          <w:ilvl w:val="0"/>
          <w:numId w:val="1"/>
        </w:numPr>
        <w:spacing w:line="360" w:lineRule="auto"/>
        <w:contextualSpacing/>
        <w:rPr>
          <w:rFonts w:ascii="Times New Roman" w:hAnsi="Times New Roman" w:cs="Times New Roman"/>
          <w:b/>
          <w:sz w:val="24"/>
          <w:szCs w:val="24"/>
        </w:rPr>
      </w:pPr>
      <w:r w:rsidRPr="00112515">
        <w:rPr>
          <w:rFonts w:ascii="Times New Roman" w:hAnsi="Times New Roman" w:cs="Times New Roman"/>
          <w:sz w:val="24"/>
          <w:szCs w:val="24"/>
        </w:rPr>
        <w:t>excessive polypharmacy (10 or more medications dispensed) (is accounted for in variable</w:t>
      </w:r>
      <w:r>
        <w:rPr>
          <w:rFonts w:ascii="Times New Roman" w:hAnsi="Times New Roman" w:cs="Times New Roman"/>
          <w:sz w:val="24"/>
          <w:szCs w:val="24"/>
        </w:rPr>
        <w:t xml:space="preserve"> number of prescribed medications</w:t>
      </w:r>
      <w:r w:rsidRPr="00112515">
        <w:rPr>
          <w:rFonts w:ascii="Times New Roman" w:hAnsi="Times New Roman" w:cs="Times New Roman"/>
          <w:sz w:val="24"/>
          <w:szCs w:val="24"/>
        </w:rPr>
        <w:t>)</w:t>
      </w:r>
    </w:p>
    <w:p w:rsidR="00FA0F83" w:rsidRPr="00112515" w:rsidRDefault="00FA0F83" w:rsidP="00FA0F83">
      <w:pPr>
        <w:numPr>
          <w:ilvl w:val="0"/>
          <w:numId w:val="1"/>
        </w:numPr>
        <w:spacing w:line="360" w:lineRule="auto"/>
        <w:contextualSpacing/>
        <w:rPr>
          <w:rFonts w:ascii="Times New Roman" w:hAnsi="Times New Roman" w:cs="Times New Roman"/>
          <w:b/>
          <w:sz w:val="24"/>
          <w:szCs w:val="24"/>
        </w:rPr>
      </w:pPr>
      <w:r w:rsidRPr="00112515">
        <w:rPr>
          <w:rFonts w:ascii="Times New Roman" w:hAnsi="Times New Roman" w:cs="Times New Roman"/>
          <w:sz w:val="24"/>
          <w:szCs w:val="24"/>
        </w:rPr>
        <w:t>coinciding treatment with two medications from similar ATC groups</w:t>
      </w:r>
    </w:p>
    <w:p w:rsidR="00FA0F83" w:rsidRPr="00FA0F83" w:rsidRDefault="00FA0F83" w:rsidP="00FA0F83">
      <w:pPr>
        <w:numPr>
          <w:ilvl w:val="0"/>
          <w:numId w:val="1"/>
        </w:numPr>
        <w:spacing w:line="360" w:lineRule="auto"/>
        <w:contextualSpacing/>
        <w:rPr>
          <w:rFonts w:ascii="Times New Roman" w:hAnsi="Times New Roman" w:cs="Times New Roman"/>
          <w:b/>
          <w:sz w:val="24"/>
          <w:szCs w:val="24"/>
        </w:rPr>
      </w:pPr>
      <w:r w:rsidRPr="00112515">
        <w:rPr>
          <w:rFonts w:ascii="Times New Roman" w:hAnsi="Times New Roman" w:cs="Times New Roman"/>
          <w:sz w:val="24"/>
          <w:szCs w:val="24"/>
        </w:rPr>
        <w:t>coinciding treatment with three or more psychotropic medications</w:t>
      </w:r>
    </w:p>
    <w:p w:rsidR="00FA0F83" w:rsidRPr="00112515" w:rsidRDefault="00FA0F83" w:rsidP="00FA0F83">
      <w:pPr>
        <w:spacing w:line="360" w:lineRule="auto"/>
        <w:rPr>
          <w:rFonts w:ascii="Times New Roman" w:hAnsi="Times New Roman" w:cs="Times New Roman"/>
          <w:b/>
          <w:sz w:val="24"/>
          <w:szCs w:val="24"/>
        </w:rPr>
      </w:pPr>
      <w:r>
        <w:rPr>
          <w:rFonts w:ascii="Times New Roman" w:hAnsi="Times New Roman" w:cs="Times New Roman"/>
          <w:b/>
          <w:sz w:val="24"/>
          <w:szCs w:val="24"/>
        </w:rPr>
        <w:t>Drug-Drug</w:t>
      </w:r>
      <w:r w:rsidRPr="00112515">
        <w:rPr>
          <w:rFonts w:ascii="Times New Roman" w:hAnsi="Times New Roman" w:cs="Times New Roman"/>
          <w:b/>
          <w:sz w:val="24"/>
          <w:szCs w:val="24"/>
        </w:rPr>
        <w:t xml:space="preserve"> interaction criteria</w:t>
      </w:r>
    </w:p>
    <w:p w:rsidR="00FA0F83" w:rsidRPr="0044385C" w:rsidRDefault="00FA0F83" w:rsidP="00FA0F83">
      <w:pPr>
        <w:spacing w:line="360" w:lineRule="auto"/>
        <w:rPr>
          <w:rFonts w:ascii="Times New Roman" w:hAnsi="Times New Roman" w:cs="Times New Roman"/>
          <w:sz w:val="24"/>
          <w:szCs w:val="24"/>
        </w:rPr>
      </w:pPr>
      <w:r w:rsidRPr="00112515">
        <w:rPr>
          <w:rFonts w:ascii="Times New Roman" w:hAnsi="Times New Roman" w:cs="Times New Roman"/>
          <w:sz w:val="24"/>
          <w:szCs w:val="24"/>
        </w:rPr>
        <w:t xml:space="preserve">Includes the most commonly identified drug-drug interactions in Sweden, according to Holm </w:t>
      </w:r>
      <w:r w:rsidRPr="00112515">
        <w:rPr>
          <w:rFonts w:ascii="Times New Roman" w:hAnsi="Times New Roman" w:cs="Times New Roman"/>
          <w:i/>
          <w:sz w:val="24"/>
          <w:szCs w:val="24"/>
        </w:rPr>
        <w:t>et al.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"10.1007/s00228-014-1745-3", "ISSN" : "1432-1041", "PMID" : "25190295", "abstract" : "PURPOSE: The purpose of this study was to investigate the prevalence of prescribed combinations of interacting drugs in the Swedish population.\n\nMETHODS: This study design was retrospective and cross-sectional, based on a national register of dispensed prescription drugs during the period from January 1 to April 30, 2010. Prescription data was linked to the drug-drug interaction database SFINX to yield the prevalence of interacting combinations dispensed in the population. The study focused in particular on C- (clinically relevant interactions that can be handled, e.g. by dose adjustments), and D-interactions (clinically relevant interactions that should be avoided).\n\nRESULTS: Thirty-eight and 3.8 % of the population were dispensed combinations of drugs classified as C- or D- interactions, respectively, i.e. clinically relevant, involving all therapeutic areas. Half of the D-interactions were associated with increased risk of adverse drug reactions whereas the other half were considered interactions with a potential to cause therapeutic failure. We identified a top 15 list of D-interactions that included 80 % of the total number of interacting drug combinations. Regarding individual drugs, a group of only ten drugs was involved in as much as 94 % of all D-interactions.\n\nCONCLUSIONS: This study reveals that the majority of prescribed interacting drug combinations in Sweden involve a limited number of drugs. The findings may increase the awareness among prescribers of these most common drug interactions in clinical practice and highlight an area for pharmacological education. It may also serve as an inventory of potential interactions within different therapeutic areas for further research.", "author" : [ { "dropping-particle" : "", "family" : "Holm", "given" : "Johan", "non-dropping-particle" : "", "parse-names" : false, "suffix" : "" }, { "dropping-particle" : "", "family" : "Eiermann", "given" : "Birgit", "non-dropping-particle" : "", "parse-names" : false, "suffix" : "" }, { "dropping-particle" : "", "family" : "Eliasson", "given" : "Erik", "non-dropping-particle" : "", "parse-names" : false, "suffix" : "" }, { "dropping-particle" : "", "family" : "Mannheimer", "given" : "Buster", "non-dropping-particle" : "", "parse-names" : false, "suffix" : "" } ], "container-title" : "European journal of clinical pharmacology", "id" : "ITEM-1", "issue" : "11", "issued" : { "date-parts" : [ [ "2014", "11" ] ] }, "page" : "1375-83", "title" : "A limited number of prescribed drugs account for the great majority of drug-drug interactions.", "type" : "article-journal", "volume" : "70" }, "uris" : [ "http://www.mendeley.com/documents/?uuid=8c9c1ca6-b85a-4103-9b89-c12c0974fd31" ] } ], "mendeley" : { "formattedCitation" : "[34]", "plainTextFormattedCitation" : "[34]", "previouslyFormattedCitation" : "[21]" }, "properties" : { "noteIndex" : 0 }, "schema" : "https://github.com/citation-style-language/schema/raw/master/csl-citation.json" }</w:instrText>
      </w:r>
      <w:r>
        <w:rPr>
          <w:rFonts w:ascii="Times New Roman" w:hAnsi="Times New Roman" w:cs="Times New Roman"/>
          <w:sz w:val="24"/>
          <w:szCs w:val="24"/>
        </w:rPr>
        <w:fldChar w:fldCharType="separate"/>
      </w:r>
      <w:r w:rsidRPr="00DE16F9">
        <w:rPr>
          <w:rFonts w:ascii="Times New Roman" w:hAnsi="Times New Roman" w:cs="Times New Roman"/>
          <w:noProof/>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quinolone/tetracycline-metal ion,</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potassium-potassium-sparing diuretics,</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warfarin-acetylsalicylic acid,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proton pump inhibitor-</w:t>
      </w:r>
      <w:proofErr w:type="spellStart"/>
      <w:r w:rsidRPr="00112515">
        <w:rPr>
          <w:rFonts w:ascii="Times New Roman" w:hAnsi="Times New Roman" w:cs="Times New Roman"/>
          <w:sz w:val="24"/>
          <w:szCs w:val="24"/>
        </w:rPr>
        <w:t>clopidogrel</w:t>
      </w:r>
      <w:proofErr w:type="spellEnd"/>
      <w:r w:rsidRPr="00112515">
        <w:rPr>
          <w:rFonts w:ascii="Times New Roman" w:hAnsi="Times New Roman" w:cs="Times New Roman"/>
          <w:sz w:val="24"/>
          <w:szCs w:val="24"/>
        </w:rPr>
        <w:t>,</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calcium antagonist-beta blocker,</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tramadol-antidepressant,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codeine/</w:t>
      </w:r>
      <w:proofErr w:type="spellStart"/>
      <w:r w:rsidRPr="00112515">
        <w:rPr>
          <w:rFonts w:ascii="Times New Roman" w:hAnsi="Times New Roman" w:cs="Times New Roman"/>
          <w:sz w:val="24"/>
          <w:szCs w:val="24"/>
        </w:rPr>
        <w:t>ethylmorphine</w:t>
      </w:r>
      <w:proofErr w:type="spellEnd"/>
      <w:r w:rsidRPr="00112515">
        <w:rPr>
          <w:rFonts w:ascii="Times New Roman" w:hAnsi="Times New Roman" w:cs="Times New Roman"/>
          <w:sz w:val="24"/>
          <w:szCs w:val="24"/>
        </w:rPr>
        <w:t xml:space="preserve">-antidepressant,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warfarin-NSAID,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verapamil-digoxin,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lastRenderedPageBreak/>
        <w:t xml:space="preserve">diazepam-carbamazepine,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calcium antagonist-carbamazepine,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SSRI-SSRI,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warfarin-</w:t>
      </w:r>
      <w:proofErr w:type="spellStart"/>
      <w:r w:rsidRPr="00112515">
        <w:rPr>
          <w:rFonts w:ascii="Times New Roman" w:hAnsi="Times New Roman" w:cs="Times New Roman"/>
          <w:sz w:val="24"/>
          <w:szCs w:val="24"/>
        </w:rPr>
        <w:t>antimycotic</w:t>
      </w:r>
      <w:proofErr w:type="spellEnd"/>
      <w:r w:rsidRPr="00112515">
        <w:rPr>
          <w:rFonts w:ascii="Times New Roman" w:hAnsi="Times New Roman" w:cs="Times New Roman"/>
          <w:sz w:val="24"/>
          <w:szCs w:val="24"/>
        </w:rPr>
        <w:t xml:space="preserve">, </w:t>
      </w:r>
    </w:p>
    <w:p w:rsidR="00FA0F83" w:rsidRPr="00112515"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 xml:space="preserve">risperidone/quetiapine-carbamazepine and </w:t>
      </w:r>
    </w:p>
    <w:p w:rsidR="00FA0F83" w:rsidRDefault="00FA0F83" w:rsidP="00FA0F83">
      <w:pPr>
        <w:numPr>
          <w:ilvl w:val="0"/>
          <w:numId w:val="1"/>
        </w:numPr>
        <w:spacing w:line="360" w:lineRule="auto"/>
        <w:contextualSpacing/>
        <w:rPr>
          <w:rFonts w:ascii="Times New Roman" w:hAnsi="Times New Roman" w:cs="Times New Roman"/>
          <w:sz w:val="24"/>
          <w:szCs w:val="24"/>
        </w:rPr>
      </w:pPr>
      <w:r w:rsidRPr="00112515">
        <w:rPr>
          <w:rFonts w:ascii="Times New Roman" w:hAnsi="Times New Roman" w:cs="Times New Roman"/>
          <w:sz w:val="24"/>
          <w:szCs w:val="24"/>
        </w:rPr>
        <w:t>dopamine antagonist-dopamine agonist</w:t>
      </w:r>
    </w:p>
    <w:p w:rsidR="00FA0F83" w:rsidRPr="00DD7D6E" w:rsidRDefault="00FA0F83" w:rsidP="00FA0F83">
      <w:pPr>
        <w:rPr>
          <w:rFonts w:ascii="Times New Roman" w:hAnsi="Times New Roman" w:cs="Times New Roman"/>
          <w:sz w:val="24"/>
        </w:rPr>
      </w:pPr>
    </w:p>
    <w:p w:rsidR="00FA2A3F" w:rsidRDefault="00FA2A3F"/>
    <w:sectPr w:rsidR="00FA2A3F" w:rsidSect="008140D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F4CDE"/>
    <w:multiLevelType w:val="hybridMultilevel"/>
    <w:tmpl w:val="F086D5CE"/>
    <w:lvl w:ilvl="0" w:tplc="98FC638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43F"/>
    <w:rsid w:val="000B795E"/>
    <w:rsid w:val="00F6643F"/>
    <w:rsid w:val="00FA0F83"/>
    <w:rsid w:val="00FA2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F83"/>
    <w:rPr>
      <w:lang w:val="en-US"/>
    </w:rPr>
  </w:style>
  <w:style w:type="paragraph" w:styleId="Heading1">
    <w:name w:val="heading 1"/>
    <w:basedOn w:val="Normal"/>
    <w:next w:val="Normal"/>
    <w:link w:val="Heading1Char"/>
    <w:uiPriority w:val="9"/>
    <w:qFormat/>
    <w:rsid w:val="00FA0F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F83"/>
    <w:rPr>
      <w:rFonts w:asciiTheme="majorHAnsi" w:eastAsiaTheme="majorEastAsia" w:hAnsiTheme="majorHAnsi" w:cstheme="majorBidi"/>
      <w:b/>
      <w:bCs/>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F83"/>
    <w:rPr>
      <w:lang w:val="en-US"/>
    </w:rPr>
  </w:style>
  <w:style w:type="paragraph" w:styleId="Heading1">
    <w:name w:val="heading 1"/>
    <w:basedOn w:val="Normal"/>
    <w:next w:val="Normal"/>
    <w:link w:val="Heading1Char"/>
    <w:uiPriority w:val="9"/>
    <w:qFormat/>
    <w:rsid w:val="00FA0F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F83"/>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Rausch</cp:lastModifiedBy>
  <cp:revision>3</cp:revision>
  <dcterms:created xsi:type="dcterms:W3CDTF">2016-11-10T17:36:00Z</dcterms:created>
  <dcterms:modified xsi:type="dcterms:W3CDTF">2017-08-15T11:06:00Z</dcterms:modified>
</cp:coreProperties>
</file>