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3"/>
        <w:gridCol w:w="1266"/>
        <w:gridCol w:w="1173"/>
      </w:tblGrid>
      <w:tr w:rsidR="00306A2F" w:rsidRPr="003753DC" w:rsidTr="00000AD5">
        <w:trPr>
          <w:trHeight w:val="276"/>
        </w:trPr>
        <w:tc>
          <w:tcPr>
            <w:tcW w:w="66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bookmarkStart w:id="0" w:name="_GoBack"/>
            <w:bookmarkEnd w:id="0"/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gPop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ID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 (%)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 (%)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Insulin-dependent diabetes mellitus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174 (2)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182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2)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coma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ketoacidosis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renal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ophthalmic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61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83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neurological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peripheral circulatory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15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other 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12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multiple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24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25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unspecified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27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115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99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Non-insulin-dependent diabetes mellitus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546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664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8)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coma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ketoacidosis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renal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22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ophthalmic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106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143 (2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neurological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peripheral circulatory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other 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41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multiple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54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42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unspecified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78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73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473 (6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569 (7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Malnutrition-related diabetes mellitus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2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unspecified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Other specified diabetes mellitus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5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ophthalmic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multiple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unspecified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Unspecified diabetes mellitus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106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118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coma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ketoacidosis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ophthalmic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peripheral circulatory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multiple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unspecified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complications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47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69 (1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Unspecified diabetes mellitus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Essential (primary) hypertension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1467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795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Hypertensive heart disease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36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19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(congestive) heart failure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(congestive) heart failure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27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Hypertensive renal disease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20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10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renal failure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...without renal failure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Hypertensive heart and renal disease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2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5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...with (congestive) heart failure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lastRenderedPageBreak/>
              <w:t>...with renal failure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...unspecified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Secondary hypertension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36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19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0)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Renovascular hypertension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Hypertension secondary to other renal disorders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Hypertension secondary to endocrine disorders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Other secondary hypertension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306A2F" w:rsidRPr="003753DC" w:rsidTr="00000AD5">
        <w:trPr>
          <w:trHeight w:val="276"/>
        </w:trPr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Secondary hypertension, unspecified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26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6A2F" w:rsidRPr="003753DC" w:rsidRDefault="00306A2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 (0</w:t>
            </w:r>
            <w:r w:rsidRPr="003753DC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</w:tbl>
    <w:p w:rsidR="00A46243" w:rsidRDefault="00306A2F" w:rsidP="000479B5">
      <w:pPr>
        <w:spacing w:line="240" w:lineRule="auto"/>
        <w:ind w:firstLine="0"/>
      </w:pPr>
      <w:r w:rsidRPr="003753DC">
        <w:t>Diagnoses with ICD-10 codes E10-E14 or I10-I15 not included in the table were not made during the study period.</w:t>
      </w:r>
      <w:r w:rsidR="000479B5">
        <w:t xml:space="preserve"> </w:t>
      </w:r>
    </w:p>
    <w:sectPr w:rsidR="00A46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2F"/>
    <w:rsid w:val="0004745C"/>
    <w:rsid w:val="000479B5"/>
    <w:rsid w:val="00196A61"/>
    <w:rsid w:val="00306A2F"/>
    <w:rsid w:val="006216B8"/>
    <w:rsid w:val="007E1EF9"/>
    <w:rsid w:val="00924969"/>
    <w:rsid w:val="00A46243"/>
    <w:rsid w:val="00D75DBA"/>
    <w:rsid w:val="00E20BDA"/>
    <w:rsid w:val="00F4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5CE582C-B661-4F40-AC41-00B8D1C6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A2F"/>
    <w:pPr>
      <w:spacing w:after="0" w:line="480" w:lineRule="auto"/>
      <w:ind w:firstLine="425"/>
    </w:pPr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A46243"/>
    <w:pPr>
      <w:keepNext/>
      <w:keepLines/>
      <w:spacing w:after="240" w:line="240" w:lineRule="auto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62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">
    <w:name w:val="EndNote Bibliography"/>
    <w:basedOn w:val="Normal"/>
    <w:link w:val="EndNoteBibliographyChar"/>
    <w:qFormat/>
    <w:rsid w:val="007E1EF9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Standardstycketeckensnitt"/>
    <w:link w:val="EndNoteBibliography"/>
    <w:rsid w:val="007E1EF9"/>
    <w:rPr>
      <w:noProof/>
      <w:lang w:val="en-US"/>
    </w:rPr>
  </w:style>
  <w:style w:type="character" w:styleId="Radnummer">
    <w:name w:val="line number"/>
    <w:basedOn w:val="Standardstycketeckensnitt"/>
    <w:uiPriority w:val="99"/>
    <w:semiHidden/>
    <w:unhideWhenUsed/>
    <w:rsid w:val="00306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Axmon</dc:creator>
  <cp:keywords/>
  <dc:description/>
  <cp:lastModifiedBy>Anna Axmon</cp:lastModifiedBy>
  <cp:revision>2</cp:revision>
  <dcterms:created xsi:type="dcterms:W3CDTF">2017-11-07T15:00:00Z</dcterms:created>
  <dcterms:modified xsi:type="dcterms:W3CDTF">2017-11-07T15:00:00Z</dcterms:modified>
</cp:coreProperties>
</file>