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2"/>
        <w:gridCol w:w="889"/>
        <w:gridCol w:w="843"/>
        <w:gridCol w:w="1664"/>
        <w:gridCol w:w="843"/>
        <w:gridCol w:w="843"/>
        <w:gridCol w:w="1486"/>
        <w:gridCol w:w="743"/>
        <w:gridCol w:w="792"/>
        <w:gridCol w:w="1569"/>
      </w:tblGrid>
      <w:tr w:rsidR="00256FAF" w:rsidRPr="003753DC" w:rsidTr="00000AD5">
        <w:trPr>
          <w:trHeight w:val="276"/>
        </w:trPr>
        <w:tc>
          <w:tcPr>
            <w:tcW w:w="4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Both insulin- and non-insulin dependent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Insulin-dependent only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Non-insulin-dependent only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gPop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br/>
              <w:t>(n=123)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 xml:space="preserve">ID 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(n=131)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ID vs gPop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gPop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br/>
              <w:t>(n=423)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 xml:space="preserve">ID 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(n=533)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ID vs gPop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gPop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br/>
              <w:t>(n=51)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 xml:space="preserve">ID 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(n=51)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sv-SE"/>
              </w:rPr>
              <w:t>ID vs gPop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proofErr w:type="gramStart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</w:t>
            </w:r>
            <w:proofErr w:type="gramEnd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(%)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proofErr w:type="gramStart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</w:t>
            </w:r>
            <w:proofErr w:type="gramEnd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(%)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RR (95% CI)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proofErr w:type="gramStart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</w:t>
            </w:r>
            <w:proofErr w:type="gramEnd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(%)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proofErr w:type="gramStart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</w:t>
            </w:r>
            <w:proofErr w:type="gramEnd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(%)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RR (95% CI)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proofErr w:type="gramStart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</w:t>
            </w:r>
            <w:proofErr w:type="gramEnd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(%)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proofErr w:type="gramStart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</w:t>
            </w:r>
            <w:proofErr w:type="gramEnd"/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 (%)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RR (95% CI)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uppressAutoHyphens/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Insulins and analogues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109 (89)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116 (89)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1.00 (0.77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1.30)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143 (34)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222 (42)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1.23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1.00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1.52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38 (75)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39 (76)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1.03 (0.66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1.60)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Fast-acting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71 (58)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60 (46)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0.79 (0.56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1.12)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54 (13)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76 (14)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1.12 (0.79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1.58)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32 (63)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20 (39)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0.63 (0.36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1.09)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Intermediate-acting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54 (44)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44 (34)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0.77 (0.51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1.14)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77 (18)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85 (16)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0.88 (0.64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1.19)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 (33)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13 (25)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0.77 (0.37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1.57)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Intermediate/long-acting comb. fast-acting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44 (36)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76 (58)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1.62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1.12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2.35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70 (17)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136 (26)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1.54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1.16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2.06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 (16)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20 (39)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2.50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1.10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5.68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Long-acting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44 (36)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48 (37)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1.02 (0.68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1.54)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40 (9)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52 (10)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1.03 (0.68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1.56)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21 (41)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 (27)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0.67 (0.34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1.31)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Blood glucose lowering drugs excl. insulins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78 (63)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99 (76)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1.19 (0.89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1.60)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345 (82)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429 (80)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0.99 (0.86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1.14)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(35)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27 (53)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1.50 (0.83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2.72)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Biguanides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74 (60)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86 (66)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1.09 (0.80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1.49)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324 (77)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387 (73)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0.95 (0.82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1.10)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 (33)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26 (51)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1.53 (0.83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2.82)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Sulfonylureas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20 (16)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46 (35)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2.16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1.28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3.65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130 (31)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184 (35)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1.12 (0.90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1.41)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7 (14)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 (18)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1.29 (0.48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3.45)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Combinations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(2)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(2)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17 (4)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 (2)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0.42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0.19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0.94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α glucosidase inhibitors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(2)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(3)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(1)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(1)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Thiazolidinediones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5 (4)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(2)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18 (4)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19 (4)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0.84 (0.44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1.60)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(2)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Dipeptidyl peptidase 4 (DPP-4) inhibitors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 (5)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(2)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36 (9)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20 (4)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0.44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 (</w:t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0.26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noBreakHyphen/>
            </w:r>
            <w:r w:rsidRPr="003753D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v-SE"/>
              </w:rPr>
              <w:t>0.76</w:t>
            </w:r>
            <w:r w:rsidRPr="003753D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 (4)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Repaglinide or A10BX03: Nateglinide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9 (7)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6 (5)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0.63 (0.22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1.76)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25 (6)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30 (6)</w:t>
            </w:r>
          </w:p>
        </w:tc>
        <w:tc>
          <w:tcPr>
            <w:tcW w:w="1486" w:type="dxa"/>
            <w:tcBorders>
              <w:top w:val="nil"/>
              <w:left w:val="nil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0.95 (0.56</w:t>
            </w: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noBreakHyphen/>
              <w:t>1.62)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(2)</w:t>
            </w:r>
          </w:p>
        </w:tc>
        <w:tc>
          <w:tcPr>
            <w:tcW w:w="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(2)</w:t>
            </w:r>
          </w:p>
        </w:tc>
        <w:tc>
          <w:tcPr>
            <w:tcW w:w="15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</w:tr>
      <w:tr w:rsidR="00256FAF" w:rsidRPr="003753DC" w:rsidTr="00000AD5">
        <w:trPr>
          <w:trHeight w:val="276"/>
        </w:trPr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 xml:space="preserve">Exenatide or A10BX07: Liraglutide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 (1)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3 (2)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14 (3)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4 (1)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0 (0)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6FAF" w:rsidRPr="003753DC" w:rsidRDefault="00256FAF" w:rsidP="00000AD5">
            <w:pPr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  <w:r w:rsidRPr="003753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NC</w:t>
            </w:r>
          </w:p>
        </w:tc>
      </w:tr>
    </w:tbl>
    <w:p w:rsidR="00256FAF" w:rsidRPr="003753DC" w:rsidRDefault="00256FAF" w:rsidP="00256FAF">
      <w:pPr>
        <w:spacing w:line="240" w:lineRule="auto"/>
        <w:ind w:firstLine="0"/>
      </w:pPr>
      <w:r w:rsidRPr="003753DC">
        <w:t>RR = relative risk; CI = confidence interval; ID = intellectual disability; gPop = general population; NC = not calculated due to too few observations</w:t>
      </w:r>
      <w:r>
        <w:fldChar w:fldCharType="begin"/>
      </w:r>
      <w:r>
        <w:instrText xml:space="preserve"> ADDIN </w:instrText>
      </w:r>
      <w:r>
        <w:fldChar w:fldCharType="end"/>
      </w:r>
    </w:p>
    <w:p w:rsidR="00A46243" w:rsidRDefault="00A46243">
      <w:bookmarkStart w:id="0" w:name="_GoBack"/>
      <w:bookmarkEnd w:id="0"/>
    </w:p>
    <w:sectPr w:rsidR="00A46243" w:rsidSect="00256F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AF"/>
    <w:rsid w:val="0004745C"/>
    <w:rsid w:val="00196A61"/>
    <w:rsid w:val="00256FAF"/>
    <w:rsid w:val="006216B8"/>
    <w:rsid w:val="007E1EF9"/>
    <w:rsid w:val="00924969"/>
    <w:rsid w:val="00A46243"/>
    <w:rsid w:val="00D75DBA"/>
    <w:rsid w:val="00E20BDA"/>
    <w:rsid w:val="00F4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3D32DC8-D149-42AC-A39D-87686EA9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FAF"/>
    <w:pPr>
      <w:spacing w:after="0" w:line="480" w:lineRule="auto"/>
      <w:ind w:firstLine="425"/>
    </w:pPr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A46243"/>
    <w:pPr>
      <w:keepNext/>
      <w:keepLines/>
      <w:spacing w:after="240" w:line="240" w:lineRule="auto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62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">
    <w:name w:val="EndNote Bibliography"/>
    <w:basedOn w:val="Normal"/>
    <w:link w:val="EndNoteBibliographyChar"/>
    <w:qFormat/>
    <w:rsid w:val="007E1EF9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Standardstycketeckensnitt"/>
    <w:link w:val="EndNoteBibliography"/>
    <w:rsid w:val="007E1EF9"/>
    <w:rPr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Axmon</dc:creator>
  <cp:keywords/>
  <dc:description/>
  <cp:lastModifiedBy>Anna Axmon</cp:lastModifiedBy>
  <cp:revision>1</cp:revision>
  <dcterms:created xsi:type="dcterms:W3CDTF">2017-11-07T15:01:00Z</dcterms:created>
  <dcterms:modified xsi:type="dcterms:W3CDTF">2017-11-07T15:01:00Z</dcterms:modified>
</cp:coreProperties>
</file>