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Appendix 1: Search terms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consciousness disorders/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proofErr w:type="spellStart"/>
      <w:r>
        <w:rPr>
          <w:rFonts w:asciiTheme="minorHAnsi" w:hAnsiTheme="minorHAnsi"/>
        </w:rPr>
        <w:t>drows</w:t>
      </w:r>
      <w:proofErr w:type="spellEnd"/>
      <w:proofErr w:type="gramStart"/>
      <w:r>
        <w:rPr>
          <w:rFonts w:asciiTheme="minorHAnsi" w:hAnsiTheme="minorHAnsi"/>
        </w:rPr>
        <w:t>*.</w:t>
      </w:r>
      <w:proofErr w:type="spellStart"/>
      <w:r>
        <w:rPr>
          <w:rFonts w:asciiTheme="minorHAnsi" w:hAnsiTheme="minorHAnsi"/>
        </w:rPr>
        <w:t>ti</w:t>
      </w:r>
      <w:proofErr w:type="gramEnd"/>
      <w:r>
        <w:rPr>
          <w:rFonts w:asciiTheme="minorHAnsi" w:hAnsiTheme="minorHAnsi"/>
        </w:rPr>
        <w:t>,ab</w:t>
      </w:r>
      <w:proofErr w:type="spellEnd"/>
      <w:r>
        <w:rPr>
          <w:rFonts w:asciiTheme="minorHAnsi" w:hAnsiTheme="minorHAnsi"/>
        </w:rPr>
        <w:t>.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</w:t>
      </w:r>
      <w:proofErr w:type="spellStart"/>
      <w:r>
        <w:rPr>
          <w:rFonts w:asciiTheme="minorHAnsi" w:hAnsiTheme="minorHAnsi"/>
        </w:rPr>
        <w:t>glasgow</w:t>
      </w:r>
      <w:proofErr w:type="spellEnd"/>
      <w:r>
        <w:rPr>
          <w:rFonts w:asciiTheme="minorHAnsi" w:hAnsiTheme="minorHAnsi"/>
        </w:rPr>
        <w:t xml:space="preserve"> coma scale/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</w:t>
      </w:r>
      <w:proofErr w:type="spellStart"/>
      <w:proofErr w:type="gramStart"/>
      <w:r>
        <w:rPr>
          <w:rFonts w:asciiTheme="minorHAnsi" w:hAnsiTheme="minorHAnsi"/>
        </w:rPr>
        <w:t>GCS.ti,ab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5. </w:t>
      </w:r>
      <w:proofErr w:type="spellStart"/>
      <w:r>
        <w:rPr>
          <w:rFonts w:asciiTheme="minorHAnsi" w:hAnsiTheme="minorHAnsi"/>
        </w:rPr>
        <w:t>glasgow</w:t>
      </w:r>
      <w:proofErr w:type="spellEnd"/>
      <w:r>
        <w:rPr>
          <w:rFonts w:asciiTheme="minorHAnsi" w:hAnsiTheme="minorHAnsi"/>
        </w:rPr>
        <w:t xml:space="preserve"> coma </w:t>
      </w:r>
      <w:proofErr w:type="spellStart"/>
      <w:proofErr w:type="gramStart"/>
      <w:r>
        <w:rPr>
          <w:rFonts w:asciiTheme="minorHAnsi" w:hAnsiTheme="minorHAnsi"/>
        </w:rPr>
        <w:t>scale.ti</w:t>
      </w:r>
      <w:proofErr w:type="gramEnd"/>
      <w:r>
        <w:rPr>
          <w:rFonts w:asciiTheme="minorHAnsi" w:hAnsiTheme="minorHAnsi"/>
        </w:rPr>
        <w:t>,ab</w:t>
      </w:r>
      <w:proofErr w:type="spellEnd"/>
      <w:r>
        <w:rPr>
          <w:rFonts w:asciiTheme="minorHAnsi" w:hAnsiTheme="minorHAnsi"/>
        </w:rPr>
        <w:t>.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6. </w:t>
      </w:r>
      <w:proofErr w:type="spellStart"/>
      <w:proofErr w:type="gramStart"/>
      <w:r>
        <w:rPr>
          <w:rFonts w:asciiTheme="minorHAnsi" w:hAnsiTheme="minorHAnsi"/>
        </w:rPr>
        <w:t>AVPU.ti,ab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7. conscious</w:t>
      </w:r>
      <w:proofErr w:type="gramStart"/>
      <w:r>
        <w:rPr>
          <w:rFonts w:asciiTheme="minorHAnsi" w:hAnsiTheme="minorHAnsi"/>
        </w:rPr>
        <w:t>*.</w:t>
      </w:r>
      <w:proofErr w:type="spellStart"/>
      <w:r>
        <w:rPr>
          <w:rFonts w:asciiTheme="minorHAnsi" w:hAnsiTheme="minorHAnsi"/>
        </w:rPr>
        <w:t>ti</w:t>
      </w:r>
      <w:proofErr w:type="gramEnd"/>
      <w:r>
        <w:rPr>
          <w:rFonts w:asciiTheme="minorHAnsi" w:hAnsiTheme="minorHAnsi"/>
        </w:rPr>
        <w:t>,ab</w:t>
      </w:r>
      <w:proofErr w:type="spellEnd"/>
      <w:r>
        <w:rPr>
          <w:rFonts w:asciiTheme="minorHAnsi" w:hAnsiTheme="minorHAnsi"/>
        </w:rPr>
        <w:t xml:space="preserve">.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8. level adj2 </w:t>
      </w:r>
      <w:proofErr w:type="spellStart"/>
      <w:proofErr w:type="gramStart"/>
      <w:r>
        <w:rPr>
          <w:rFonts w:asciiTheme="minorHAnsi" w:hAnsiTheme="minorHAnsi"/>
        </w:rPr>
        <w:t>arousal.ti</w:t>
      </w:r>
      <w:proofErr w:type="gramEnd"/>
      <w:r>
        <w:rPr>
          <w:rFonts w:asciiTheme="minorHAnsi" w:hAnsiTheme="minorHAnsi"/>
        </w:rPr>
        <w:t>,ab</w:t>
      </w:r>
      <w:proofErr w:type="spellEnd"/>
      <w:r>
        <w:rPr>
          <w:rFonts w:asciiTheme="minorHAnsi" w:hAnsiTheme="minorHAnsi"/>
        </w:rPr>
        <w:t xml:space="preserve">.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9. </w:t>
      </w:r>
      <w:proofErr w:type="spellStart"/>
      <w:proofErr w:type="gramStart"/>
      <w:r>
        <w:rPr>
          <w:rFonts w:asciiTheme="minorHAnsi" w:hAnsiTheme="minorHAnsi"/>
        </w:rPr>
        <w:t>RASS.ti,ab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10. Richmond adj3 </w:t>
      </w:r>
      <w:proofErr w:type="spellStart"/>
      <w:proofErr w:type="gramStart"/>
      <w:r>
        <w:rPr>
          <w:rFonts w:asciiTheme="minorHAnsi" w:hAnsiTheme="minorHAnsi"/>
        </w:rPr>
        <w:t>Scale.ti,ab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11. </w:t>
      </w:r>
      <w:proofErr w:type="spellStart"/>
      <w:proofErr w:type="gramStart"/>
      <w:r>
        <w:rPr>
          <w:rFonts w:asciiTheme="minorHAnsi" w:hAnsiTheme="minorHAnsi"/>
        </w:rPr>
        <w:t>OSLA.ti,ab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12. 1 or 2 or 3 or 4 or 5 or 6 or 7 or 8 or 9 or 10 or 11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13. mortality/ or hospital mortality/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14. </w:t>
      </w:r>
      <w:proofErr w:type="spellStart"/>
      <w:r>
        <w:rPr>
          <w:rFonts w:asciiTheme="minorHAnsi" w:hAnsiTheme="minorHAnsi"/>
        </w:rPr>
        <w:t>mortalit</w:t>
      </w:r>
      <w:proofErr w:type="spellEnd"/>
      <w:r>
        <w:rPr>
          <w:rFonts w:asciiTheme="minorHAnsi" w:hAnsiTheme="minorHAnsi"/>
        </w:rPr>
        <w:t>*</w:t>
      </w:r>
      <w:proofErr w:type="spellStart"/>
      <w:proofErr w:type="gramStart"/>
      <w:r>
        <w:rPr>
          <w:rFonts w:asciiTheme="minorHAnsi" w:hAnsiTheme="minorHAnsi"/>
        </w:rPr>
        <w:t>ti,ab</w:t>
      </w:r>
      <w:proofErr w:type="spellEnd"/>
      <w:r>
        <w:rPr>
          <w:rFonts w:asciiTheme="minorHAnsi" w:hAnsiTheme="minorHAnsi"/>
        </w:rPr>
        <w:t>.</w:t>
      </w:r>
      <w:proofErr w:type="gramEnd"/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15. </w:t>
      </w:r>
      <w:proofErr w:type="spellStart"/>
      <w:proofErr w:type="gramStart"/>
      <w:r>
        <w:rPr>
          <w:rFonts w:asciiTheme="minorHAnsi" w:hAnsiTheme="minorHAnsi"/>
        </w:rPr>
        <w:t>prognosis.ti</w:t>
      </w:r>
      <w:proofErr w:type="gramEnd"/>
      <w:r>
        <w:rPr>
          <w:rFonts w:asciiTheme="minorHAnsi" w:hAnsiTheme="minorHAnsi"/>
        </w:rPr>
        <w:t>,ab</w:t>
      </w:r>
      <w:proofErr w:type="spellEnd"/>
      <w:r>
        <w:rPr>
          <w:rFonts w:asciiTheme="minorHAnsi" w:hAnsiTheme="minorHAnsi"/>
        </w:rPr>
        <w:t>.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16. 13 or 14 or 15 </w:t>
      </w:r>
    </w:p>
    <w:p w:rsidR="00E307E4" w:rsidRDefault="00E307E4" w:rsidP="00E307E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17. 12 and 16</w:t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Appendix 2: Modified </w:t>
      </w:r>
      <w:proofErr w:type="spellStart"/>
      <w:r>
        <w:rPr>
          <w:rFonts w:asciiTheme="minorHAnsi" w:hAnsiTheme="minorHAnsi"/>
          <w:b/>
        </w:rPr>
        <w:t>RoBANS</w:t>
      </w:r>
      <w:proofErr w:type="spellEnd"/>
      <w:r>
        <w:rPr>
          <w:rFonts w:asciiTheme="minorHAnsi" w:hAnsiTheme="minorHAnsi"/>
          <w:b/>
        </w:rPr>
        <w:t xml:space="preserve"> risk of bias assessment</w:t>
      </w:r>
    </w:p>
    <w:p w:rsidR="00E307E4" w:rsidRDefault="00E307E4" w:rsidP="00E307E4">
      <w:pPr>
        <w:keepNext/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involves an assessment of whether the risk of bias in an observational study is ‘high’, ‘low’ or ‘unknown’ over six domains: </w:t>
      </w:r>
    </w:p>
    <w:p w:rsidR="00E307E4" w:rsidRDefault="00E307E4" w:rsidP="00E307E4">
      <w:pPr>
        <w:keepNext/>
        <w:spacing w:line="480" w:lineRule="auto"/>
        <w:rPr>
          <w:rFonts w:asciiTheme="minorHAnsi" w:eastAsia="Times New Roman" w:hAnsiTheme="minorHAnsi" w:cs="Segoe UI"/>
          <w:shd w:val="clear" w:color="auto" w:fill="FFFFFF"/>
          <w:lang w:eastAsia="en-GB"/>
        </w:rPr>
      </w:pPr>
      <w:r>
        <w:rPr>
          <w:rFonts w:asciiTheme="minorHAnsi" w:hAnsiTheme="minorHAnsi"/>
        </w:rPr>
        <w:t xml:space="preserve">(A) </w:t>
      </w:r>
      <w:r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  <w:t xml:space="preserve">Selection of participants. We assessed how comprehensive the </w:t>
      </w:r>
      <w:r>
        <w:rPr>
          <w:rFonts w:asciiTheme="minorHAnsi" w:eastAsia="Times New Roman" w:hAnsiTheme="minorHAnsi" w:cs="Segoe UI"/>
          <w:shd w:val="clear" w:color="auto" w:fill="FFFFFF"/>
          <w:lang w:eastAsia="en-GB"/>
        </w:rPr>
        <w:t xml:space="preserve">attempt was to include all relevant patients in the study. Low risk of bias studies had a thorough methodology to ensure the maximum number of eligible patients were included. </w:t>
      </w:r>
    </w:p>
    <w:p w:rsidR="00E307E4" w:rsidRDefault="00E307E4" w:rsidP="00E307E4">
      <w:pPr>
        <w:keepNext/>
        <w:spacing w:line="480" w:lineRule="auto"/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shd w:val="clear" w:color="auto" w:fill="FFFFFF"/>
          <w:lang w:eastAsia="en-GB"/>
        </w:rPr>
        <w:t xml:space="preserve">(B) </w:t>
      </w:r>
      <w:r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  <w:t xml:space="preserve">Confounding variables. We recognised that multiple confounding factors could contribute to a patient being drowsy on admission to hospital, particularly features such as use of psychoactive or sedative drugs, or alcohol use. If such features were documented and included in a multivariate analysis, the study was deemed to be low risk. </w:t>
      </w:r>
    </w:p>
    <w:p w:rsidR="00E307E4" w:rsidRDefault="00E307E4" w:rsidP="00E307E4">
      <w:pPr>
        <w:keepNext/>
        <w:spacing w:line="480" w:lineRule="auto"/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  <w:t xml:space="preserve">(C) Measurement of exposure. For each study we assessed the robustness of the arousal assessment. Use of a validated scale (e.g. GCS) was considered low risk whereas descriptive terms (e.g. ‘impaired consciousness’) were high risk. </w:t>
      </w:r>
    </w:p>
    <w:p w:rsidR="00E307E4" w:rsidRDefault="00E307E4" w:rsidP="00E307E4">
      <w:pPr>
        <w:keepNext/>
        <w:spacing w:line="480" w:lineRule="auto"/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  <w:t xml:space="preserve">(D) Incomplete data outcome. We assessed the risk of bias based on how missing data were handled. If over 10% of patients had to be excluded due to missing data, or if there was no comment on handling of missing data, these studies were deemed high risk. </w:t>
      </w:r>
    </w:p>
    <w:p w:rsidR="00E307E4" w:rsidRDefault="00E307E4" w:rsidP="00E307E4">
      <w:pPr>
        <w:keepNext/>
        <w:spacing w:line="480" w:lineRule="auto"/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  <w:t xml:space="preserve">(E) Blinding of outcome. Given our outcome was death this was not relevant for our studies. </w:t>
      </w:r>
    </w:p>
    <w:p w:rsidR="00E307E4" w:rsidRDefault="00E307E4" w:rsidP="00E307E4">
      <w:pPr>
        <w:keepNext/>
        <w:spacing w:line="480" w:lineRule="auto"/>
        <w:rPr>
          <w:rFonts w:asciiTheme="minorHAnsi" w:eastAsia="Times New Roman" w:hAnsiTheme="minorHAnsi" w:cs="Segoe UI"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  <w:t>(F) Selective outcome reporting. If a protocol was available we read this to determine whether the study followed the pre-specified plan. If there was no protocol it was deemed unclear.</w:t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after="0"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Appendix 3: Description of level of arousal scales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  <w:u w:val="single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/>
          <w:b/>
        </w:rPr>
      </w:pPr>
      <w:r>
        <w:rPr>
          <w:rFonts w:asciiTheme="minorHAnsi" w:hAnsiTheme="minorHAnsi"/>
          <w:u w:val="single"/>
        </w:rPr>
        <w:t>Glasgow Coma Scale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Eye response: </w:t>
      </w:r>
      <w:r>
        <w:rPr>
          <w:rFonts w:asciiTheme="minorHAnsi" w:hAnsiTheme="minorHAnsi"/>
        </w:rPr>
        <w:tab/>
        <w:t>Spontaneous = 4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Verbal = 3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Pain = 2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None = 1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Verbal response: Orientated = 5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Confused = 4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Inappropriate words = 3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Incomprehensible sounds = 2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None = 1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Motor response: Obeys commands = 6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Localises painful stimulus = 5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Withdraws from pain = 4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Flexion to pain = 3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Extension to pain = 2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None = 3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Total score out of 15, minimum score 3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  <w:u w:val="single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AVPU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 = alert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V = responds to vocal stimuli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 = responds to pain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U = unresponsive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u w:val="single"/>
          <w:lang w:val="en-IE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u w:val="single"/>
          <w:lang w:val="en-IE"/>
        </w:rPr>
      </w:pPr>
      <w:r>
        <w:rPr>
          <w:rFonts w:asciiTheme="minorHAnsi" w:hAnsiTheme="minorHAnsi" w:cs="Arial"/>
          <w:u w:val="single"/>
          <w:lang w:val="en-IE"/>
        </w:rPr>
        <w:t>Japan Coma Scale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lastRenderedPageBreak/>
        <w:t>A state of not awakening even when stimulated (deep coma, coma, semi-coma):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- 300 No response to pain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- 200 Moves hands or feet slightly to pain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- 100 Withdrawal or localisation to painful stimulus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A state of awakening to stimulus (stupor, lethargy, hypersomnia, somnolence, drowsiness):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- 30 Opening eyes to a repeated call and painful stimulus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-20 Opening eyes to shaking body or shouting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- 10 Opening eyes to ordinary voice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 xml:space="preserve">A state of </w:t>
      </w:r>
      <w:proofErr w:type="spellStart"/>
      <w:r>
        <w:rPr>
          <w:rFonts w:asciiTheme="minorHAnsi" w:hAnsiTheme="minorHAnsi" w:cs="Arial"/>
          <w:lang w:val="en-IE"/>
        </w:rPr>
        <w:t>awakeness</w:t>
      </w:r>
      <w:proofErr w:type="spellEnd"/>
      <w:r>
        <w:rPr>
          <w:rFonts w:asciiTheme="minorHAnsi" w:hAnsiTheme="minorHAnsi" w:cs="Arial"/>
          <w:lang w:val="en-IE"/>
        </w:rPr>
        <w:t xml:space="preserve"> without stimulation (delirium, confusion, senselessness) 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- 3 Cannot state name or date of birth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- 2 Disorientation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- 1 Consciousness not completely clear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u w:val="single"/>
          <w:lang w:val="en-IE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u w:val="single"/>
          <w:lang w:val="en-IE"/>
        </w:rPr>
      </w:pPr>
      <w:r>
        <w:rPr>
          <w:rFonts w:asciiTheme="minorHAnsi" w:hAnsiTheme="minorHAnsi" w:cs="Arial"/>
          <w:u w:val="single"/>
          <w:lang w:val="en-IE"/>
        </w:rPr>
        <w:t xml:space="preserve">Kelly </w:t>
      </w:r>
      <w:proofErr w:type="spellStart"/>
      <w:r>
        <w:rPr>
          <w:rFonts w:asciiTheme="minorHAnsi" w:hAnsiTheme="minorHAnsi" w:cs="Arial"/>
          <w:u w:val="single"/>
          <w:lang w:val="en-IE"/>
        </w:rPr>
        <w:t>Matthay</w:t>
      </w:r>
      <w:proofErr w:type="spellEnd"/>
      <w:r>
        <w:rPr>
          <w:rFonts w:asciiTheme="minorHAnsi" w:hAnsiTheme="minorHAnsi" w:cs="Arial"/>
          <w:u w:val="single"/>
          <w:lang w:val="en-IE"/>
        </w:rPr>
        <w:t xml:space="preserve"> Score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1 Alert, following complex three stage commands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2 Alert, follows simple commands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3 Lethargic but arousable and follows simple commands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 xml:space="preserve">4 </w:t>
      </w:r>
      <w:proofErr w:type="spellStart"/>
      <w:r>
        <w:rPr>
          <w:rFonts w:asciiTheme="minorHAnsi" w:hAnsiTheme="minorHAnsi" w:cs="Arial"/>
          <w:lang w:val="en-IE"/>
        </w:rPr>
        <w:t>Stuporous</w:t>
      </w:r>
      <w:proofErr w:type="spellEnd"/>
      <w:r>
        <w:rPr>
          <w:rFonts w:asciiTheme="minorHAnsi" w:hAnsiTheme="minorHAnsi" w:cs="Arial"/>
          <w:lang w:val="en-IE"/>
        </w:rPr>
        <w:t>, only intermittently follows simple commands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5 Comatose, brain stem intact</w:t>
      </w:r>
    </w:p>
    <w:p w:rsidR="00E307E4" w:rsidRDefault="00E307E4" w:rsidP="00E307E4">
      <w:pPr>
        <w:spacing w:after="0" w:line="480" w:lineRule="auto"/>
        <w:rPr>
          <w:rFonts w:asciiTheme="minorHAnsi" w:hAnsiTheme="minorHAnsi" w:cs="Arial"/>
          <w:lang w:val="en-IE"/>
        </w:rPr>
      </w:pPr>
      <w:r>
        <w:rPr>
          <w:rFonts w:asciiTheme="minorHAnsi" w:hAnsiTheme="minorHAnsi" w:cs="Arial"/>
          <w:lang w:val="en-IE"/>
        </w:rPr>
        <w:t>6 Comatose with brain stem dysfunction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  <w:u w:val="single"/>
        </w:rPr>
      </w:pPr>
    </w:p>
    <w:p w:rsidR="00E307E4" w:rsidRDefault="00E307E4" w:rsidP="00E307E4">
      <w:pPr>
        <w:spacing w:after="0" w:line="480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Richmond Agitation and Sedation Scale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+4 Combative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+3 Very agitated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+2 Agitated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+1 Restless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0 Alert and calm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-1 Drowsy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-2 Light lethargy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-3 Moderate lethargy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-4 Deep lethargy</w:t>
      </w:r>
    </w:p>
    <w:p w:rsidR="00E307E4" w:rsidRDefault="00E307E4" w:rsidP="00E307E4">
      <w:pPr>
        <w:spacing w:after="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-5 Unarousable</w:t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Appendix 4: Risk of bias assessment for included studies </w:t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noProof/>
          <w:sz w:val="24"/>
          <w:szCs w:val="24"/>
          <w:shd w:val="clear" w:color="auto" w:fill="FFFFFF"/>
          <w:lang w:eastAsia="en-GB"/>
        </w:rPr>
        <w:drawing>
          <wp:inline distT="0" distB="0" distL="0" distR="0">
            <wp:extent cx="2133600" cy="72161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  <w:t>As our outcome was death we did not consider that blinding of this outcome was an important source of potential bias, therefore this was not included.</w:t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  <w:r>
        <w:rPr>
          <w:rFonts w:asciiTheme="minorHAnsi" w:hAnsiTheme="minorHAnsi" w:cs="Segoe UI"/>
          <w:b/>
          <w:sz w:val="20"/>
          <w:szCs w:val="20"/>
          <w:shd w:val="clear" w:color="auto" w:fill="FFFFFF"/>
        </w:rPr>
        <w:lastRenderedPageBreak/>
        <w:t xml:space="preserve">Appendix 5: </w:t>
      </w:r>
      <w:r w:rsidR="007C02B0">
        <w:rPr>
          <w:rFonts w:asciiTheme="minorHAnsi" w:hAnsiTheme="minorHAnsi" w:cs="Segoe UI"/>
          <w:b/>
          <w:sz w:val="20"/>
          <w:szCs w:val="20"/>
          <w:shd w:val="clear" w:color="auto" w:fill="FFFFFF"/>
        </w:rPr>
        <w:t>Results of association between l</w:t>
      </w:r>
      <w:bookmarkStart w:id="0" w:name="_GoBack"/>
      <w:bookmarkEnd w:id="0"/>
      <w:r>
        <w:rPr>
          <w:rFonts w:asciiTheme="minorHAnsi" w:hAnsiTheme="minorHAnsi" w:cs="Segoe UI"/>
          <w:b/>
          <w:sz w:val="20"/>
          <w:szCs w:val="20"/>
          <w:shd w:val="clear" w:color="auto" w:fill="FFFFFF"/>
        </w:rPr>
        <w:t>evel of arousal and mortality</w:t>
      </w:r>
    </w:p>
    <w:tbl>
      <w:tblPr>
        <w:tblW w:w="5400" w:type="pct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78"/>
        <w:gridCol w:w="1932"/>
        <w:gridCol w:w="1710"/>
        <w:gridCol w:w="1042"/>
        <w:gridCol w:w="1521"/>
        <w:gridCol w:w="2654"/>
      </w:tblGrid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>Author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>Definition of reduced Level of arousal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>Univariate odds ratio (</w:t>
            </w:r>
            <w:proofErr w:type="gramStart"/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>OR)  for</w:t>
            </w:r>
            <w:proofErr w:type="gramEnd"/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 xml:space="preserve"> in-hospital mortality, or equivalent 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>Multivariate OR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>Covariates included in multivariate analysis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sz w:val="16"/>
                <w:szCs w:val="16"/>
                <w:shd w:val="clear" w:color="auto" w:fill="FFFFFF"/>
              </w:rPr>
              <w:t xml:space="preserve">Other results / comments  </w:t>
            </w:r>
          </w:p>
        </w:tc>
      </w:tr>
      <w:tr w:rsidR="00E307E4" w:rsidTr="00E307E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  <w:t xml:space="preserve">Prospective studies using an arousal scale with unselected patients  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Aslaner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RASS: -4 and -5 versus -</w:t>
            </w:r>
            <w:proofErr w:type="gram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3,-</w:t>
            </w:r>
            <w:proofErr w:type="gram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2 and -1 versus 0,+1,+2,+3,+4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3.46 (95% CI 2.11-5.68)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No multivariate analysis performed.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Rathour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</w:t>
            </w:r>
            <w:r>
              <w:rPr>
                <w:rFonts w:cs="Segoe UI"/>
                <w:sz w:val="16"/>
                <w:szCs w:val="16"/>
                <w:shd w:val="clear" w:color="auto" w:fill="FFFFFF"/>
              </w:rPr>
              <w:t>≤</w:t>
            </w: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5.57 (95% CI 2.35-13.22), p=0.0001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6.02 (95% CI 2.24-16.19), p=0.001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COPD, chronic liver disease, cancer, presence of catheter, type of infection, BP, oxygen saturations, urine output, APTT and creatinine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Heterogeneous group, 48.5% history of alcoholism, 35% of drug abuse but these factors were not included on multivariate analysis.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Navinan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Mean GCS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Insufficient data to calculate ORs. Mean GCS: 13.1 in those who died versus 14.8 in survivors, p=0.2330.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No multivariate analysis performed.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Small study with only ten deaths and breakdown of medical diagnoses not presented.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Francia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Mean GCS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Insufficient data to calculate ORs. Mean GCS in survivors: 14 (SD 2) Mean GCS in non-survivors: 13 (SD 3)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0.883 (95% CI 0.790-0.988), p=0.030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mean arterial pressure, heart rate, respiratory rate and oxygen saturations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Burch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Verbal/Pain/Unresponsive (versus Alert)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Insufficient data to calculate ORs.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5.1 (95% CI 3.1-8.3) no p value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systolic BP, pulse, respiratory rate and temperature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pStyle w:val="NoSpacing"/>
              <w:spacing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>Duckitt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Verbal/Pain/Unresponsive (versus Alert)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Insufficient data to calculate ORs.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3.50 (95% CI 2.30-5.32), p&lt;0.001.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respiratory rate, heart rate, BP, temperature and oxygen saturations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pStyle w:val="NoSpacing"/>
              <w:spacing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  <w:t>Prospective studies using an arousal scale with specific medical conditions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Nicolini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Kelly </w:t>
            </w: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Matthay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Scale: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From (1) alert to (6) comatose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Insufficient data to calculate ORs. 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</w:rPr>
              <w:t>mean (SD) score was 2 (1) in survivors and 3 (1) in those who died, p=0.01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</w:rPr>
              <w:t>sex, age, NIV settings, comorbidities and gas exchange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</w:rPr>
              <w:t xml:space="preserve">Multiple stepwise regression. The </w:t>
            </w: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number of drugs taken per day was recorded but not included in multivariate analysis.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Otieno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GCS: 13-15 versus 9-12 (drowsy) versus 3-8 (coma/</w:t>
            </w: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obtunded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39, (95% CI 2.15-708.80), p=0.0133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No multivariate analysis performed.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Reduced Level of arousal was significantly associated with systolic hypotension and severe metabolic acidosis. All patients with reduced Level of arousal died.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Dutta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Mean GCS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OR 19.25 (95% CI 1.77-209.55) p=0.0152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Multiple linear regression model (including method IV T4, GCS and SOFA score), lower GCS was associated with increased mortality (r=0.45, p=0.03). All patients who died were on sedatives but this wasn’t included in the multiple regression model. 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Delahaye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</w:t>
            </w:r>
            <w:r>
              <w:rPr>
                <w:rFonts w:cs="Segoe UI"/>
                <w:sz w:val="16"/>
                <w:szCs w:val="16"/>
                <w:shd w:val="clear" w:color="auto" w:fill="FFFFFF"/>
              </w:rPr>
              <w:t>≤</w:t>
            </w: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GCS 9-15: 15.5% died  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 3-8: 64.7% died, p&lt;0.0001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Insufficient data to calculate ORs.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4.09 (95% CI 1.17-14.36), no p value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age, gender, comorbidities, cardiac history, at-risk procedures, echocardiography findings, microorganism, severity signs, vascular and immunological </w:t>
            </w: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>phenomena and signs of infection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 xml:space="preserve">Some ‘classical’ risk factors e.g.  age </w:t>
            </w:r>
            <w:proofErr w:type="gram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were</w:t>
            </w:r>
            <w:proofErr w:type="gram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not significant on multivariate regression in this study. Data combined from two databases 8 years apart – it would be expected that over that timescale the medical management improved.  </w:t>
            </w:r>
          </w:p>
        </w:tc>
      </w:tr>
      <w:tr w:rsidR="00E307E4" w:rsidTr="00E307E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  <w:t>Prospective studies not using an arousal scale for specific medical conditions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Calle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‘altered level of consciousness’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OR 3.81 (95% CI 2.18-6.66),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3.197 (95% CI 1.66-6.15) p=0.001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age, sex, Barthel index, Lawton index, haematocrit, pleural effusion and </w:t>
            </w: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multilobar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involvement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highlight w:val="yellow"/>
                <w:shd w:val="clear" w:color="auto" w:fill="FFFFFF"/>
              </w:rPr>
            </w:pPr>
          </w:p>
        </w:tc>
      </w:tr>
      <w:tr w:rsidR="00E307E4" w:rsidTr="00E307E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  <w:t>Retrospective studies using an arousal scale with unselected patients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Barfod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</w:t>
            </w:r>
            <w:r>
              <w:rPr>
                <w:rFonts w:cs="Segoe UI"/>
                <w:sz w:val="16"/>
                <w:szCs w:val="16"/>
                <w:shd w:val="clear" w:color="auto" w:fill="FFFFFF"/>
              </w:rPr>
              <w:t>≤</w:t>
            </w: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9.29 (95% CI 5.59-15.44),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 9-13: OR 3.72 (95% CI 1.97-7.03), p&lt;0.0001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 &lt;8: OR 10.97 (95% CI 4.90-24.56), p&lt;0.0001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oxygen saturations, respiratory rate and systolic BP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Myint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‘Low GCS’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OR 0.877 (99% </w:t>
            </w:r>
            <w:proofErr w:type="gram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CI  0.792</w:t>
            </w:r>
            <w:proofErr w:type="gram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-0.970), p=0.01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AkzidenzGroteskBE-Regular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Hazard ratio 0.924 (99% CI 0.880-0.970), p&lt;0.0001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AkzidenzGroteskBE-Regular"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gender, systolic BP, temperature and respiratory rate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Multiple</w:t>
            </w:r>
            <w:r>
              <w:rPr>
                <w:rFonts w:asciiTheme="minorHAnsi" w:hAnsiTheme="minorHAnsi" w:cs="Souvenir-LightItalic"/>
                <w:iCs/>
                <w:sz w:val="16"/>
                <w:szCs w:val="16"/>
                <w:lang w:eastAsia="en-GB"/>
              </w:rPr>
              <w:t xml:space="preserve"> Cox-regression model</w:t>
            </w:r>
          </w:p>
        </w:tc>
      </w:tr>
      <w:tr w:rsidR="00E307E4" w:rsidTr="00E307E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  <w:t>Retrospective studies using an arousal scale for specific medical conditions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Sakamoto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JCS: alert, dull, somnolent, coma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2.74 (95% CI 1.99-3.76)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Dull OR 1.59 (95% CI 1.04-2.44) p=0.032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Somnolent OR 1.71 (95% CI 0.8-3.65) p=0.168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>Comatose OR 4.32 (95% CI 2.29-8.15) p&lt;0.001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>Age, gender, BMI, dyspnoea, mechanical ventilation, pneumonia, asthma, heart failure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Multivariate logistic regression. 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Kaya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GCS: 15 versus &lt;15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11.26 (95% CI 4.34-29.25)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No multivariate analysis performed.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Hasegawa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JCS alert versus not alert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8.62 (95% CI 5.11-14.54)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3.94 (95% CI 2.2-7.07), p&lt;0.001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sex, type of admission, co-morbid disease and sepsis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Multivariable logistic regression. </w:t>
            </w:r>
            <w:r>
              <w:rPr>
                <w:rFonts w:asciiTheme="minorHAnsi" w:hAnsiTheme="minorHAnsi" w:cs="Segoe UI"/>
                <w:sz w:val="16"/>
                <w:szCs w:val="16"/>
              </w:rPr>
              <w:t>No mention of dementia as a co-morbidity.  None of the patients with ENT disease (n=130) died and these patients were excluded from multivariate analysis.</w:t>
            </w:r>
          </w:p>
        </w:tc>
      </w:tr>
      <w:tr w:rsidR="00E307E4" w:rsidTr="00E307E4">
        <w:trPr>
          <w:trHeight w:val="849"/>
        </w:trPr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Yamauchi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JCS alert, dull, somnolent, coma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Insufficient data to calculate ORs. 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‘Dull’ OR 1.3 (95%CI 0.90-1.88), p=0.158; ‘Somnolent’ OR 3.1 (95%CI 1.91-6.10), p&lt;0.001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‘Coma’ OR 5.65 (95%CI 3.35-9.51), P=0.01.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gender, BMI, dyspnoea grade, Barthel index, daily steroid doses and co-morbidities including anxiety and depression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Multivariate logistic regression </w:t>
            </w:r>
          </w:p>
        </w:tc>
      </w:tr>
      <w:tr w:rsidR="00E307E4" w:rsidTr="00E307E4">
        <w:trPr>
          <w:trHeight w:val="794"/>
        </w:trPr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Chih-Hsun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Mean GCS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Mean (SD) GCS in those who died 7.7 (4.3) versus 11.8 (3.2) in survivors (95% CI of the difference -5.8 to -2.3), p&lt;0.001. </w:t>
            </w: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>Insufficient data to calculate ORs.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lastRenderedPageBreak/>
              <w:t>14.012 p&lt;0.001. (no CI given).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age, gender, smoking and biochemistry 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Multiple logistic regression. </w:t>
            </w:r>
            <w:r>
              <w:rPr>
                <w:rFonts w:asciiTheme="minorHAnsi" w:hAnsiTheme="minorHAnsi" w:cs="Segoe UI"/>
                <w:sz w:val="16"/>
                <w:szCs w:val="16"/>
              </w:rPr>
              <w:t xml:space="preserve">Categories of GCS given in methods describe GCS 15 as ‘mild’, but all results are mean GCS so categories likely irrelevant. </w:t>
            </w:r>
          </w:p>
        </w:tc>
      </w:tr>
      <w:tr w:rsidR="00E307E4" w:rsidTr="00E307E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b/>
                <w:i/>
                <w:sz w:val="16"/>
                <w:szCs w:val="16"/>
                <w:shd w:val="clear" w:color="auto" w:fill="FFFFFF"/>
              </w:rPr>
              <w:t>Retrospective studies not using an arousal scale for specific medical conditions</w:t>
            </w: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highlight w:val="yellow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Conte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Eye opening: spontaneous versus not. Verbal: orientated versus not. Motor: to voice versus not. 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Eye opening </w:t>
            </w:r>
            <w:r>
              <w:rPr>
                <w:rFonts w:asciiTheme="minorHAnsi" w:hAnsiTheme="minorHAnsi"/>
                <w:sz w:val="16"/>
                <w:szCs w:val="16"/>
              </w:rPr>
              <w:t>OR 4.1 (95% CI 2.8-7.57) p &lt;0.0001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Verbal response OR 3.61 (95% CI 2.28-5.73), p&lt;0.0001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Motor response OR 4.21 (95% CI 2.36-7.52), p&lt;0.0001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Impaired motor response OR 2.3 (95% CI 1.4-3.7) p=0.0009. 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age, co-morbid disease, abnormal vital signs and high creatinine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Co-morbidities of dementia or presence of delirium not sought. 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Patients who died on the day of admission were excluded. 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</w:tr>
      <w:tr w:rsidR="00E307E4" w:rsidTr="00E307E4"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Onadeko</w:t>
            </w:r>
            <w:proofErr w:type="spellEnd"/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>et al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Descriptive terms: alert versus drowsy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OR 6.67 (95% CI 1.9-23.4), p=0.0031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No multivariate analysis performed. </w:t>
            </w:r>
          </w:p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NA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The definition of drowsy is unclear. The OR presented in the paper are the odds of survival. We have calculated ORs for in-hospital mortality. </w:t>
            </w:r>
          </w:p>
        </w:tc>
      </w:tr>
      <w:tr w:rsidR="00E307E4" w:rsidTr="00E307E4">
        <w:trPr>
          <w:trHeight w:val="1124"/>
        </w:trPr>
        <w:tc>
          <w:tcPr>
            <w:tcW w:w="4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Zweig </w:t>
            </w:r>
            <w:r>
              <w:rPr>
                <w:rFonts w:asciiTheme="minorHAnsi" w:hAnsiTheme="minorHAnsi" w:cs="Segoe UI"/>
                <w:i/>
                <w:sz w:val="16"/>
                <w:szCs w:val="16"/>
                <w:shd w:val="clear" w:color="auto" w:fill="FFFFFF"/>
              </w:rPr>
              <w:t xml:space="preserve">et al </w:t>
            </w:r>
          </w:p>
        </w:tc>
        <w:tc>
          <w:tcPr>
            <w:tcW w:w="53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Categories: alert, confused, arousable, comatose</w:t>
            </w:r>
          </w:p>
        </w:tc>
        <w:tc>
          <w:tcPr>
            <w:tcW w:w="10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Style w:val="CommentReference"/>
              </w:rPr>
            </w:pPr>
            <w:r>
              <w:rPr>
                <w:rStyle w:val="CommentReference"/>
                <w:rFonts w:asciiTheme="minorHAnsi" w:hAnsiTheme="minorHAnsi"/>
              </w:rPr>
              <w:t>OR 6.62 (95% CI 1.47-29.81), p=0.0138</w:t>
            </w:r>
          </w:p>
        </w:tc>
        <w:tc>
          <w:tcPr>
            <w:tcW w:w="5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cs="Segoe UI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 xml:space="preserve">11.3 (95% CI 3.2-40.3). No p value given. </w:t>
            </w:r>
          </w:p>
        </w:tc>
        <w:tc>
          <w:tcPr>
            <w:tcW w:w="10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high respiratory rate, low temperature, leucocytosis, cyanosis, coronary artery disease, dementia and urinary incontinence</w:t>
            </w:r>
          </w:p>
        </w:tc>
        <w:tc>
          <w:tcPr>
            <w:tcW w:w="14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307E4" w:rsidRDefault="00E307E4">
            <w:pPr>
              <w:spacing w:after="0" w:line="480" w:lineRule="auto"/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="Segoe UI"/>
                <w:sz w:val="16"/>
                <w:szCs w:val="16"/>
                <w:shd w:val="clear" w:color="auto" w:fill="FFFFFF"/>
              </w:rPr>
              <w:t>Stepwise logistic regression. Those who died were significantly more likely to have dementia (no OR presented, p&lt;0.01).  Use of psychoactive drugs in those who survived and those who died was considered and found not to be associated with mortality (but no statistics presented).</w:t>
            </w:r>
          </w:p>
        </w:tc>
      </w:tr>
    </w:tbl>
    <w:p w:rsidR="00E307E4" w:rsidRDefault="00E307E4" w:rsidP="00E307E4">
      <w:pPr>
        <w:spacing w:line="480" w:lineRule="auto"/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E307E4" w:rsidRDefault="00E307E4" w:rsidP="00E307E4">
      <w:pPr>
        <w:spacing w:line="480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Appendix 6 Funnel plot of thirteen published studies which contribute to meta-analysis</w:t>
      </w:r>
    </w:p>
    <w:p w:rsidR="00E307E4" w:rsidRDefault="00E307E4" w:rsidP="00E307E4">
      <w:pPr>
        <w:spacing w:line="480" w:lineRule="auto"/>
        <w:rPr>
          <w:rFonts w:asciiTheme="minorHAnsi" w:eastAsia="Times New Roman" w:hAnsiTheme="minorHAnsi" w:cs="Segoe UI"/>
          <w:bCs/>
          <w:sz w:val="24"/>
          <w:szCs w:val="24"/>
          <w:shd w:val="clear" w:color="auto" w:fill="FFFFFF"/>
          <w:lang w:eastAsia="en-GB"/>
        </w:rPr>
      </w:pPr>
      <w:r>
        <w:rPr>
          <w:rFonts w:asciiTheme="minorHAnsi" w:eastAsia="Times New Roman" w:hAnsiTheme="minorHAnsi" w:cs="Segoe UI"/>
          <w:noProof/>
          <w:sz w:val="24"/>
          <w:szCs w:val="24"/>
          <w:shd w:val="clear" w:color="auto" w:fill="FFFFFF"/>
          <w:lang w:eastAsia="en-GB"/>
        </w:rPr>
        <w:drawing>
          <wp:inline distT="0" distB="0" distL="0" distR="0">
            <wp:extent cx="5715000" cy="438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31" w:rsidRDefault="00041031"/>
    <w:sectPr w:rsidR="00041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venir-Light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E4"/>
    <w:rsid w:val="00041031"/>
    <w:rsid w:val="007C02B0"/>
    <w:rsid w:val="00B204C7"/>
    <w:rsid w:val="00E3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0D0B8"/>
  <w15:chartTrackingRefBased/>
  <w15:docId w15:val="{AC7BFBB7-DC6E-4BED-9A09-E409F390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7E4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07E4"/>
    <w:pPr>
      <w:spacing w:after="0" w:line="240" w:lineRule="auto"/>
    </w:pPr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307E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blackley</dc:creator>
  <cp:keywords/>
  <dc:description/>
  <cp:lastModifiedBy>samantha blackley</cp:lastModifiedBy>
  <cp:revision>2</cp:revision>
  <dcterms:created xsi:type="dcterms:W3CDTF">2017-07-12T20:21:00Z</dcterms:created>
  <dcterms:modified xsi:type="dcterms:W3CDTF">2017-11-07T19:36:00Z</dcterms:modified>
</cp:coreProperties>
</file>