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8FF" w:rsidRDefault="006468FF" w:rsidP="006468FF">
      <w:pPr>
        <w:pStyle w:val="Heading1"/>
      </w:pPr>
      <w:r>
        <w:t>Mortality</w:t>
      </w:r>
    </w:p>
    <w:p w:rsidR="006468FF" w:rsidRDefault="008F0C49" w:rsidP="006468FF">
      <w:pPr>
        <w:spacing w:line="480" w:lineRule="auto"/>
        <w:jc w:val="both"/>
      </w:pPr>
      <w:r w:rsidRPr="00CB4D32">
        <w:t xml:space="preserve">For the first two years of the analysis </w:t>
      </w:r>
      <w:r>
        <w:t>the mortality</w:t>
      </w:r>
      <w:r w:rsidRPr="00CB4D32">
        <w:t xml:space="preserve"> risks </w:t>
      </w:r>
      <w:r>
        <w:t xml:space="preserve">associated with each treatment </w:t>
      </w:r>
      <w:r w:rsidRPr="00CB4D32">
        <w:t xml:space="preserve">were estimated from the </w:t>
      </w:r>
      <w:proofErr w:type="spellStart"/>
      <w:r w:rsidRPr="00CB4D32">
        <w:t>AGe</w:t>
      </w:r>
      <w:proofErr w:type="spellEnd"/>
      <w:r w:rsidRPr="00CB4D32">
        <w:t>-FIT trial, and thus correspond</w:t>
      </w:r>
      <w:r>
        <w:t>ed</w:t>
      </w:r>
      <w:r w:rsidRPr="00CB4D32">
        <w:t xml:space="preserve"> to the observed mortality in the trial. For the first year of analysis this risk was 11.5% and 13.8% for CGA and usual care, respectively. Corresponding figures for year two were 8.2% and 15.3%.</w:t>
      </w:r>
      <w:r>
        <w:t xml:space="preserve"> </w:t>
      </w:r>
      <w:r w:rsidR="004A3C53" w:rsidRPr="00CB4D32">
        <w:t>The mortality risks for year three and onwards were estimated by using age-specific mortality rates for the general population in Sweden</w:t>
      </w:r>
      <w:r>
        <w:t xml:space="preserve"> (Figure S1)</w:t>
      </w:r>
      <w:r w:rsidR="004A3C53">
        <w:t xml:space="preserve">. </w:t>
      </w:r>
      <w:r w:rsidR="006468FF" w:rsidRPr="00CB4D32">
        <w:t xml:space="preserve">These risks were adjusted upward to account for the added risk associated with our patient population compared with the general population. Data from the </w:t>
      </w:r>
      <w:proofErr w:type="spellStart"/>
      <w:r w:rsidR="006468FF" w:rsidRPr="00CB4D32">
        <w:t>AGe</w:t>
      </w:r>
      <w:proofErr w:type="spellEnd"/>
      <w:r w:rsidR="006468FF" w:rsidRPr="00CB4D32">
        <w:t xml:space="preserve">-FIT trial </w:t>
      </w:r>
      <w:proofErr w:type="gramStart"/>
      <w:r w:rsidR="006468FF">
        <w:t>was</w:t>
      </w:r>
      <w:r w:rsidR="006468FF" w:rsidRPr="00CB4D32">
        <w:t xml:space="preserve"> used</w:t>
      </w:r>
      <w:proofErr w:type="gramEnd"/>
      <w:r w:rsidR="006468FF" w:rsidRPr="00CB4D32">
        <w:t xml:space="preserve"> to calculate th</w:t>
      </w:r>
      <w:r w:rsidR="00C91C17">
        <w:t>e</w:t>
      </w:r>
      <w:r w:rsidR="006468FF" w:rsidRPr="00CB4D32">
        <w:t xml:space="preserve"> excess risk</w:t>
      </w:r>
      <w:r>
        <w:t xml:space="preserve"> over standard mortality</w:t>
      </w:r>
      <w:r w:rsidR="006468FF" w:rsidRPr="00CB4D32">
        <w:t xml:space="preserve">. Estimated </w:t>
      </w:r>
      <w:r>
        <w:t xml:space="preserve">annual </w:t>
      </w:r>
      <w:r w:rsidR="006468FF" w:rsidRPr="00CB4D32">
        <w:t xml:space="preserve">mortality probabilities applied in the analysis </w:t>
      </w:r>
      <w:proofErr w:type="gramStart"/>
      <w:r w:rsidR="006468FF" w:rsidRPr="00CB4D32">
        <w:t>are illustrated</w:t>
      </w:r>
      <w:proofErr w:type="gramEnd"/>
      <w:r w:rsidR="006468FF" w:rsidRPr="00CB4D32">
        <w:t xml:space="preserve"> in figure </w:t>
      </w:r>
      <w:r w:rsidR="006468FF">
        <w:t>S</w:t>
      </w:r>
      <w:r w:rsidR="006468FF" w:rsidRPr="00CB4D32">
        <w:t>1</w:t>
      </w:r>
      <w:r w:rsidR="00FF73FB">
        <w:t xml:space="preserve"> together with annual mortality probabilities of the general population</w:t>
      </w:r>
      <w:r w:rsidR="004A3C53">
        <w:t>.</w:t>
      </w:r>
      <w:r>
        <w:t xml:space="preserve"> The assumption of a continued treatment effect beyond 2 years is clearly seen in Figures S1 and S2; the latter illustrating the mortality probabilities with no continued treatment effect beyond 2 years. </w:t>
      </w:r>
    </w:p>
    <w:p w:rsidR="006468FF" w:rsidRPr="00AA2C17" w:rsidRDefault="00A51563" w:rsidP="006468FF">
      <w:pPr>
        <w:spacing w:line="480" w:lineRule="auto"/>
        <w:jc w:val="both"/>
      </w:pPr>
      <w:r>
        <w:rPr>
          <w:noProof/>
        </w:rPr>
        <w:drawing>
          <wp:inline distT="0" distB="0" distL="0" distR="0" wp14:anchorId="12AE226D" wp14:editId="5C687A34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6468FF">
        <w:br/>
      </w:r>
      <w:r w:rsidR="006468FF" w:rsidRPr="00DD7CAB">
        <w:rPr>
          <w:b/>
        </w:rPr>
        <w:t xml:space="preserve">Figure </w:t>
      </w:r>
      <w:r w:rsidR="004A3C53" w:rsidRPr="00DD7CAB">
        <w:rPr>
          <w:b/>
        </w:rPr>
        <w:t>S</w:t>
      </w:r>
      <w:r w:rsidR="006468FF" w:rsidRPr="00DD7CAB">
        <w:rPr>
          <w:b/>
        </w:rPr>
        <w:t>1</w:t>
      </w:r>
      <w:r w:rsidR="00AA2C17" w:rsidRPr="00DD7CAB">
        <w:rPr>
          <w:b/>
        </w:rPr>
        <w:t>.</w:t>
      </w:r>
      <w:r w:rsidR="006468FF" w:rsidRPr="00DD7CAB">
        <w:rPr>
          <w:b/>
        </w:rPr>
        <w:t xml:space="preserve"> </w:t>
      </w:r>
      <w:r w:rsidR="008F0C49" w:rsidRPr="00DD7CAB">
        <w:rPr>
          <w:b/>
        </w:rPr>
        <w:t>Annual m</w:t>
      </w:r>
      <w:r w:rsidR="006468FF" w:rsidRPr="00DD7CAB">
        <w:rPr>
          <w:b/>
        </w:rPr>
        <w:t>ortality probabilities applied in the model</w:t>
      </w:r>
      <w:r w:rsidR="00AA2C17" w:rsidRPr="00DD7CAB">
        <w:rPr>
          <w:b/>
        </w:rPr>
        <w:t>.</w:t>
      </w:r>
    </w:p>
    <w:p w:rsidR="005B6390" w:rsidRDefault="00F211EC" w:rsidP="005B6390">
      <w:pPr>
        <w:keepNext/>
        <w:spacing w:line="480" w:lineRule="auto"/>
        <w:jc w:val="both"/>
      </w:pPr>
      <w:r>
        <w:rPr>
          <w:noProof/>
        </w:rPr>
        <w:lastRenderedPageBreak/>
        <w:drawing>
          <wp:inline distT="0" distB="0" distL="0" distR="0" wp14:anchorId="379C0597" wp14:editId="4C528020">
            <wp:extent cx="4572000" cy="27432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7683E" w:rsidRPr="00DD7CAB" w:rsidRDefault="00AA2C17" w:rsidP="005B6390">
      <w:pPr>
        <w:pStyle w:val="Caption"/>
        <w:jc w:val="both"/>
        <w:rPr>
          <w:b/>
          <w:i w:val="0"/>
          <w:iCs w:val="0"/>
          <w:color w:val="auto"/>
          <w:sz w:val="22"/>
          <w:szCs w:val="22"/>
        </w:rPr>
      </w:pPr>
      <w:bookmarkStart w:id="0" w:name="_GoBack"/>
      <w:r w:rsidRPr="00DD7CAB">
        <w:rPr>
          <w:b/>
          <w:i w:val="0"/>
          <w:iCs w:val="0"/>
          <w:color w:val="auto"/>
          <w:sz w:val="22"/>
          <w:szCs w:val="22"/>
        </w:rPr>
        <w:t>Figure S2</w:t>
      </w:r>
      <w:r w:rsidR="005B6390" w:rsidRPr="00DD7CAB">
        <w:rPr>
          <w:b/>
          <w:i w:val="0"/>
          <w:iCs w:val="0"/>
          <w:color w:val="auto"/>
          <w:sz w:val="22"/>
          <w:szCs w:val="22"/>
        </w:rPr>
        <w:t>. Annual mortality probabilities applied in the model</w:t>
      </w:r>
      <w:r w:rsidR="00FF73FB" w:rsidRPr="00DD7CAB">
        <w:rPr>
          <w:b/>
          <w:i w:val="0"/>
          <w:iCs w:val="0"/>
          <w:color w:val="auto"/>
          <w:sz w:val="22"/>
          <w:szCs w:val="22"/>
        </w:rPr>
        <w:t xml:space="preserve"> with</w:t>
      </w:r>
      <w:r w:rsidR="005B6390" w:rsidRPr="00DD7CAB">
        <w:rPr>
          <w:b/>
          <w:i w:val="0"/>
          <w:iCs w:val="0"/>
          <w:color w:val="auto"/>
          <w:sz w:val="22"/>
          <w:szCs w:val="22"/>
        </w:rPr>
        <w:t xml:space="preserve"> no treatment effect beyond 2 years. </w:t>
      </w:r>
    </w:p>
    <w:bookmarkEnd w:id="0"/>
    <w:p w:rsidR="00FB2B2A" w:rsidRPr="00AA2C17" w:rsidRDefault="00DD7CAB"/>
    <w:sectPr w:rsidR="00FB2B2A" w:rsidRPr="00AA2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32"/>
    <w:rsid w:val="00011E5F"/>
    <w:rsid w:val="00030151"/>
    <w:rsid w:val="002001F2"/>
    <w:rsid w:val="00357632"/>
    <w:rsid w:val="00432DDA"/>
    <w:rsid w:val="004A3C53"/>
    <w:rsid w:val="005B6390"/>
    <w:rsid w:val="005F376B"/>
    <w:rsid w:val="006468FF"/>
    <w:rsid w:val="008F0C49"/>
    <w:rsid w:val="00A51563"/>
    <w:rsid w:val="00AA2C17"/>
    <w:rsid w:val="00AB5712"/>
    <w:rsid w:val="00C7683E"/>
    <w:rsid w:val="00C91C17"/>
    <w:rsid w:val="00DD7CAB"/>
    <w:rsid w:val="00E71707"/>
    <w:rsid w:val="00F211EC"/>
    <w:rsid w:val="00FC61C4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091A50-E769-4407-9A3D-002059E3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8FF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68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468F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468F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68FF"/>
    <w:rPr>
      <w:rFonts w:eastAsiaTheme="minorEastAsi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8FF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468F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5B6390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kalkylblad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kalkylblad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v-SE"/>
              <a:t>Mortality probabilities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Usual care</c:v>
          </c:tx>
          <c:spPr>
            <a:ln w="19050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Mortalitetskurvor!$A$2:$A$32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xVal>
          <c:yVal>
            <c:numRef>
              <c:f>Mortalitetskurvor!$B$2:$B$32</c:f>
              <c:numCache>
                <c:formatCode>General</c:formatCode>
                <c:ptCount val="31"/>
                <c:pt idx="0">
                  <c:v>0</c:v>
                </c:pt>
                <c:pt idx="1">
                  <c:v>0.13793103448275862</c:v>
                </c:pt>
                <c:pt idx="2">
                  <c:v>0.15333333333333332</c:v>
                </c:pt>
                <c:pt idx="3">
                  <c:v>0.15967791396336031</c:v>
                </c:pt>
                <c:pt idx="4">
                  <c:v>0.17058190604922699</c:v>
                </c:pt>
                <c:pt idx="5">
                  <c:v>0.18405932974379649</c:v>
                </c:pt>
                <c:pt idx="6">
                  <c:v>0.19732889102503484</c:v>
                </c:pt>
                <c:pt idx="7">
                  <c:v>0.21471357212684442</c:v>
                </c:pt>
                <c:pt idx="8">
                  <c:v>0.23027458366398282</c:v>
                </c:pt>
                <c:pt idx="9">
                  <c:v>0.24841906115596926</c:v>
                </c:pt>
                <c:pt idx="10">
                  <c:v>0.26704249839169958</c:v>
                </c:pt>
                <c:pt idx="11">
                  <c:v>0.28684308241414946</c:v>
                </c:pt>
                <c:pt idx="12">
                  <c:v>0.30907205073504018</c:v>
                </c:pt>
                <c:pt idx="13">
                  <c:v>0.3295395380093421</c:v>
                </c:pt>
                <c:pt idx="14">
                  <c:v>0.34846204382151036</c:v>
                </c:pt>
                <c:pt idx="15">
                  <c:v>0.37767630898642457</c:v>
                </c:pt>
                <c:pt idx="16">
                  <c:v>0.39618575822681146</c:v>
                </c:pt>
                <c:pt idx="17">
                  <c:v>0.4161896610352388</c:v>
                </c:pt>
                <c:pt idx="18">
                  <c:v>0.44846032994072405</c:v>
                </c:pt>
                <c:pt idx="19">
                  <c:v>0.47188365384238007</c:v>
                </c:pt>
                <c:pt idx="20">
                  <c:v>0.48131111163618889</c:v>
                </c:pt>
                <c:pt idx="21">
                  <c:v>0.50929164535775695</c:v>
                </c:pt>
                <c:pt idx="22">
                  <c:v>0.53459745080268661</c:v>
                </c:pt>
                <c:pt idx="23">
                  <c:v>0.53459745080268661</c:v>
                </c:pt>
                <c:pt idx="24">
                  <c:v>0.53459745080268661</c:v>
                </c:pt>
                <c:pt idx="25">
                  <c:v>0.53459745080268661</c:v>
                </c:pt>
                <c:pt idx="26">
                  <c:v>0.53459745080268661</c:v>
                </c:pt>
                <c:pt idx="27">
                  <c:v>0.53459745080268661</c:v>
                </c:pt>
                <c:pt idx="28">
                  <c:v>0.53459745080268661</c:v>
                </c:pt>
                <c:pt idx="29">
                  <c:v>0.53459745080268661</c:v>
                </c:pt>
                <c:pt idx="30">
                  <c:v>0.53459745080268661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D10-44AD-BC68-DC971A36A620}"/>
            </c:ext>
          </c:extLst>
        </c:ser>
        <c:ser>
          <c:idx val="1"/>
          <c:order val="1"/>
          <c:tx>
            <c:v>CGA-based care</c:v>
          </c:tx>
          <c:spPr>
            <a:ln w="19050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Mortalitetskurvor!$A$2:$A$32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xVal>
          <c:yVal>
            <c:numRef>
              <c:f>Mortalitetskurvor!$C$2:$C$32</c:f>
              <c:numCache>
                <c:formatCode>General</c:formatCode>
                <c:ptCount val="31"/>
                <c:pt idx="0">
                  <c:v>0</c:v>
                </c:pt>
                <c:pt idx="1">
                  <c:v>0.11538461538461539</c:v>
                </c:pt>
                <c:pt idx="2">
                  <c:v>8.1521739130434784E-2</c:v>
                </c:pt>
                <c:pt idx="3">
                  <c:v>0.11249890731283943</c:v>
                </c:pt>
                <c:pt idx="4">
                  <c:v>0.12340289939870611</c:v>
                </c:pt>
                <c:pt idx="5">
                  <c:v>0.13688032309327561</c:v>
                </c:pt>
                <c:pt idx="6">
                  <c:v>0.15014988437451396</c:v>
                </c:pt>
                <c:pt idx="7">
                  <c:v>0.16753456547632353</c:v>
                </c:pt>
                <c:pt idx="8">
                  <c:v>0.18309557701346194</c:v>
                </c:pt>
                <c:pt idx="9">
                  <c:v>0.20124005450544838</c:v>
                </c:pt>
                <c:pt idx="10">
                  <c:v>0.21986349174117872</c:v>
                </c:pt>
                <c:pt idx="11">
                  <c:v>0.23966407576362861</c:v>
                </c:pt>
                <c:pt idx="12">
                  <c:v>0.2618930440845193</c:v>
                </c:pt>
                <c:pt idx="13">
                  <c:v>0.28236053135882122</c:v>
                </c:pt>
                <c:pt idx="14">
                  <c:v>0.30128303717098948</c:v>
                </c:pt>
                <c:pt idx="15">
                  <c:v>0.33049730233590369</c:v>
                </c:pt>
                <c:pt idx="16">
                  <c:v>0.34900675157629057</c:v>
                </c:pt>
                <c:pt idx="17">
                  <c:v>0.36901065438471792</c:v>
                </c:pt>
                <c:pt idx="18">
                  <c:v>0.40128132329020316</c:v>
                </c:pt>
                <c:pt idx="19">
                  <c:v>0.42470464719185919</c:v>
                </c:pt>
                <c:pt idx="20">
                  <c:v>0.43413210498566801</c:v>
                </c:pt>
                <c:pt idx="21">
                  <c:v>0.46211263870723607</c:v>
                </c:pt>
                <c:pt idx="22">
                  <c:v>0.48741844415216573</c:v>
                </c:pt>
                <c:pt idx="23">
                  <c:v>0.48741844415216573</c:v>
                </c:pt>
                <c:pt idx="24">
                  <c:v>0.48741844415216573</c:v>
                </c:pt>
                <c:pt idx="25">
                  <c:v>0.48741844415216573</c:v>
                </c:pt>
                <c:pt idx="26">
                  <c:v>0.48741844415216573</c:v>
                </c:pt>
                <c:pt idx="27">
                  <c:v>0.48741844415216573</c:v>
                </c:pt>
                <c:pt idx="28">
                  <c:v>0.48741844415216573</c:v>
                </c:pt>
                <c:pt idx="29">
                  <c:v>0.48741844415216573</c:v>
                </c:pt>
                <c:pt idx="30">
                  <c:v>0.48741844415216573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D10-44AD-BC68-DC971A36A620}"/>
            </c:ext>
          </c:extLst>
        </c:ser>
        <c:ser>
          <c:idx val="2"/>
          <c:order val="2"/>
          <c:tx>
            <c:v>General population</c:v>
          </c:tx>
          <c:spPr>
            <a:ln w="19050" cap="rnd">
              <a:solidFill>
                <a:sysClr val="windowText" lastClr="000000"/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Mortalitetskurvor!$A$2:$A$32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xVal>
          <c:yVal>
            <c:numRef>
              <c:f>Mortalitetskurvor!$D$2:$D$32</c:f>
              <c:numCache>
                <c:formatCode>General</c:formatCode>
                <c:ptCount val="31"/>
                <c:pt idx="0">
                  <c:v>0</c:v>
                </c:pt>
                <c:pt idx="1">
                  <c:v>6.6866427373284965E-2</c:v>
                </c:pt>
                <c:pt idx="2">
                  <c:v>7.5475398568960017E-2</c:v>
                </c:pt>
                <c:pt idx="3">
                  <c:v>8.5216643026436834E-2</c:v>
                </c:pt>
                <c:pt idx="4">
                  <c:v>9.612063511230351E-2</c:v>
                </c:pt>
                <c:pt idx="5">
                  <c:v>0.10959805880687301</c:v>
                </c:pt>
                <c:pt idx="6">
                  <c:v>0.12286762008811136</c:v>
                </c:pt>
                <c:pt idx="7">
                  <c:v>0.14025230118992094</c:v>
                </c:pt>
                <c:pt idx="8">
                  <c:v>0.15581331272705934</c:v>
                </c:pt>
                <c:pt idx="9">
                  <c:v>0.17395779021904578</c:v>
                </c:pt>
                <c:pt idx="10">
                  <c:v>0.19258122745477613</c:v>
                </c:pt>
                <c:pt idx="11">
                  <c:v>0.21238181147722601</c:v>
                </c:pt>
                <c:pt idx="12">
                  <c:v>0.23461077979811673</c:v>
                </c:pt>
                <c:pt idx="13">
                  <c:v>0.25507826707241865</c:v>
                </c:pt>
                <c:pt idx="14">
                  <c:v>0.27400077288458691</c:v>
                </c:pt>
                <c:pt idx="15">
                  <c:v>0.30321503804950112</c:v>
                </c:pt>
                <c:pt idx="16">
                  <c:v>0.32172448728988801</c:v>
                </c:pt>
                <c:pt idx="17">
                  <c:v>0.34172839009831535</c:v>
                </c:pt>
                <c:pt idx="18">
                  <c:v>0.37399905900380059</c:v>
                </c:pt>
                <c:pt idx="19">
                  <c:v>0.39742238290545662</c:v>
                </c:pt>
                <c:pt idx="20">
                  <c:v>0.40684984069926544</c:v>
                </c:pt>
                <c:pt idx="21">
                  <c:v>0.4348303744208335</c:v>
                </c:pt>
                <c:pt idx="22">
                  <c:v>0.46013617986576316</c:v>
                </c:pt>
                <c:pt idx="23">
                  <c:v>0.46013617986576316</c:v>
                </c:pt>
                <c:pt idx="24">
                  <c:v>0.46013617986576316</c:v>
                </c:pt>
                <c:pt idx="25">
                  <c:v>0.46013617986576316</c:v>
                </c:pt>
                <c:pt idx="26">
                  <c:v>0.46013617986576316</c:v>
                </c:pt>
                <c:pt idx="27">
                  <c:v>0.46013617986576316</c:v>
                </c:pt>
                <c:pt idx="28">
                  <c:v>0.46013617986576316</c:v>
                </c:pt>
                <c:pt idx="29">
                  <c:v>0.46013617986576316</c:v>
                </c:pt>
                <c:pt idx="30">
                  <c:v>0.46013617986576316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8D10-44AD-BC68-DC971A36A6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4986160"/>
        <c:axId val="214985768"/>
      </c:scatterChart>
      <c:valAx>
        <c:axId val="214986160"/>
        <c:scaling>
          <c:orientation val="minMax"/>
          <c:max val="2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v-SE"/>
                  <a:t>Years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985768"/>
        <c:crosses val="autoZero"/>
        <c:crossBetween val="midCat"/>
      </c:valAx>
      <c:valAx>
        <c:axId val="214985768"/>
        <c:scaling>
          <c:orientation val="minMax"/>
          <c:max val="0.8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v-SE"/>
                  <a:t>Probabilities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9861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v-SE"/>
              <a:t>Mortality probabilities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Usual care</c:v>
          </c:tx>
          <c:spPr>
            <a:ln w="19050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Mortalitetskurvor!$A$2:$A$32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xVal>
          <c:yVal>
            <c:numRef>
              <c:f>Mortalitetskurvor!$B$2:$B$32</c:f>
              <c:numCache>
                <c:formatCode>General</c:formatCode>
                <c:ptCount val="31"/>
                <c:pt idx="0">
                  <c:v>0</c:v>
                </c:pt>
                <c:pt idx="1">
                  <c:v>0.13793103448275862</c:v>
                </c:pt>
                <c:pt idx="2">
                  <c:v>0.15333333333333332</c:v>
                </c:pt>
                <c:pt idx="3">
                  <c:v>0.15967791396336031</c:v>
                </c:pt>
                <c:pt idx="4">
                  <c:v>0.17058190604922699</c:v>
                </c:pt>
                <c:pt idx="5">
                  <c:v>0.18405932974379649</c:v>
                </c:pt>
                <c:pt idx="6">
                  <c:v>0.19732889102503484</c:v>
                </c:pt>
                <c:pt idx="7">
                  <c:v>0.21471357212684442</c:v>
                </c:pt>
                <c:pt idx="8">
                  <c:v>0.23027458366398282</c:v>
                </c:pt>
                <c:pt idx="9">
                  <c:v>0.24841906115596926</c:v>
                </c:pt>
                <c:pt idx="10">
                  <c:v>0.26704249839169958</c:v>
                </c:pt>
                <c:pt idx="11">
                  <c:v>0.28684308241414946</c:v>
                </c:pt>
                <c:pt idx="12">
                  <c:v>0.30907205073504018</c:v>
                </c:pt>
                <c:pt idx="13">
                  <c:v>0.3295395380093421</c:v>
                </c:pt>
                <c:pt idx="14">
                  <c:v>0.34846204382151036</c:v>
                </c:pt>
                <c:pt idx="15">
                  <c:v>0.37767630898642457</c:v>
                </c:pt>
                <c:pt idx="16">
                  <c:v>0.39618575822681146</c:v>
                </c:pt>
                <c:pt idx="17">
                  <c:v>0.4161896610352388</c:v>
                </c:pt>
                <c:pt idx="18">
                  <c:v>0.44846032994072405</c:v>
                </c:pt>
                <c:pt idx="19">
                  <c:v>0.47188365384238007</c:v>
                </c:pt>
                <c:pt idx="20">
                  <c:v>0.48131111163618889</c:v>
                </c:pt>
                <c:pt idx="21">
                  <c:v>0.50929164535775695</c:v>
                </c:pt>
                <c:pt idx="22">
                  <c:v>0.53459745080268661</c:v>
                </c:pt>
                <c:pt idx="23">
                  <c:v>0.53459745080268661</c:v>
                </c:pt>
                <c:pt idx="24">
                  <c:v>0.53459745080268661</c:v>
                </c:pt>
                <c:pt idx="25">
                  <c:v>0.53459745080268661</c:v>
                </c:pt>
                <c:pt idx="26">
                  <c:v>0.53459745080268661</c:v>
                </c:pt>
                <c:pt idx="27">
                  <c:v>0.53459745080268661</c:v>
                </c:pt>
                <c:pt idx="28">
                  <c:v>0.53459745080268661</c:v>
                </c:pt>
                <c:pt idx="29">
                  <c:v>0.53459745080268661</c:v>
                </c:pt>
                <c:pt idx="30">
                  <c:v>0.53459745080268661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77F-4987-85A8-7AC7DAACAFF8}"/>
            </c:ext>
          </c:extLst>
        </c:ser>
        <c:ser>
          <c:idx val="1"/>
          <c:order val="1"/>
          <c:tx>
            <c:v>CGA-based care</c:v>
          </c:tx>
          <c:spPr>
            <a:ln w="19050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Mortalitetskurvor!$A$2:$A$32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xVal>
          <c:yVal>
            <c:numRef>
              <c:f>Mortalitetskurvor!$C$2:$C$32</c:f>
              <c:numCache>
                <c:formatCode>General</c:formatCode>
                <c:ptCount val="31"/>
                <c:pt idx="0">
                  <c:v>0</c:v>
                </c:pt>
                <c:pt idx="1">
                  <c:v>0.11538461538461539</c:v>
                </c:pt>
                <c:pt idx="2">
                  <c:v>8.1521739130434784E-2</c:v>
                </c:pt>
                <c:pt idx="3">
                  <c:v>0.15967791396336031</c:v>
                </c:pt>
                <c:pt idx="4">
                  <c:v>0.17058190604922699</c:v>
                </c:pt>
                <c:pt idx="5">
                  <c:v>0.18405932974379649</c:v>
                </c:pt>
                <c:pt idx="6">
                  <c:v>0.19732889102503484</c:v>
                </c:pt>
                <c:pt idx="7">
                  <c:v>0.21471357212684442</c:v>
                </c:pt>
                <c:pt idx="8">
                  <c:v>0.23027458366398282</c:v>
                </c:pt>
                <c:pt idx="9">
                  <c:v>0.24841906115596926</c:v>
                </c:pt>
                <c:pt idx="10">
                  <c:v>0.26704249839169958</c:v>
                </c:pt>
                <c:pt idx="11">
                  <c:v>0.28684308241414946</c:v>
                </c:pt>
                <c:pt idx="12">
                  <c:v>0.30907205073504018</c:v>
                </c:pt>
                <c:pt idx="13">
                  <c:v>0.3295395380093421</c:v>
                </c:pt>
                <c:pt idx="14">
                  <c:v>0.34846204382151036</c:v>
                </c:pt>
                <c:pt idx="15">
                  <c:v>0.37767630898642457</c:v>
                </c:pt>
                <c:pt idx="16">
                  <c:v>0.39618575822681146</c:v>
                </c:pt>
                <c:pt idx="17">
                  <c:v>0.4161896610352388</c:v>
                </c:pt>
                <c:pt idx="18">
                  <c:v>0.44846032994072405</c:v>
                </c:pt>
                <c:pt idx="19">
                  <c:v>0.47188365384238007</c:v>
                </c:pt>
                <c:pt idx="20">
                  <c:v>0.48131111163618889</c:v>
                </c:pt>
                <c:pt idx="21">
                  <c:v>0.50929164535775695</c:v>
                </c:pt>
                <c:pt idx="22">
                  <c:v>0.53459745080268661</c:v>
                </c:pt>
                <c:pt idx="23">
                  <c:v>0.53459745080268661</c:v>
                </c:pt>
                <c:pt idx="24">
                  <c:v>0.53459745080268661</c:v>
                </c:pt>
                <c:pt idx="25">
                  <c:v>0.53459745080268661</c:v>
                </c:pt>
                <c:pt idx="26">
                  <c:v>0.53459745080268661</c:v>
                </c:pt>
                <c:pt idx="27">
                  <c:v>0.53459745080268661</c:v>
                </c:pt>
                <c:pt idx="28">
                  <c:v>0.53459745080268661</c:v>
                </c:pt>
                <c:pt idx="29">
                  <c:v>0.53459745080268661</c:v>
                </c:pt>
                <c:pt idx="30">
                  <c:v>0.53459745080268661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77F-4987-85A8-7AC7DAACAF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4986160"/>
        <c:axId val="214985768"/>
      </c:scatterChart>
      <c:valAx>
        <c:axId val="214986160"/>
        <c:scaling>
          <c:orientation val="minMax"/>
          <c:max val="2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v-SE"/>
                  <a:t>Years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985768"/>
        <c:crosses val="autoZero"/>
        <c:crossBetween val="midCat"/>
      </c:valAx>
      <c:valAx>
        <c:axId val="214985768"/>
        <c:scaling>
          <c:orientation val="minMax"/>
          <c:max val="0.8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v-SE"/>
                  <a:t>Probabilities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9861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3EA24-4A8C-4D10-8CE7-AD99924D2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Linköpings universitet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Lundqvist</dc:creator>
  <cp:keywords/>
  <dc:description/>
  <cp:lastModifiedBy>Martina Lundqvist</cp:lastModifiedBy>
  <cp:revision>4</cp:revision>
  <dcterms:created xsi:type="dcterms:W3CDTF">2017-09-21T09:17:00Z</dcterms:created>
  <dcterms:modified xsi:type="dcterms:W3CDTF">2017-09-22T06:45:00Z</dcterms:modified>
</cp:coreProperties>
</file>