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8F476D" w14:textId="3E485F4E" w:rsidR="003D7DFF" w:rsidRDefault="002421FE">
      <w:bookmarkStart w:id="0" w:name="_GoBack"/>
      <w:r>
        <w:t>Table</w:t>
      </w:r>
      <w:r w:rsidR="009C17EB">
        <w:t xml:space="preserve"> summarising details of included</w:t>
      </w:r>
      <w:r>
        <w:t xml:space="preserve"> </w:t>
      </w:r>
      <w:r w:rsidR="009C17EB">
        <w:t>p</w:t>
      </w:r>
      <w:r>
        <w:t>rimary studies</w:t>
      </w:r>
    </w:p>
    <w:tbl>
      <w:tblPr>
        <w:tblW w:w="12380" w:type="dxa"/>
        <w:tblInd w:w="-5" w:type="dxa"/>
        <w:tblCellMar>
          <w:top w:w="15" w:type="dxa"/>
          <w:bottom w:w="15" w:type="dxa"/>
        </w:tblCellMar>
        <w:tblLook w:val="04A0" w:firstRow="1" w:lastRow="0" w:firstColumn="1" w:lastColumn="0" w:noHBand="0" w:noVBand="1"/>
      </w:tblPr>
      <w:tblGrid>
        <w:gridCol w:w="1750"/>
        <w:gridCol w:w="1597"/>
        <w:gridCol w:w="2230"/>
        <w:gridCol w:w="2526"/>
        <w:gridCol w:w="1693"/>
        <w:gridCol w:w="2584"/>
      </w:tblGrid>
      <w:tr w:rsidR="002421FE" w:rsidRPr="00815AF3" w14:paraId="493FCFF8" w14:textId="77777777" w:rsidTr="00FB1DFE">
        <w:trPr>
          <w:trHeight w:val="525"/>
        </w:trPr>
        <w:tc>
          <w:tcPr>
            <w:tcW w:w="1750" w:type="dxa"/>
            <w:tcBorders>
              <w:top w:val="single" w:sz="4" w:space="0" w:color="auto"/>
              <w:left w:val="single" w:sz="4" w:space="0" w:color="auto"/>
              <w:bottom w:val="single" w:sz="4" w:space="0" w:color="auto"/>
              <w:right w:val="single" w:sz="4" w:space="0" w:color="auto"/>
            </w:tcBorders>
            <w:shd w:val="clear" w:color="000000" w:fill="C0C0C0"/>
            <w:vAlign w:val="bottom"/>
            <w:hideMark/>
          </w:tcPr>
          <w:bookmarkEnd w:id="0"/>
          <w:p w14:paraId="529D36ED" w14:textId="77777777" w:rsidR="002421FE" w:rsidRPr="00815AF3" w:rsidRDefault="002421FE" w:rsidP="00FB1DFE">
            <w:pPr>
              <w:spacing w:after="0"/>
              <w:rPr>
                <w:rFonts w:eastAsia="Times New Roman"/>
                <w:b/>
                <w:bCs/>
                <w:color w:val="000000"/>
                <w:sz w:val="22"/>
                <w:szCs w:val="22"/>
              </w:rPr>
            </w:pPr>
            <w:r w:rsidRPr="00815AF3">
              <w:rPr>
                <w:rFonts w:eastAsia="Times New Roman"/>
                <w:b/>
                <w:bCs/>
                <w:color w:val="000000"/>
                <w:sz w:val="22"/>
                <w:szCs w:val="22"/>
              </w:rPr>
              <w:t>Author and year</w:t>
            </w:r>
          </w:p>
        </w:tc>
        <w:tc>
          <w:tcPr>
            <w:tcW w:w="1597" w:type="dxa"/>
            <w:tcBorders>
              <w:top w:val="single" w:sz="4" w:space="0" w:color="auto"/>
              <w:left w:val="single" w:sz="4" w:space="0" w:color="auto"/>
              <w:bottom w:val="single" w:sz="4" w:space="0" w:color="auto"/>
              <w:right w:val="single" w:sz="4" w:space="0" w:color="auto"/>
            </w:tcBorders>
            <w:shd w:val="clear" w:color="000000" w:fill="C0C0C0"/>
            <w:vAlign w:val="bottom"/>
            <w:hideMark/>
          </w:tcPr>
          <w:p w14:paraId="74511017" w14:textId="77777777" w:rsidR="002421FE" w:rsidRPr="00815AF3" w:rsidRDefault="002421FE" w:rsidP="00FB1DFE">
            <w:pPr>
              <w:spacing w:after="0"/>
              <w:rPr>
                <w:rFonts w:eastAsia="Times New Roman"/>
                <w:b/>
                <w:bCs/>
                <w:color w:val="000000"/>
                <w:sz w:val="22"/>
                <w:szCs w:val="22"/>
              </w:rPr>
            </w:pPr>
            <w:r w:rsidRPr="00815AF3">
              <w:rPr>
                <w:rFonts w:eastAsia="Times New Roman"/>
                <w:b/>
                <w:bCs/>
                <w:color w:val="000000"/>
                <w:sz w:val="22"/>
                <w:szCs w:val="22"/>
              </w:rPr>
              <w:t>If research give type</w:t>
            </w:r>
          </w:p>
        </w:tc>
        <w:tc>
          <w:tcPr>
            <w:tcW w:w="2230" w:type="dxa"/>
            <w:tcBorders>
              <w:top w:val="single" w:sz="4" w:space="0" w:color="auto"/>
              <w:left w:val="single" w:sz="4" w:space="0" w:color="auto"/>
              <w:bottom w:val="single" w:sz="4" w:space="0" w:color="auto"/>
              <w:right w:val="single" w:sz="4" w:space="0" w:color="auto"/>
            </w:tcBorders>
            <w:shd w:val="clear" w:color="000000" w:fill="C0C0C0"/>
            <w:vAlign w:val="bottom"/>
            <w:hideMark/>
          </w:tcPr>
          <w:p w14:paraId="64E33512" w14:textId="77777777" w:rsidR="002421FE" w:rsidRPr="00815AF3" w:rsidRDefault="002421FE" w:rsidP="00FB1DFE">
            <w:pPr>
              <w:spacing w:after="0"/>
              <w:rPr>
                <w:rFonts w:eastAsia="Times New Roman"/>
                <w:b/>
                <w:bCs/>
                <w:color w:val="000000"/>
                <w:sz w:val="22"/>
                <w:szCs w:val="22"/>
              </w:rPr>
            </w:pPr>
            <w:r w:rsidRPr="00815AF3">
              <w:rPr>
                <w:rFonts w:eastAsia="Times New Roman"/>
                <w:b/>
                <w:bCs/>
                <w:color w:val="000000"/>
                <w:sz w:val="22"/>
                <w:szCs w:val="22"/>
              </w:rPr>
              <w:t>Description of intervention</w:t>
            </w:r>
          </w:p>
        </w:tc>
        <w:tc>
          <w:tcPr>
            <w:tcW w:w="2526" w:type="dxa"/>
            <w:tcBorders>
              <w:top w:val="single" w:sz="4" w:space="0" w:color="auto"/>
              <w:left w:val="single" w:sz="4" w:space="0" w:color="auto"/>
              <w:bottom w:val="single" w:sz="4" w:space="0" w:color="auto"/>
              <w:right w:val="single" w:sz="4" w:space="0" w:color="auto"/>
            </w:tcBorders>
            <w:shd w:val="clear" w:color="000000" w:fill="C0C0C0"/>
            <w:vAlign w:val="bottom"/>
            <w:hideMark/>
          </w:tcPr>
          <w:p w14:paraId="7B77D0F9" w14:textId="77777777" w:rsidR="002421FE" w:rsidRPr="00815AF3" w:rsidRDefault="002421FE" w:rsidP="00FB1DFE">
            <w:pPr>
              <w:spacing w:after="0"/>
              <w:rPr>
                <w:rFonts w:eastAsia="Times New Roman"/>
                <w:b/>
                <w:bCs/>
                <w:color w:val="000000"/>
                <w:sz w:val="22"/>
                <w:szCs w:val="22"/>
              </w:rPr>
            </w:pPr>
            <w:r w:rsidRPr="00815AF3">
              <w:rPr>
                <w:rFonts w:eastAsia="Times New Roman"/>
                <w:b/>
                <w:bCs/>
                <w:color w:val="000000"/>
                <w:sz w:val="22"/>
                <w:szCs w:val="22"/>
              </w:rPr>
              <w:t>Participants</w:t>
            </w:r>
          </w:p>
        </w:tc>
        <w:tc>
          <w:tcPr>
            <w:tcW w:w="1693" w:type="dxa"/>
            <w:tcBorders>
              <w:top w:val="single" w:sz="4" w:space="0" w:color="auto"/>
              <w:left w:val="single" w:sz="4" w:space="0" w:color="auto"/>
              <w:bottom w:val="single" w:sz="4" w:space="0" w:color="auto"/>
              <w:right w:val="single" w:sz="4" w:space="0" w:color="auto"/>
            </w:tcBorders>
            <w:shd w:val="clear" w:color="000000" w:fill="C0C0C0"/>
            <w:vAlign w:val="bottom"/>
            <w:hideMark/>
          </w:tcPr>
          <w:p w14:paraId="3E98CDB4" w14:textId="77777777" w:rsidR="002421FE" w:rsidRPr="00815AF3" w:rsidRDefault="002421FE" w:rsidP="00FB1DFE">
            <w:pPr>
              <w:spacing w:after="0"/>
              <w:rPr>
                <w:rFonts w:eastAsia="Times New Roman"/>
                <w:b/>
                <w:bCs/>
                <w:color w:val="000000"/>
                <w:sz w:val="22"/>
                <w:szCs w:val="22"/>
              </w:rPr>
            </w:pPr>
            <w:r w:rsidRPr="00815AF3">
              <w:rPr>
                <w:rFonts w:eastAsia="Times New Roman"/>
                <w:b/>
                <w:bCs/>
                <w:color w:val="000000"/>
                <w:sz w:val="22"/>
                <w:szCs w:val="22"/>
              </w:rPr>
              <w:t>Setting</w:t>
            </w:r>
          </w:p>
        </w:tc>
        <w:tc>
          <w:tcPr>
            <w:tcW w:w="2584" w:type="dxa"/>
            <w:tcBorders>
              <w:top w:val="single" w:sz="4" w:space="0" w:color="auto"/>
              <w:left w:val="single" w:sz="4" w:space="0" w:color="auto"/>
              <w:bottom w:val="single" w:sz="4" w:space="0" w:color="auto"/>
              <w:right w:val="single" w:sz="4" w:space="0" w:color="auto"/>
            </w:tcBorders>
            <w:shd w:val="clear" w:color="000000" w:fill="C0C0C0"/>
            <w:vAlign w:val="bottom"/>
            <w:hideMark/>
          </w:tcPr>
          <w:p w14:paraId="071845F1" w14:textId="77777777" w:rsidR="002421FE" w:rsidRPr="00815AF3" w:rsidRDefault="002421FE" w:rsidP="00FB1DFE">
            <w:pPr>
              <w:spacing w:after="0"/>
              <w:rPr>
                <w:rFonts w:eastAsia="Times New Roman"/>
                <w:b/>
                <w:bCs/>
                <w:color w:val="000000"/>
                <w:sz w:val="22"/>
                <w:szCs w:val="22"/>
              </w:rPr>
            </w:pPr>
            <w:proofErr w:type="gramStart"/>
            <w:r w:rsidRPr="00815AF3">
              <w:rPr>
                <w:rFonts w:eastAsia="Times New Roman"/>
                <w:b/>
                <w:bCs/>
                <w:color w:val="000000"/>
                <w:sz w:val="22"/>
                <w:szCs w:val="22"/>
              </w:rPr>
              <w:t>Main focus</w:t>
            </w:r>
            <w:proofErr w:type="gramEnd"/>
          </w:p>
        </w:tc>
      </w:tr>
      <w:tr w:rsidR="002421FE" w:rsidRPr="00815AF3" w14:paraId="0EF866B8" w14:textId="77777777" w:rsidTr="00FB1DFE">
        <w:trPr>
          <w:trHeight w:val="525"/>
        </w:trPr>
        <w:tc>
          <w:tcPr>
            <w:tcW w:w="175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301A3762" w14:textId="77777777" w:rsidR="002421FE" w:rsidRPr="00815AF3" w:rsidRDefault="002421FE" w:rsidP="00FB1DFE">
            <w:pPr>
              <w:spacing w:after="0"/>
              <w:rPr>
                <w:rFonts w:eastAsia="Times New Roman"/>
                <w:color w:val="000000"/>
                <w:sz w:val="22"/>
                <w:szCs w:val="22"/>
              </w:rPr>
            </w:pPr>
            <w:proofErr w:type="spellStart"/>
            <w:r>
              <w:rPr>
                <w:rFonts w:eastAsia="Times New Roman"/>
                <w:color w:val="000000"/>
                <w:sz w:val="22"/>
                <w:szCs w:val="22"/>
              </w:rPr>
              <w:t>Agoritas</w:t>
            </w:r>
            <w:proofErr w:type="spellEnd"/>
            <w:r>
              <w:rPr>
                <w:rFonts w:eastAsia="Times New Roman"/>
                <w:color w:val="000000"/>
                <w:sz w:val="22"/>
                <w:szCs w:val="22"/>
              </w:rPr>
              <w:t>, T. et al 2015</w:t>
            </w:r>
            <w:r w:rsidRPr="00815AF3">
              <w:rPr>
                <w:rFonts w:eastAsia="Times New Roman"/>
                <w:color w:val="000000"/>
                <w:sz w:val="22"/>
                <w:szCs w:val="22"/>
              </w:rPr>
              <w:t xml:space="preserve"> </w:t>
            </w:r>
            <w:r w:rsidRPr="00815AF3">
              <w:rPr>
                <w:rFonts w:eastAsia="Times New Roman"/>
                <w:color w:val="000000"/>
                <w:sz w:val="22"/>
                <w:szCs w:val="22"/>
              </w:rPr>
              <w:fldChar w:fldCharType="begin" w:fldLock="1"/>
            </w:r>
            <w:r>
              <w:rPr>
                <w:rFonts w:eastAsia="Times New Roman"/>
                <w:color w:val="000000"/>
                <w:sz w:val="22"/>
                <w:szCs w:val="22"/>
              </w:rPr>
              <w:instrText>ADDIN CSL_CITATION { "citationItems" : [ { "id" : "ITEM-1", "itemData" : { "DOI" : "10.1136/bmj.g7624", "ISBN" : "1756-1833 (Electronic)\\r0959-535X (Linking)", "ISSN" : "1756-1833", "PMID" : "25670178", "abstract" : "Decision aids can help shared decision making, but most have been hard to produce, onerous to update, and are not being used widely. Thomas Agoritsas and colleagues explore why and describe a new electronic model that holds promise of being more useful for clinicians and patients to use together at the point of care.", "author" : [ { "dropping-particle" : "", "family" : "Agoritsas", "given" : "T.", "non-dropping-particle" : "", "parse-names" : false, "suffix" : "" }, { "dropping-particle" : "", "family" : "Heen", "given" : "a. F.", "non-dropping-particle" : "", "parse-names" : false, "suffix" : "" }, { "dropping-particle" : "", "family" : "Brandt", "given" : "L.", "non-dropping-particle" : "", "parse-names" : false, "suffix" : "" }, { "dropping-particle" : "", "family" : "Alonso-Coello", "given" : "P.", "non-dropping-particle" : "", "parse-names" : false, "suffix" : "" }, { "dropping-particle" : "", "family" : "Kristiansen", "given" : "A.", "non-dropping-particle" : "", "parse-names" : false, "suffix" : "" }, { "dropping-particle" : "", "family" : "Akl", "given" : "E. a.", "non-dropping-particle" : "", "parse-names" : false, "suffix" : "" }, { "dropping-particle" : "", "family" : "Neumann", "given" : "I.", "non-dropping-particle" : "", "parse-names" : false, "suffix" : "" }, { "dropping-particle" : "", "family" : "Tikkinen", "given" : "K. a.", "non-dropping-particle" : "", "parse-names" : false, "suffix" : "" }, { "dropping-particle" : "", "family" : "Weijden", "given" : "T. V. D.", "non-dropping-particle" : "", "parse-names" : false, "suffix" : "" }, { "dropping-particle" : "", "family" : "Elwyn", "given" : "G.", "non-dropping-particle" : "", "parse-names" : false, "suffix" : "" }, { "dropping-particle" : "", "family" : "Montori", "given" : "V. M.", "non-dropping-particle" : "", "parse-names" : false, "suffix" : "" }, { "dropping-particle" : "", "family" : "Guyatt", "given" : "G. H.", "non-dropping-particle" : "", "parse-names" : false, "suffix" : "" }, { "dropping-particle" : "", "family" : "Vandvik", "given" : "P. O.", "non-dropping-particle" : "", "parse-names" : false, "suffix" : "" } ], "container-title" : "Bmj", "id" : "ITEM-1", "issue" : "February", "issued" : { "date-parts" : [ [ "2015" ] ] }, "page" : "g7624-g7624", "title" : "Decision aids that really promote shared decision making: the pace quickens", "type" : "article-journal", "volume" : "350" }, "uris" : [ "http://www.mendeley.com/documents/?uuid=77826f9f-4d4d-4755-b945-b4017b2cbdbe" ] } ], "mendeley" : { "formattedCitation" : "&lt;sup&gt;80&lt;/sup&gt;", "plainTextFormattedCitation" : "80", "previouslyFormattedCitation" : "&lt;sup&gt;80&lt;/sup&gt;" }, "properties" : { "noteIndex" : 0 }, "schema" : "https://github.com/citation-style-language/schema/raw/master/csl-citation.json" }</w:instrText>
            </w:r>
            <w:r w:rsidRPr="00815AF3">
              <w:rPr>
                <w:rFonts w:eastAsia="Times New Roman"/>
                <w:color w:val="000000"/>
                <w:sz w:val="22"/>
                <w:szCs w:val="22"/>
                <w:vertAlign w:val="superscript"/>
              </w:rPr>
              <w:fldChar w:fldCharType="separate"/>
            </w:r>
            <w:r w:rsidRPr="00DC220A">
              <w:rPr>
                <w:rFonts w:eastAsia="Times New Roman"/>
                <w:noProof/>
                <w:color w:val="000000"/>
                <w:sz w:val="22"/>
                <w:szCs w:val="22"/>
                <w:vertAlign w:val="superscript"/>
              </w:rPr>
              <w:t>80</w:t>
            </w:r>
            <w:r w:rsidRPr="00815AF3">
              <w:rPr>
                <w:rFonts w:eastAsia="Times New Roman"/>
                <w:color w:val="000000"/>
                <w:sz w:val="22"/>
                <w:szCs w:val="22"/>
              </w:rPr>
              <w:fldChar w:fldCharType="end"/>
            </w:r>
          </w:p>
        </w:tc>
        <w:tc>
          <w:tcPr>
            <w:tcW w:w="15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78CB7FB8"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Discussion</w:t>
            </w:r>
          </w:p>
        </w:tc>
        <w:tc>
          <w:tcPr>
            <w:tcW w:w="223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31EF9CDF"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NA</w:t>
            </w:r>
          </w:p>
        </w:tc>
        <w:tc>
          <w:tcPr>
            <w:tcW w:w="2526"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5061E78F"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General population</w:t>
            </w:r>
          </w:p>
        </w:tc>
        <w:tc>
          <w:tcPr>
            <w:tcW w:w="1693"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56FD3CE7"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Applies to all healthcare settings</w:t>
            </w:r>
          </w:p>
        </w:tc>
        <w:tc>
          <w:tcPr>
            <w:tcW w:w="2584"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C164F98"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PDAs</w:t>
            </w:r>
          </w:p>
        </w:tc>
      </w:tr>
      <w:tr w:rsidR="002421FE" w:rsidRPr="00815AF3" w14:paraId="26FEE5A4" w14:textId="77777777" w:rsidTr="00FB1DFE">
        <w:trPr>
          <w:trHeight w:val="525"/>
        </w:trPr>
        <w:tc>
          <w:tcPr>
            <w:tcW w:w="175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6A8954EB"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 xml:space="preserve">Barrett 2016 </w:t>
            </w:r>
            <w:r w:rsidRPr="00815AF3">
              <w:rPr>
                <w:rFonts w:eastAsia="Times New Roman"/>
                <w:color w:val="000000"/>
                <w:sz w:val="22"/>
                <w:szCs w:val="22"/>
              </w:rPr>
              <w:fldChar w:fldCharType="begin" w:fldLock="1"/>
            </w:r>
            <w:r>
              <w:rPr>
                <w:rFonts w:eastAsia="Times New Roman"/>
                <w:color w:val="000000"/>
                <w:sz w:val="22"/>
                <w:szCs w:val="22"/>
              </w:rPr>
              <w:instrText>ADDIN CSL_CITATION { "citationItems" : [ { "id" : "ITEM-1", "itemData" : { "DOI" : "10.1186/s12875-016-0436-9", "ISSN" : "1471-2296 (Electronic)", "PMID" : "27048421", "abstract" : "BACKGROUND: The practice of clinical medicine rests on a foundation of ethical principles as well as scientific knowledge. Clinicians must artfully balance the principle of beneficence, doing what is best for patients, with autonomy, allowing patients to make their own well-informed health care decisions. The clinical communication process is complicated by varying degrees of confidence in scientific evidence regarding patient-oriented benefits, and by the fact that most medical options are associated with possible harms as well as potential benefits. DISCUSSION: Evidence-based clinical guidelines often neglect patient-oriented issues involved with the thoughtful practice of shared decision-making, where individual values, goals, and preferences should be prioritized. Guidelines on the use of statin medications for preventing cardiovascular events are a case in point. Current guidelines endorse the use of statins for people whose 10-year risk of cardiovascular events is as low as 7.5%. Previous guidelines set the 10-year risk benchmark at 20%. Meta-analysis of randomized trials suggests that statins can reduce cardiovascular event rates by about 25%, bringing 10-year risk from 7.5 to 5.6%, for example, or from 20 to 15%. Whether or not these benefits should justify the use of statins for individual patients depends on how those advantages are valued in comparison with disadvantages, such as side effect risks, and with inconveniences associated with taking a pill each day and visiting clinicians and laboratories regularly. CONCLUSIONS: Whether or not the overall benefit-harm balance justifies the use of a medication for an individual patient cannot be determined by a guidelines committee, a health care system, or even the attending physician. Instead, it is the individual patient who has a fundamental right to decide whether or not taking a drug is worthwhile. Researchers and professional organizations should endeavor to develop shared decision-making tools that provide up-to-date best evidence in easily understandable formats, so as to assist clinicians in helping their patients to make the decisions that are right for them.", "author" : [ { "dropping-particle" : "", "family" : "Barrett", "given" : "Bruce", "non-dropping-particle" : "", "parse-names" : false, "suffix" : "" }, { "dropping-particle" : "", "family" : "Ricco", "given" : "Jason", "non-dropping-particle" : "", "parse-names" : false, "suffix" : "" }, { "dropping-particle" : "", "family" : "Wallace", "given" : "Margaret", "non-dropping-particle" : "", "parse-names" : false, "suffix" : "" }, { "dropping-particle" : "", "family" : "Kiefer", "given" : "David", "non-dropping-particle" : "", "parse-names" : false, "suffix" : "" }, { "dropping-particle" : "", "family" : "Rakel", "given" : "Dave", "non-dropping-particle" : "", "parse-names" : false, "suffix" : "" } ], "container-title" : "BMC family practice", "id" : "ITEM-1", "issued" : { "date-parts" : [ [ "2016", "4" ] ] }, "language" : "eng", "page" : "41", "publisher-place" : "England", "title" : "Communicating statin evidence to support shared decision-making.", "type" : "article-journal", "volume" : "17" }, "uris" : [ "http://www.mendeley.com/documents/?uuid=38103f9e-1a39-4356-b5b0-154dc44b46ec" ] } ], "mendeley" : { "formattedCitation" : "&lt;sup&gt;175&lt;/sup&gt;", "plainTextFormattedCitation" : "175", "previouslyFormattedCitation" : "&lt;sup&gt;175&lt;/sup&gt;" }, "properties" : { "noteIndex" : 0 }, "schema" : "https://github.com/citation-style-language/schema/raw/master/csl-citation.json" }</w:instrText>
            </w:r>
            <w:r w:rsidRPr="00815AF3">
              <w:rPr>
                <w:rFonts w:eastAsia="Times New Roman"/>
                <w:color w:val="000000"/>
                <w:sz w:val="22"/>
                <w:szCs w:val="22"/>
                <w:vertAlign w:val="superscript"/>
              </w:rPr>
              <w:fldChar w:fldCharType="separate"/>
            </w:r>
            <w:r w:rsidRPr="00D232B0">
              <w:rPr>
                <w:rFonts w:eastAsia="Times New Roman"/>
                <w:noProof/>
                <w:color w:val="000000"/>
                <w:sz w:val="22"/>
                <w:szCs w:val="22"/>
                <w:vertAlign w:val="superscript"/>
              </w:rPr>
              <w:t>175</w:t>
            </w:r>
            <w:r w:rsidRPr="00815AF3">
              <w:rPr>
                <w:rFonts w:eastAsia="Times New Roman"/>
                <w:color w:val="000000"/>
                <w:sz w:val="22"/>
                <w:szCs w:val="22"/>
              </w:rPr>
              <w:fldChar w:fldCharType="end"/>
            </w:r>
          </w:p>
        </w:tc>
        <w:tc>
          <w:tcPr>
            <w:tcW w:w="15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318B9E6D"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Discussion</w:t>
            </w:r>
          </w:p>
        </w:tc>
        <w:tc>
          <w:tcPr>
            <w:tcW w:w="223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54499A62"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NA</w:t>
            </w:r>
          </w:p>
        </w:tc>
        <w:tc>
          <w:tcPr>
            <w:tcW w:w="2526"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26B472D3"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Health care professionals</w:t>
            </w:r>
          </w:p>
        </w:tc>
        <w:tc>
          <w:tcPr>
            <w:tcW w:w="1693"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73A5DE98"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Community</w:t>
            </w:r>
          </w:p>
        </w:tc>
        <w:tc>
          <w:tcPr>
            <w:tcW w:w="2584"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3D59542C"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communicating risk (re statins)</w:t>
            </w:r>
          </w:p>
        </w:tc>
      </w:tr>
      <w:tr w:rsidR="002421FE" w:rsidRPr="00815AF3" w14:paraId="1D6F05A0" w14:textId="77777777" w:rsidTr="00FB1DFE">
        <w:trPr>
          <w:trHeight w:val="525"/>
        </w:trPr>
        <w:tc>
          <w:tcPr>
            <w:tcW w:w="175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1BBC8D43" w14:textId="77777777" w:rsidR="002421FE" w:rsidRPr="00815AF3" w:rsidRDefault="002421FE" w:rsidP="00FB1DFE">
            <w:pPr>
              <w:spacing w:after="0"/>
              <w:rPr>
                <w:rFonts w:eastAsia="Times New Roman"/>
                <w:color w:val="000000"/>
                <w:sz w:val="22"/>
                <w:szCs w:val="22"/>
              </w:rPr>
            </w:pPr>
            <w:proofErr w:type="spellStart"/>
            <w:r w:rsidRPr="00815AF3">
              <w:rPr>
                <w:rFonts w:eastAsia="Times New Roman"/>
                <w:color w:val="000000"/>
                <w:sz w:val="22"/>
                <w:szCs w:val="22"/>
              </w:rPr>
              <w:t>Belkora</w:t>
            </w:r>
            <w:proofErr w:type="spellEnd"/>
            <w:r w:rsidRPr="00815AF3">
              <w:rPr>
                <w:rFonts w:eastAsia="Times New Roman"/>
                <w:color w:val="000000"/>
                <w:sz w:val="22"/>
                <w:szCs w:val="22"/>
              </w:rPr>
              <w:t xml:space="preserve"> 2008 </w:t>
            </w:r>
            <w:r>
              <w:rPr>
                <w:rFonts w:eastAsia="Times New Roman"/>
                <w:color w:val="000000"/>
                <w:sz w:val="22"/>
                <w:szCs w:val="22"/>
              </w:rPr>
              <w:fldChar w:fldCharType="begin" w:fldLock="1"/>
            </w:r>
            <w:r>
              <w:rPr>
                <w:rFonts w:eastAsia="Times New Roman"/>
                <w:color w:val="000000"/>
                <w:sz w:val="22"/>
                <w:szCs w:val="22"/>
              </w:rPr>
              <w:instrText>ADDIN CSL_CITATION { "citationItems" : [ { "id" : "ITEM-1", "itemData" : { "DOI" : "10.1016/j.pec.2008.07.037", "abstract" : "Objective: We implemented and monitored a clinical service, Consultation Planning, Recording and Summarizing (CPRS), in which trained facilitators elicit patient questions for doctors, and then audio-record, and summarize the doctor-patient consultations. Methods: We trained 8 schedulers to offer CPRS to breast cancer patients making treatment decisions, and trained 14 premedical interns to provide the service. We surveyed a convenience sample of patients regarding their self-efficacy and decisional conflict. We solicited feedback from physicians, schedulers, and CPRS staff on our implementation of CPRS. Results: 278 patients used CPRS over the 22-month study period, an exploitation rate of 32% compared to our capacity. 37 patients responded to surveys, providing pilot data showing improvements in self-efficacy and decisional conflict. Physicians, schedulers, and premedical interns recommended changes in the program's locations; delivery; products; and screening, recruitment and scheduling processes. Conclusion: Our monitoring of this implementation found elements of success while surfacing recommendations for improvement. Practice implications: We made changes based on study findings. We moved Consultation Planning to conference rooms or telephone sessions; shortened the documents produced by CPRS staff; diverted slack resources to increase recruitment efforts; and obtained a waiver of consent in order to streamline and improve ongoing evaluation. \u00a9 2008 Elsevier Ireland Ltd. All rights reserved.", "author" : [ { "dropping-particle" : "", "family" : "Belkora", "given" : "J K", "non-dropping-particle" : "", "parse-names" : false, "suffix" : "" }, { "dropping-particle" : "", "family" : "Loth", "given" : "M K", "non-dropping-particle" : "", "parse-names" : false, "suffix" : "" }, { "dropping-particle" : "", "family" : "Chen", "given" : "D F", "non-dropping-particle" : "", "parse-names" : false, "suffix" : "" }, { "dropping-particle" : "", "family" : "Chen", "given" : "J Y", "non-dropping-particle" : "", "parse-names" : false, "suffix" : "" }, { "dropping-particle" : "", "family" : "Volz", "given" : "S", "non-dropping-particle" : "", "parse-names" : false, "suffix" : "" }, { "dropping-particle" : "", "family" : "Esserman", "given" : "L J", "non-dropping-particle" : "", "parse-names" : false, "suffix" : "" } ], "container-title" : "Patient Educ Couns", "id" : "ITEM-1", "issue" : "3", "issued" : { "date-parts" : [ [ "2008" ] ] }, "note" : "Cited By :26\nExport Date: 12 December 2016", "page" : "536-543", "title" : "Monitoring the implementation of Consultation Planning, Recording, and Summarizing in a breast care center", "type" : "article-journal", "volume" : "73" }, "uris" : [ "http://www.mendeley.com/documents/?uuid=5085f1f0-829c-4b71-b630-f83c20388731" ] } ], "mendeley" : { "formattedCitation" : "&lt;sup&gt;124&lt;/sup&gt;", "plainTextFormattedCitation" : "124", "previouslyFormattedCitation" : "&lt;sup&gt;124&lt;/sup&gt;" }, "properties" : { "noteIndex" : 0 }, "schema" : "https://github.com/citation-style-language/schema/raw/master/csl-citation.json" }</w:instrText>
            </w:r>
            <w:r>
              <w:rPr>
                <w:rFonts w:eastAsia="Times New Roman"/>
                <w:color w:val="000000"/>
                <w:sz w:val="22"/>
                <w:szCs w:val="22"/>
              </w:rPr>
              <w:fldChar w:fldCharType="separate"/>
            </w:r>
            <w:r w:rsidRPr="00D232B0">
              <w:rPr>
                <w:rFonts w:eastAsia="Times New Roman"/>
                <w:noProof/>
                <w:color w:val="000000"/>
                <w:sz w:val="22"/>
                <w:szCs w:val="22"/>
                <w:vertAlign w:val="superscript"/>
              </w:rPr>
              <w:t>124</w:t>
            </w:r>
            <w:r>
              <w:rPr>
                <w:rFonts w:eastAsia="Times New Roman"/>
                <w:color w:val="000000"/>
                <w:sz w:val="22"/>
                <w:szCs w:val="22"/>
              </w:rPr>
              <w:fldChar w:fldCharType="end"/>
            </w:r>
          </w:p>
        </w:tc>
        <w:tc>
          <w:tcPr>
            <w:tcW w:w="15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2B83FE29"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Before/after</w:t>
            </w:r>
          </w:p>
        </w:tc>
        <w:tc>
          <w:tcPr>
            <w:tcW w:w="223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01BA34EE"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Pre-consultation coaching</w:t>
            </w:r>
          </w:p>
        </w:tc>
        <w:tc>
          <w:tcPr>
            <w:tcW w:w="2526"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5F8D2D41"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People with cancer</w:t>
            </w:r>
          </w:p>
        </w:tc>
        <w:tc>
          <w:tcPr>
            <w:tcW w:w="1693"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60E098E"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Community</w:t>
            </w:r>
          </w:p>
        </w:tc>
        <w:tc>
          <w:tcPr>
            <w:tcW w:w="2584"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23916F7E"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 xml:space="preserve">Identifying </w:t>
            </w:r>
            <w:proofErr w:type="spellStart"/>
            <w:r w:rsidRPr="00815AF3">
              <w:rPr>
                <w:rFonts w:eastAsia="Times New Roman"/>
                <w:color w:val="000000"/>
                <w:sz w:val="22"/>
                <w:szCs w:val="22"/>
              </w:rPr>
              <w:t>pt</w:t>
            </w:r>
            <w:proofErr w:type="spellEnd"/>
            <w:r w:rsidRPr="00815AF3">
              <w:rPr>
                <w:rFonts w:eastAsia="Times New Roman"/>
                <w:color w:val="000000"/>
                <w:sz w:val="22"/>
                <w:szCs w:val="22"/>
              </w:rPr>
              <w:t xml:space="preserve"> goals</w:t>
            </w:r>
          </w:p>
        </w:tc>
      </w:tr>
      <w:tr w:rsidR="002421FE" w:rsidRPr="00815AF3" w14:paraId="4DB5C483" w14:textId="77777777" w:rsidTr="00FB1DFE">
        <w:trPr>
          <w:trHeight w:val="525"/>
        </w:trPr>
        <w:tc>
          <w:tcPr>
            <w:tcW w:w="175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7377E3A"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 xml:space="preserve">Berger 2015 </w:t>
            </w:r>
            <w:r w:rsidRPr="00815AF3">
              <w:rPr>
                <w:rFonts w:eastAsia="Times New Roman"/>
                <w:color w:val="000000"/>
                <w:sz w:val="22"/>
                <w:szCs w:val="22"/>
              </w:rPr>
              <w:fldChar w:fldCharType="begin" w:fldLock="1"/>
            </w:r>
            <w:r>
              <w:rPr>
                <w:rFonts w:eastAsia="Times New Roman"/>
                <w:color w:val="000000"/>
                <w:sz w:val="22"/>
                <w:szCs w:val="22"/>
              </w:rPr>
              <w:instrText>ADDIN CSL_CITATION { "citationItems" : [ { "id" : "ITEM-1", "itemData" : { "DOI" : "10.1007/s11606-014-3074-8", "ISBN" : "1525-1497 (Electronic) 0884-8734 (Linking)", "ISSN" : "15251497", "PMID" : "25536912", "abstract" : "In shared decision-making (SDM), patient and physician deliberate together on the basis of shared evidence, supporting the patient's choice among multiple options, informed by her values and preferences. One factor complicating the implementation of SDM is uncertainty, which has long been recognized in medicine but perhaps not sufficiently addressed in the context of SDM. In order to ensure that SDM can be realistically applied to real-world clinical encounters, the issue of uncertainty should be recognized and explicitly incorporated into SDM strategies. Here we propose practical approaches, based in doctor-patient communication science and bioethics, that may be of help for incorporating the uncertainty factor into SDM in the context of the doctor-patient encounter. We also discuss how decision aids might be more widely applicable through routinely acknowledging the preference sensitivity of decisions and supplementing these tools with a discussion of uncertainty.", "author" : [ { "dropping-particle" : "", "family" : "Berger", "given" : "Zackary", "non-dropping-particle" : "", "parse-names" : false, "suffix" : "" } ], "container-title" : "Journal of General Internal Medicine", "id" : "ITEM-1", "issue" : "5", "issued" : { "date-parts" : [ [ "2015" ] ] }, "page" : "675-678", "title" : "Navigating the Unknown: Shared Decision-Making in the Face of Uncertainty", "type" : "article-journal", "volume" : "30" }, "uris" : [ "http://www.mendeley.com/documents/?uuid=e8d9f0f1-55cf-43ad-8003-a15ae6aea699" ] } ], "mendeley" : { "formattedCitation" : "&lt;sup&gt;174&lt;/sup&gt;", "plainTextFormattedCitation" : "174", "previouslyFormattedCitation" : "&lt;sup&gt;174&lt;/sup&gt;" }, "properties" : { "noteIndex" : 0 }, "schema" : "https://github.com/citation-style-language/schema/raw/master/csl-citation.json" }</w:instrText>
            </w:r>
            <w:r w:rsidRPr="00815AF3">
              <w:rPr>
                <w:rFonts w:eastAsia="Times New Roman"/>
                <w:color w:val="000000"/>
                <w:sz w:val="22"/>
                <w:szCs w:val="22"/>
                <w:vertAlign w:val="superscript"/>
              </w:rPr>
              <w:fldChar w:fldCharType="separate"/>
            </w:r>
            <w:r w:rsidRPr="00D232B0">
              <w:rPr>
                <w:rFonts w:eastAsia="Times New Roman"/>
                <w:noProof/>
                <w:color w:val="000000"/>
                <w:sz w:val="22"/>
                <w:szCs w:val="22"/>
                <w:vertAlign w:val="superscript"/>
              </w:rPr>
              <w:t>174</w:t>
            </w:r>
            <w:r w:rsidRPr="00815AF3">
              <w:rPr>
                <w:rFonts w:eastAsia="Times New Roman"/>
                <w:color w:val="000000"/>
                <w:sz w:val="22"/>
                <w:szCs w:val="22"/>
              </w:rPr>
              <w:fldChar w:fldCharType="end"/>
            </w:r>
          </w:p>
        </w:tc>
        <w:tc>
          <w:tcPr>
            <w:tcW w:w="15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36F24C44"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Discussion</w:t>
            </w:r>
          </w:p>
        </w:tc>
        <w:tc>
          <w:tcPr>
            <w:tcW w:w="223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08649457"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NA</w:t>
            </w:r>
          </w:p>
        </w:tc>
        <w:tc>
          <w:tcPr>
            <w:tcW w:w="2526"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159B7399"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Health care professionals</w:t>
            </w:r>
          </w:p>
        </w:tc>
        <w:tc>
          <w:tcPr>
            <w:tcW w:w="1693"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07AE6B95"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NA</w:t>
            </w:r>
          </w:p>
        </w:tc>
        <w:tc>
          <w:tcPr>
            <w:tcW w:w="2584"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961F30B"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SDM and uncertainty</w:t>
            </w:r>
          </w:p>
        </w:tc>
      </w:tr>
      <w:tr w:rsidR="002421FE" w:rsidRPr="00815AF3" w14:paraId="6C4F9658" w14:textId="77777777" w:rsidTr="00FB1DFE">
        <w:trPr>
          <w:trHeight w:val="525"/>
        </w:trPr>
        <w:tc>
          <w:tcPr>
            <w:tcW w:w="175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5140B56C"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 xml:space="preserve">Berntsen 2015 </w:t>
            </w:r>
            <w:r w:rsidRPr="00815AF3">
              <w:rPr>
                <w:rFonts w:eastAsia="Times New Roman"/>
                <w:color w:val="000000"/>
                <w:sz w:val="22"/>
                <w:szCs w:val="22"/>
              </w:rPr>
              <w:fldChar w:fldCharType="begin" w:fldLock="1"/>
            </w:r>
            <w:r>
              <w:rPr>
                <w:rFonts w:eastAsia="Times New Roman"/>
                <w:color w:val="000000"/>
                <w:sz w:val="22"/>
                <w:szCs w:val="22"/>
              </w:rPr>
              <w:instrText>ADDIN CSL_CITATION { "citationItems" : [ { "id" : "ITEM-1", "itemData" : { "DOI" : "10.1136/bmjopen-2015-009403", "ISBN" : "2044-6055 (Electronic)", "ISSN" : "2044-6055", "PMID" : "26656243", "abstract" : "OBJECTIVES: Patients with complex long-term needs experience multiple parallel care processes, which may have conflicting or competing goals, within their individual patient trajectory (iPT). The alignment of multiple goals is often implicit or non-existent, and has received little attention in the literature., RESEARCH QUESTIONS: (1) What goals for care relevant for the iPT can be identified from the literature? (2) What goal typology can be proposed based on goal characteristics? (3) How can professionals negotiate a consistent set of goals for the iPT?, DESIGN: Document content analysis of health service research papers, on the topic of 'goals for care'., SETTING: With the increasing prevalence of multimorbidity, guidance regarding the identification and alignment of goals for care across organisations and disciplines is urgently needed., PARTICIPANTS: 70 papers that describe 'goals for care', 'health' or 'the good healthcare process' relevant to a general iPT, identified in a step-wise structured search of MEDLINE, Web of Science and Google Scholar., RESULTS: We developed a goal typology with four categories. Three categories are professionally defined: (1) Functional, (2) Biological/Disease and (3) Adaptive goals. The fourth category is the patient's personally defined goals. Professional and personal goals may conflict, in which case goal prioritisation by creation of a goal hierarchy can be useful. We argue that the patient has the moral and legal right to determine the goals at the top of such a goal hierarchy. Professionals can then translate personal goals into realistic professional goals such as standardised health outcomes linked to evidence-based guidelines. Thereby, when goals are aligned with one another, the iPT will be truly patient centred, while care follows professional guidelines., CONCLUSIONS: Personal goals direct professional goals and define the success criteria of the iPT. However, making personal goals count requires brave and wide-sweeping attitudinal, organisational and regulatory transformation of care delivery.Copyright Published by the BMJ Publishing Group Limited. For permission to use (where not already granted under a licence) please go to http://www.bmj.com/company/products-services/rights-and-licensing/", "author" : [ { "dropping-particle" : "", "family" : "Berntsen", "given" : "G K R", "non-dropping-particle" : "", "parse-names" : false, "suffix" : "" }, { "dropping-particle" : "", "family" : "Gammon", "given" : "D", "non-dropping-particle" : "", "parse-names" : false, "suffix" : "" }, { "dropping-particle" : "", "family" : "Steinsbekk", "given" : "A", "non-dropping-particle" : "", "parse-names" : false, "suffix" : "" }, { "dropping-particle" : "", "family" : "Salamonsen", "given" : "A", "non-dropping-particle" : "", "parse-names" : false, "suffix" : "" }, { "dropping-particle" : "", "family" : "Foss", "given" : "N", "non-dropping-particle" : "", "parse-names" : false, "suffix" : "" }, { "dropping-particle" : "", "family" : "Ruland", "given" : "C", "non-dropping-particle" : "", "parse-names" : false, "suffix" : "" }, { "dropping-particle" : "", "family" : "Fonnebo", "given" : "V", "non-dropping-particle" : "", "parse-names" : false, "suffix" : "" } ], "container-title" : "BMJ open", "id" : "ITEM-1", "issue" : "12", "issued" : { "date-parts" : [ [ "2015" ] ] }, "page" : "e009403", "title" : "How do we deal with multiple goals for care within an individual patient trajectory? A document content analysis of health service research papers on goals for care", "type" : "article-journal", "volume" : "5" }, "uris" : [ "http://www.mendeley.com/documents/?uuid=9c91dcf5-b427-44b8-b582-4beae7b6df89" ] } ], "mendeley" : { "formattedCitation" : "&lt;sup&gt;125&lt;/sup&gt;", "plainTextFormattedCitation" : "125", "previouslyFormattedCitation" : "&lt;sup&gt;125&lt;/sup&gt;" }, "properties" : { "noteIndex" : 0 }, "schema" : "https://github.com/citation-style-language/schema/raw/master/csl-citation.json" }</w:instrText>
            </w:r>
            <w:r w:rsidRPr="00815AF3">
              <w:rPr>
                <w:rFonts w:eastAsia="Times New Roman"/>
                <w:color w:val="000000"/>
                <w:sz w:val="22"/>
                <w:szCs w:val="22"/>
                <w:vertAlign w:val="superscript"/>
              </w:rPr>
              <w:fldChar w:fldCharType="separate"/>
            </w:r>
            <w:r w:rsidRPr="00D232B0">
              <w:rPr>
                <w:rFonts w:eastAsia="Times New Roman"/>
                <w:noProof/>
                <w:color w:val="000000"/>
                <w:sz w:val="22"/>
                <w:szCs w:val="22"/>
                <w:vertAlign w:val="superscript"/>
              </w:rPr>
              <w:t>125</w:t>
            </w:r>
            <w:r w:rsidRPr="00815AF3">
              <w:rPr>
                <w:rFonts w:eastAsia="Times New Roman"/>
                <w:color w:val="000000"/>
                <w:sz w:val="22"/>
                <w:szCs w:val="22"/>
              </w:rPr>
              <w:fldChar w:fldCharType="end"/>
            </w:r>
          </w:p>
        </w:tc>
        <w:tc>
          <w:tcPr>
            <w:tcW w:w="15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3A7CD64A"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Review/content analysis</w:t>
            </w:r>
          </w:p>
        </w:tc>
        <w:tc>
          <w:tcPr>
            <w:tcW w:w="223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6235977E"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NA</w:t>
            </w:r>
          </w:p>
        </w:tc>
        <w:tc>
          <w:tcPr>
            <w:tcW w:w="2526"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3D01A8F8"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General population</w:t>
            </w:r>
          </w:p>
        </w:tc>
        <w:tc>
          <w:tcPr>
            <w:tcW w:w="1693"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03BC1707"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Variety</w:t>
            </w:r>
          </w:p>
        </w:tc>
        <w:tc>
          <w:tcPr>
            <w:tcW w:w="2584"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61CC0E5B"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Patient goals</w:t>
            </w:r>
          </w:p>
        </w:tc>
      </w:tr>
      <w:tr w:rsidR="002421FE" w:rsidRPr="00815AF3" w14:paraId="109D46BD" w14:textId="77777777" w:rsidTr="00FB1DFE">
        <w:trPr>
          <w:trHeight w:val="300"/>
        </w:trPr>
        <w:tc>
          <w:tcPr>
            <w:tcW w:w="175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4478D47" w14:textId="77777777" w:rsidR="002421FE" w:rsidRPr="00815AF3" w:rsidRDefault="002421FE" w:rsidP="00FB1DFE">
            <w:pPr>
              <w:spacing w:after="0"/>
              <w:rPr>
                <w:rFonts w:eastAsia="Times New Roman"/>
                <w:color w:val="000000"/>
                <w:sz w:val="22"/>
                <w:szCs w:val="22"/>
              </w:rPr>
            </w:pPr>
            <w:proofErr w:type="spellStart"/>
            <w:r w:rsidRPr="00815AF3">
              <w:rPr>
                <w:rFonts w:eastAsia="Times New Roman"/>
                <w:color w:val="000000"/>
                <w:sz w:val="22"/>
                <w:szCs w:val="22"/>
              </w:rPr>
              <w:t>Blom</w:t>
            </w:r>
            <w:proofErr w:type="spellEnd"/>
            <w:r w:rsidRPr="00815AF3">
              <w:rPr>
                <w:rFonts w:eastAsia="Times New Roman"/>
                <w:color w:val="000000"/>
                <w:sz w:val="22"/>
                <w:szCs w:val="22"/>
              </w:rPr>
              <w:t xml:space="preserve"> et al 2016 </w:t>
            </w:r>
            <w:r w:rsidRPr="00815AF3">
              <w:rPr>
                <w:rFonts w:eastAsia="Times New Roman"/>
                <w:color w:val="000000"/>
                <w:sz w:val="22"/>
                <w:szCs w:val="22"/>
              </w:rPr>
              <w:fldChar w:fldCharType="begin" w:fldLock="1"/>
            </w:r>
            <w:r>
              <w:rPr>
                <w:rFonts w:eastAsia="Times New Roman"/>
                <w:color w:val="000000"/>
                <w:sz w:val="22"/>
                <w:szCs w:val="22"/>
              </w:rPr>
              <w:instrText>ADDIN CSL_CITATION { "citationItems" : [ { "id" : "ITEM-1", "itemData" : { "DOI" : "10.1093/ageing/afv174", "ISSN" : "1468-2834 (Electronic)", "PMID" : "26764392", "abstract" : "BACKGROUND: older people often experience complex problems. Because of multiple problems, care for older people in general practice needs to shift from a 'problem-based, disease-oriented' care aiming at improvement of outcomes per disease to a 'goal-oriented care', aiming at improvement of functioning and personal quality of life, integrating all healthcare providers. Feasibility and cost-effectiveness of this proactive and integrated way of working are not yet established. DESIGN: cluster randomised trial. PARTICIPANTS: all persons aged &gt;/=75 in 59 general practices (30 intervention, 29 control), with a combination of problems, as identified with a structured postal questionnaire with 21 questions on four health domains. INTERVENTION: for participants with problems on &gt;/=3 domains, general practitioners (GPs) made an integrated care plan using a functional geriatric approach. Control practices: care as usual. OUTCOME MEASURES: (i) quality of life (QoL), (ii) activities of daily living, (iii) satisfaction with delivered health care and (iv) cost-effectiveness of the intervention at 1-year follow-up. TRIAL REGISTRATION: Netherlands trial register, NTR1946. RESULTS: of the 11,476 registered eligible older persons, 7,285 (63%) participated in the screening. One thousand nine hundred and twenty-one (26%) had problems on &gt;/=3 health domains. For 225 randomly chosen persons, a care plan was made. No beneficial effects were found on QoL, patients' functioning or healthcare use/costs. GPs experienced better overview of the care and stability, e.g. less unexpected demands, in the care. CONCLUSIONS: GPs prefer proactive integrated care. 'Horizontal' care using care plans for older people with complex problems can be a valuable tool in general practice. However, no direct beneficial effect was found for older persons.", "author" : [ { "dropping-particle" : "", "family" : "Blom", "given" : "Jeanet", "non-dropping-particle" : "", "parse-names" : false, "suffix" : "" }, { "dropping-particle" : "", "family" : "Elzen", "given" : "Wendy", "non-dropping-particle" : "den", "parse-names" : false, "suffix" : "" }, { "dropping-particle" : "", "family" : "Houwelingen", "given" : "Anne H", "non-dropping-particle" : "van", "parse-names" : false, "suffix" : "" }, { "dropping-particle" : "", "family" : "Heijmans", "given" : "Margot", "non-dropping-particle" : "", "parse-names" : false, "suffix" : "" }, { "dropping-particle" : "", "family" : "Stijnen", "given" : "Theo", "non-dropping-particle" : "", "parse-names" : false, "suffix" : "" }, { "dropping-particle" : "", "family" : "Hout", "given" : "Wilbert", "non-dropping-particle" : "Van den", "parse-names" : false, "suffix" : "" }, { "dropping-particle" : "", "family" : "Gussekloo", "given" : "Jacobijn", "non-dropping-particle" : "", "parse-names" : false, "suffix" : "" } ], "container-title" : "Age and ageing", "id" : "ITEM-1", "issue" : "1", "issued" : { "date-parts" : [ [ "2016", "1" ] ] }, "language" : "eng", "note" : "Include as an example of a proactive, goal-orientated, integrated care model in primary care for older people with complex needs.", "page" : "30-41", "publisher-place" : "England", "title" : "Effectiveness and cost-effectiveness of a proactive, goal-oriented, integrated care model in general practice for older people. A cluster randomised controlled trial: Integrated Systematic Care for older People--the ISCOPE study.", "type" : "article-journal", "volume" : "45" }, "uris" : [ "http://www.mendeley.com/documents/?uuid=4932b01f-0d7b-411c-95f0-c878f370a91c" ] } ], "mendeley" : { "formattedCitation" : "&lt;sup&gt;126&lt;/sup&gt;", "plainTextFormattedCitation" : "126", "previouslyFormattedCitation" : "&lt;sup&gt;126&lt;/sup&gt;" }, "properties" : { "noteIndex" : 0 }, "schema" : "https://github.com/citation-style-language/schema/raw/master/csl-citation.json" }</w:instrText>
            </w:r>
            <w:r w:rsidRPr="00815AF3">
              <w:rPr>
                <w:rFonts w:eastAsia="Times New Roman"/>
                <w:color w:val="000000"/>
                <w:sz w:val="22"/>
                <w:szCs w:val="22"/>
                <w:vertAlign w:val="superscript"/>
              </w:rPr>
              <w:fldChar w:fldCharType="separate"/>
            </w:r>
            <w:r w:rsidRPr="00D232B0">
              <w:rPr>
                <w:rFonts w:eastAsia="Times New Roman"/>
                <w:noProof/>
                <w:color w:val="000000"/>
                <w:sz w:val="22"/>
                <w:szCs w:val="22"/>
                <w:vertAlign w:val="superscript"/>
              </w:rPr>
              <w:t>126</w:t>
            </w:r>
            <w:r w:rsidRPr="00815AF3">
              <w:rPr>
                <w:rFonts w:eastAsia="Times New Roman"/>
                <w:color w:val="000000"/>
                <w:sz w:val="22"/>
                <w:szCs w:val="22"/>
              </w:rPr>
              <w:fldChar w:fldCharType="end"/>
            </w:r>
          </w:p>
        </w:tc>
        <w:tc>
          <w:tcPr>
            <w:tcW w:w="15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0803B86F"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RCT</w:t>
            </w:r>
          </w:p>
        </w:tc>
        <w:tc>
          <w:tcPr>
            <w:tcW w:w="223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11C7336C"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 xml:space="preserve">Proactive care planning </w:t>
            </w:r>
          </w:p>
        </w:tc>
        <w:tc>
          <w:tcPr>
            <w:tcW w:w="2526"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220C7972"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Older people</w:t>
            </w:r>
          </w:p>
        </w:tc>
        <w:tc>
          <w:tcPr>
            <w:tcW w:w="1693"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539BE1A1"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Primary care</w:t>
            </w:r>
          </w:p>
        </w:tc>
        <w:tc>
          <w:tcPr>
            <w:tcW w:w="2584"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1E2BC7D0"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Other</w:t>
            </w:r>
          </w:p>
        </w:tc>
      </w:tr>
      <w:tr w:rsidR="002421FE" w:rsidRPr="00815AF3" w14:paraId="13D425DF" w14:textId="77777777" w:rsidTr="00FB1DFE">
        <w:trPr>
          <w:trHeight w:val="525"/>
        </w:trPr>
        <w:tc>
          <w:tcPr>
            <w:tcW w:w="175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7CAF81C5" w14:textId="77777777" w:rsidR="002421FE" w:rsidRPr="00815AF3" w:rsidRDefault="002421FE" w:rsidP="00FB1DFE">
            <w:pPr>
              <w:spacing w:after="0"/>
              <w:rPr>
                <w:rFonts w:eastAsia="Times New Roman"/>
                <w:color w:val="000000"/>
                <w:sz w:val="22"/>
                <w:szCs w:val="22"/>
              </w:rPr>
            </w:pPr>
            <w:proofErr w:type="spellStart"/>
            <w:r w:rsidRPr="00815AF3">
              <w:rPr>
                <w:rFonts w:eastAsia="Times New Roman"/>
                <w:color w:val="000000"/>
                <w:sz w:val="22"/>
                <w:szCs w:val="22"/>
              </w:rPr>
              <w:t>Bookey</w:t>
            </w:r>
            <w:proofErr w:type="spellEnd"/>
            <w:r w:rsidRPr="00815AF3">
              <w:rPr>
                <w:rFonts w:eastAsia="Times New Roman"/>
                <w:color w:val="000000"/>
                <w:sz w:val="22"/>
                <w:szCs w:val="22"/>
              </w:rPr>
              <w:t xml:space="preserve">-Bassett et al 2017 </w:t>
            </w:r>
            <w:r w:rsidRPr="00815AF3">
              <w:rPr>
                <w:rFonts w:eastAsia="Times New Roman"/>
                <w:color w:val="000000"/>
                <w:sz w:val="22"/>
                <w:szCs w:val="22"/>
              </w:rPr>
              <w:fldChar w:fldCharType="begin" w:fldLock="1"/>
            </w:r>
            <w:r>
              <w:rPr>
                <w:rFonts w:eastAsia="Times New Roman"/>
                <w:color w:val="000000"/>
                <w:sz w:val="22"/>
                <w:szCs w:val="22"/>
              </w:rPr>
              <w:instrText>ADDIN CSL_CITATION { "citationItems" : [ { "id" : "ITEM-1", "itemData" : { "DOI" : "10.1111/jan.13162", "ISSN" : "1365-2648 (Electronic)", "PMID" : "27681818", "abstract" : "AIM: To report a concept analysis of interprofessional collaboration in the context of chronic disease management, for older adults living in communities. BACKGROUND: Increasing prevalence of chronic disease among older adults is creating significant burden for patients, families and healthcare systems. Managing chronic disease for older adults living in the community requires interprofessional collaboration across different health and other care providers, organizations and sectors. However, there is a lack of consensus about the definition and use of interprofessional collaboration for community-based chronic disease management. DESIGN: Concept analysis. DATA SOURCES: Electronic databases CINAHL, Medline, HealthStar, EMBASE, PsychINFO, Ageline and Cochrane Database were searched from 2000 - 2013. METHODS: Rodgers' evolutionary method for concept analysis. RESULTS: The most common surrogate term was interdisciplinary collaboration. Related terms were interprofessional team, multidisciplinary team and teamwork. Attributes included: an evolving interpersonal process; shared goals, decision-making and care planning; interdependence; effective and frequent communication; evaluation of team processes; involving older adults and family members in the team; and diverse and flexible team membership. Antecedents comprised: role awareness; interprofessional education; trust between team members; belief that interprofessional collaboration improves care; and organizational support. Consequences included impacts on team composition and function, care planning processes and providers' knowledge, confidence and job satisfaction. CONCLUSION: Interprofessional collaboration is a complex evolving concept. Key components of interprofessional collaboration in chronic disease management for community-living older adults are identified. Implications for nursing practice, education and research are proposed.", "author" : [ { "dropping-particle" : "", "family" : "Bookey-Bassett", "given" : "Sue", "non-dropping-particle" : "", "parse-names" : false, "suffix" : "" }, { "dropping-particle" : "", "family" : "Markle-Reid", "given" : "Maureen", "non-dropping-particle" : "", "parse-names" : false, "suffix" : "" }, { "dropping-particle" : "", "family" : "Mckey", "given" : "Colleen A", "non-dropping-particle" : "", "parse-names" : false, "suffix" : "" }, { "dropping-particle" : "", "family" : "Akhtar-Danesh", "given" : "Noori", "non-dropping-particle" : "", "parse-names" : false, "suffix" : "" } ], "container-title" : "Journal of advanced nursing", "id" : "ITEM-1", "issue" : "1", "issued" : { "date-parts" : [ [ "2017", "1" ] ] }, "language" : "eng", "note" : "? include as a background paper. Focus is on a concept analysis of inter-professional collaboration in relation to LTC management for older people living in the community. Identified the key components necessary to facilitate this.", "page" : "71-84", "publisher-place" : "England", "title" : "Understanding interprofessional collaboration in the context of chronic disease management for older adults living in communities: a concept analysis.", "type" : "article-journal", "volume" : "73" }, "uris" : [ "http://www.mendeley.com/documents/?uuid=ccfd0aba-fd1b-4fff-8a72-db1102ae9909" ] } ], "mendeley" : { "formattedCitation" : "&lt;sup&gt;127&lt;/sup&gt;", "plainTextFormattedCitation" : "127", "previouslyFormattedCitation" : "&lt;sup&gt;127&lt;/sup&gt;" }, "properties" : { "noteIndex" : 0 }, "schema" : "https://github.com/citation-style-language/schema/raw/master/csl-citation.json" }</w:instrText>
            </w:r>
            <w:r w:rsidRPr="00815AF3">
              <w:rPr>
                <w:rFonts w:eastAsia="Times New Roman"/>
                <w:color w:val="000000"/>
                <w:sz w:val="22"/>
                <w:szCs w:val="22"/>
                <w:vertAlign w:val="superscript"/>
              </w:rPr>
              <w:fldChar w:fldCharType="separate"/>
            </w:r>
            <w:r w:rsidRPr="00D232B0">
              <w:rPr>
                <w:rFonts w:eastAsia="Times New Roman"/>
                <w:noProof/>
                <w:color w:val="000000"/>
                <w:sz w:val="22"/>
                <w:szCs w:val="22"/>
                <w:vertAlign w:val="superscript"/>
              </w:rPr>
              <w:t>127</w:t>
            </w:r>
            <w:r w:rsidRPr="00815AF3">
              <w:rPr>
                <w:rFonts w:eastAsia="Times New Roman"/>
                <w:color w:val="000000"/>
                <w:sz w:val="22"/>
                <w:szCs w:val="22"/>
              </w:rPr>
              <w:fldChar w:fldCharType="end"/>
            </w:r>
          </w:p>
        </w:tc>
        <w:tc>
          <w:tcPr>
            <w:tcW w:w="15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74125CD9"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Concept analysis</w:t>
            </w:r>
          </w:p>
        </w:tc>
        <w:tc>
          <w:tcPr>
            <w:tcW w:w="223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7F80DB74"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NA</w:t>
            </w:r>
          </w:p>
        </w:tc>
        <w:tc>
          <w:tcPr>
            <w:tcW w:w="2526"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0D6FDD44"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Older people</w:t>
            </w:r>
          </w:p>
        </w:tc>
        <w:tc>
          <w:tcPr>
            <w:tcW w:w="1693"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17883161"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community</w:t>
            </w:r>
          </w:p>
        </w:tc>
        <w:tc>
          <w:tcPr>
            <w:tcW w:w="2584"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5EDB0824"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Interprofessional SDM</w:t>
            </w:r>
          </w:p>
        </w:tc>
      </w:tr>
      <w:tr w:rsidR="002421FE" w:rsidRPr="00815AF3" w14:paraId="6FFE6EC2" w14:textId="77777777" w:rsidTr="00FB1DFE">
        <w:trPr>
          <w:trHeight w:val="300"/>
        </w:trPr>
        <w:tc>
          <w:tcPr>
            <w:tcW w:w="175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CBD98DA"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 xml:space="preserve">Bridges et al 2015 </w:t>
            </w:r>
            <w:r w:rsidRPr="00815AF3">
              <w:rPr>
                <w:rFonts w:eastAsia="Times New Roman"/>
                <w:color w:val="000000"/>
                <w:sz w:val="22"/>
                <w:szCs w:val="22"/>
              </w:rPr>
              <w:fldChar w:fldCharType="begin" w:fldLock="1"/>
            </w:r>
            <w:r>
              <w:rPr>
                <w:rFonts w:eastAsia="Times New Roman"/>
                <w:color w:val="000000"/>
                <w:sz w:val="22"/>
                <w:szCs w:val="22"/>
              </w:rPr>
              <w:instrText>ADDIN CSL_CITATION { "citationItems" : [ { "id" : "ITEM-1", "itemData" : { "DOI" : "10.1136/bmjopen-2015-009674", "ISSN" : "2044-6055 (Electronic)", "PMID" : "26667015", "abstract" : "OBJECTIVES: Although older people can experience complex health and social care needs alongside a primary cancer diagnosis, little is understood about how cancer treatment decisions are made for this population. This study aimed to investigate how cancer treatment decisions are formulated for older people with complex health and social care needs and the factors that shape these processes. DESIGN: Qualitative study involving semistructured interviews and non-participant observations. Framework approach used for data analysis. SETTING: Breast and colorectal cancer services in five English NHS hospital trusts. PARTICIPANTS: Interviews: purposive sample of 22 clinicians directly involved in a face-to-face clinical role with patients regarding cancer treatment and care, maximising variation across clinical roles, tumour types and trusts. OBSERVATIONS: purposive sample of five cancer multidisciplinary meetings, maximising variation across location, team size and tumour type. RESULTS: The initial stages of cancer treatment decision-making are team-based, medically dominated and focused on the cancer. For patients with complex health and social care needs that extend beyond cancer pathology, later and less visible stages in the decision-making process are more haphazard and may result in less effective and workable treatment plans, as individual clinicians struggle to devise and deliver these plans without breaching time-based targets. CONCLUSIONS: Service targets that focus resources solely on the presenting disease can disadvantage older patients with complex health and social care needs that extend beyond this primary diagnosis. Care should be taken to ensure time-based targets do not disincentivise thorough and timely assessment that can lead to the formulation of treatment plans tailored to individual needs and circumstances.", "author" : [ { "dropping-particle" : "", "family" : "Bridges", "given" : "Jackie", "non-dropping-particle" : "", "parse-names" : false, "suffix" : "" }, { "dropping-particle" : "", "family" : "Hughes", "given" : "Jane", "non-dropping-particle" : "", "parse-names" : false, "suffix" : "" }, { "dropping-particle" : "", "family" : "Farrington", "given" : "Naomi", "non-dropping-particle" : "", "parse-names" : false, "suffix" : "" }, { "dropping-particle" : "", "family" : "Richardson", "given" : "Alison", "non-dropping-particle" : "", "parse-names" : false, "suffix" : "" } ], "container-title" : "BMJ open", "id" : "ITEM-1", "issue" : "12", "issued" : { "date-parts" : [ [ "2015", "12" ] ] }, "language" : "eng", "note" : "? include as an example of when the system does not facilitate sharing the communication of a decision even though it is based on MDT meetings.", "page" : "e009674", "publisher-place" : "England", "title" : "Cancer treatment decision-making processes for older patients with complex needs: a qualitative study.", "type" : "article-journal", "volume" : "5" }, "uris" : [ "http://www.mendeley.com/documents/?uuid=8480698f-391e-4431-b89d-95669677d925" ] } ], "mendeley" : { "formattedCitation" : "&lt;sup&gt;128&lt;/sup&gt;", "plainTextFormattedCitation" : "128", "previouslyFormattedCitation" : "&lt;sup&gt;128&lt;/sup&gt;" }, "properties" : { "noteIndex" : 0 }, "schema" : "https://github.com/citation-style-language/schema/raw/master/csl-citation.json" }</w:instrText>
            </w:r>
            <w:r w:rsidRPr="00815AF3">
              <w:rPr>
                <w:rFonts w:eastAsia="Times New Roman"/>
                <w:color w:val="000000"/>
                <w:sz w:val="22"/>
                <w:szCs w:val="22"/>
                <w:vertAlign w:val="superscript"/>
              </w:rPr>
              <w:fldChar w:fldCharType="separate"/>
            </w:r>
            <w:r w:rsidRPr="00D232B0">
              <w:rPr>
                <w:rFonts w:eastAsia="Times New Roman"/>
                <w:noProof/>
                <w:color w:val="000000"/>
                <w:sz w:val="22"/>
                <w:szCs w:val="22"/>
                <w:vertAlign w:val="superscript"/>
              </w:rPr>
              <w:t>128</w:t>
            </w:r>
            <w:r w:rsidRPr="00815AF3">
              <w:rPr>
                <w:rFonts w:eastAsia="Times New Roman"/>
                <w:color w:val="000000"/>
                <w:sz w:val="22"/>
                <w:szCs w:val="22"/>
              </w:rPr>
              <w:fldChar w:fldCharType="end"/>
            </w:r>
          </w:p>
        </w:tc>
        <w:tc>
          <w:tcPr>
            <w:tcW w:w="15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209DCFEB"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Qualitative</w:t>
            </w:r>
          </w:p>
        </w:tc>
        <w:tc>
          <w:tcPr>
            <w:tcW w:w="223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613E3359"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NA</w:t>
            </w:r>
          </w:p>
        </w:tc>
        <w:tc>
          <w:tcPr>
            <w:tcW w:w="2526"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2A44DA64"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 xml:space="preserve">HCPs  </w:t>
            </w:r>
          </w:p>
        </w:tc>
        <w:tc>
          <w:tcPr>
            <w:tcW w:w="1693"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2E7AE7E0"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Secondary care - clinics</w:t>
            </w:r>
          </w:p>
        </w:tc>
        <w:tc>
          <w:tcPr>
            <w:tcW w:w="2584"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3C1E4308"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Influences on SDM, Other</w:t>
            </w:r>
          </w:p>
        </w:tc>
      </w:tr>
    </w:tbl>
    <w:p w14:paraId="0EEBF50D" w14:textId="77777777" w:rsidR="002421FE" w:rsidRDefault="002421FE" w:rsidP="002421FE">
      <w:r>
        <w:br w:type="page"/>
      </w:r>
    </w:p>
    <w:tbl>
      <w:tblPr>
        <w:tblW w:w="12380" w:type="dxa"/>
        <w:tblInd w:w="-5" w:type="dxa"/>
        <w:tblCellMar>
          <w:top w:w="15" w:type="dxa"/>
          <w:bottom w:w="15" w:type="dxa"/>
        </w:tblCellMar>
        <w:tblLook w:val="04A0" w:firstRow="1" w:lastRow="0" w:firstColumn="1" w:lastColumn="0" w:noHBand="0" w:noVBand="1"/>
      </w:tblPr>
      <w:tblGrid>
        <w:gridCol w:w="1750"/>
        <w:gridCol w:w="1597"/>
        <w:gridCol w:w="2230"/>
        <w:gridCol w:w="2526"/>
        <w:gridCol w:w="1693"/>
        <w:gridCol w:w="2584"/>
      </w:tblGrid>
      <w:tr w:rsidR="002421FE" w:rsidRPr="00815AF3" w14:paraId="48045BFB" w14:textId="77777777" w:rsidTr="00FB1DFE">
        <w:trPr>
          <w:trHeight w:val="525"/>
        </w:trPr>
        <w:tc>
          <w:tcPr>
            <w:tcW w:w="1750" w:type="dxa"/>
            <w:tcBorders>
              <w:top w:val="single" w:sz="4" w:space="0" w:color="auto"/>
              <w:left w:val="single" w:sz="4" w:space="0" w:color="auto"/>
              <w:bottom w:val="single" w:sz="4" w:space="0" w:color="auto"/>
              <w:right w:val="single" w:sz="4" w:space="0" w:color="auto"/>
            </w:tcBorders>
            <w:shd w:val="clear" w:color="000000" w:fill="FFFFFF"/>
            <w:vAlign w:val="bottom"/>
          </w:tcPr>
          <w:p w14:paraId="0D24AED8" w14:textId="77777777" w:rsidR="002421FE" w:rsidRPr="00815AF3" w:rsidRDefault="002421FE" w:rsidP="00FB1DFE">
            <w:pPr>
              <w:spacing w:after="0"/>
              <w:rPr>
                <w:rFonts w:eastAsia="Times New Roman"/>
                <w:color w:val="000000"/>
                <w:sz w:val="22"/>
                <w:szCs w:val="22"/>
              </w:rPr>
            </w:pPr>
            <w:r w:rsidRPr="00815AF3">
              <w:rPr>
                <w:rFonts w:eastAsia="Times New Roman"/>
                <w:b/>
                <w:bCs/>
                <w:color w:val="000000"/>
                <w:sz w:val="22"/>
                <w:szCs w:val="22"/>
              </w:rPr>
              <w:lastRenderedPageBreak/>
              <w:t>Author and year</w:t>
            </w:r>
          </w:p>
        </w:tc>
        <w:tc>
          <w:tcPr>
            <w:tcW w:w="1597" w:type="dxa"/>
            <w:tcBorders>
              <w:top w:val="single" w:sz="4" w:space="0" w:color="auto"/>
              <w:left w:val="single" w:sz="4" w:space="0" w:color="auto"/>
              <w:bottom w:val="single" w:sz="4" w:space="0" w:color="auto"/>
              <w:right w:val="single" w:sz="4" w:space="0" w:color="auto"/>
            </w:tcBorders>
            <w:shd w:val="clear" w:color="000000" w:fill="FFFFFF"/>
            <w:vAlign w:val="bottom"/>
          </w:tcPr>
          <w:p w14:paraId="53545402" w14:textId="77777777" w:rsidR="002421FE" w:rsidRPr="00815AF3" w:rsidRDefault="002421FE" w:rsidP="00FB1DFE">
            <w:pPr>
              <w:spacing w:after="0"/>
              <w:rPr>
                <w:rFonts w:eastAsia="Times New Roman"/>
                <w:color w:val="000000"/>
                <w:sz w:val="22"/>
                <w:szCs w:val="22"/>
              </w:rPr>
            </w:pPr>
            <w:r w:rsidRPr="00815AF3">
              <w:rPr>
                <w:rFonts w:eastAsia="Times New Roman"/>
                <w:b/>
                <w:bCs/>
                <w:color w:val="000000"/>
                <w:sz w:val="22"/>
                <w:szCs w:val="22"/>
              </w:rPr>
              <w:t>If research give type</w:t>
            </w:r>
          </w:p>
        </w:tc>
        <w:tc>
          <w:tcPr>
            <w:tcW w:w="2230" w:type="dxa"/>
            <w:tcBorders>
              <w:top w:val="single" w:sz="4" w:space="0" w:color="auto"/>
              <w:left w:val="single" w:sz="4" w:space="0" w:color="auto"/>
              <w:bottom w:val="single" w:sz="4" w:space="0" w:color="auto"/>
              <w:right w:val="single" w:sz="4" w:space="0" w:color="auto"/>
            </w:tcBorders>
            <w:shd w:val="clear" w:color="000000" w:fill="FFFFFF"/>
            <w:vAlign w:val="bottom"/>
          </w:tcPr>
          <w:p w14:paraId="6527ABC3" w14:textId="77777777" w:rsidR="002421FE" w:rsidRPr="00815AF3" w:rsidRDefault="002421FE" w:rsidP="00FB1DFE">
            <w:pPr>
              <w:spacing w:after="0"/>
              <w:rPr>
                <w:rFonts w:eastAsia="Times New Roman"/>
                <w:color w:val="000000"/>
                <w:sz w:val="22"/>
                <w:szCs w:val="22"/>
              </w:rPr>
            </w:pPr>
            <w:r w:rsidRPr="00815AF3">
              <w:rPr>
                <w:rFonts w:eastAsia="Times New Roman"/>
                <w:b/>
                <w:bCs/>
                <w:color w:val="000000"/>
                <w:sz w:val="22"/>
                <w:szCs w:val="22"/>
              </w:rPr>
              <w:t>Description of intervention</w:t>
            </w:r>
          </w:p>
        </w:tc>
        <w:tc>
          <w:tcPr>
            <w:tcW w:w="2526" w:type="dxa"/>
            <w:tcBorders>
              <w:top w:val="single" w:sz="4" w:space="0" w:color="auto"/>
              <w:left w:val="single" w:sz="4" w:space="0" w:color="auto"/>
              <w:bottom w:val="single" w:sz="4" w:space="0" w:color="auto"/>
              <w:right w:val="single" w:sz="4" w:space="0" w:color="auto"/>
            </w:tcBorders>
            <w:shd w:val="clear" w:color="000000" w:fill="FFFFFF"/>
            <w:vAlign w:val="bottom"/>
          </w:tcPr>
          <w:p w14:paraId="3DF54C47" w14:textId="77777777" w:rsidR="002421FE" w:rsidRPr="00815AF3" w:rsidRDefault="002421FE" w:rsidP="00FB1DFE">
            <w:pPr>
              <w:spacing w:after="0"/>
              <w:rPr>
                <w:rFonts w:eastAsia="Times New Roman"/>
                <w:color w:val="000000"/>
                <w:sz w:val="22"/>
                <w:szCs w:val="22"/>
              </w:rPr>
            </w:pPr>
            <w:r w:rsidRPr="00815AF3">
              <w:rPr>
                <w:rFonts w:eastAsia="Times New Roman"/>
                <w:b/>
                <w:bCs/>
                <w:color w:val="000000"/>
                <w:sz w:val="22"/>
                <w:szCs w:val="22"/>
              </w:rPr>
              <w:t>Participants</w:t>
            </w:r>
          </w:p>
        </w:tc>
        <w:tc>
          <w:tcPr>
            <w:tcW w:w="1693" w:type="dxa"/>
            <w:tcBorders>
              <w:top w:val="single" w:sz="4" w:space="0" w:color="auto"/>
              <w:left w:val="single" w:sz="4" w:space="0" w:color="auto"/>
              <w:bottom w:val="single" w:sz="4" w:space="0" w:color="auto"/>
              <w:right w:val="single" w:sz="4" w:space="0" w:color="auto"/>
            </w:tcBorders>
            <w:shd w:val="clear" w:color="000000" w:fill="FFFFFF"/>
            <w:vAlign w:val="bottom"/>
          </w:tcPr>
          <w:p w14:paraId="067C23FA" w14:textId="77777777" w:rsidR="002421FE" w:rsidRPr="00815AF3" w:rsidRDefault="002421FE" w:rsidP="00FB1DFE">
            <w:pPr>
              <w:spacing w:after="0"/>
              <w:rPr>
                <w:rFonts w:eastAsia="Times New Roman"/>
                <w:color w:val="000000"/>
                <w:sz w:val="22"/>
                <w:szCs w:val="22"/>
              </w:rPr>
            </w:pPr>
            <w:r w:rsidRPr="00815AF3">
              <w:rPr>
                <w:rFonts w:eastAsia="Times New Roman"/>
                <w:b/>
                <w:bCs/>
                <w:color w:val="000000"/>
                <w:sz w:val="22"/>
                <w:szCs w:val="22"/>
              </w:rPr>
              <w:t>Setting</w:t>
            </w:r>
          </w:p>
        </w:tc>
        <w:tc>
          <w:tcPr>
            <w:tcW w:w="2584" w:type="dxa"/>
            <w:tcBorders>
              <w:top w:val="single" w:sz="4" w:space="0" w:color="auto"/>
              <w:left w:val="single" w:sz="4" w:space="0" w:color="auto"/>
              <w:bottom w:val="single" w:sz="4" w:space="0" w:color="auto"/>
              <w:right w:val="single" w:sz="4" w:space="0" w:color="auto"/>
            </w:tcBorders>
            <w:shd w:val="clear" w:color="000000" w:fill="FFFFFF"/>
            <w:vAlign w:val="bottom"/>
          </w:tcPr>
          <w:p w14:paraId="637CDBAD" w14:textId="77777777" w:rsidR="002421FE" w:rsidRPr="00815AF3" w:rsidRDefault="002421FE" w:rsidP="00FB1DFE">
            <w:pPr>
              <w:spacing w:after="0"/>
              <w:rPr>
                <w:rFonts w:eastAsia="Times New Roman"/>
                <w:color w:val="000000"/>
                <w:sz w:val="22"/>
                <w:szCs w:val="22"/>
              </w:rPr>
            </w:pPr>
            <w:proofErr w:type="gramStart"/>
            <w:r w:rsidRPr="00815AF3">
              <w:rPr>
                <w:rFonts w:eastAsia="Times New Roman"/>
                <w:b/>
                <w:bCs/>
                <w:color w:val="000000"/>
                <w:sz w:val="22"/>
                <w:szCs w:val="22"/>
              </w:rPr>
              <w:t>Main focus</w:t>
            </w:r>
            <w:proofErr w:type="gramEnd"/>
          </w:p>
        </w:tc>
      </w:tr>
      <w:tr w:rsidR="002421FE" w:rsidRPr="00815AF3" w14:paraId="41E14262" w14:textId="77777777" w:rsidTr="00FB1DFE">
        <w:trPr>
          <w:trHeight w:val="525"/>
        </w:trPr>
        <w:tc>
          <w:tcPr>
            <w:tcW w:w="175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6A4987BE" w14:textId="77777777" w:rsidR="002421FE" w:rsidRPr="00815AF3" w:rsidRDefault="002421FE" w:rsidP="00FB1DFE">
            <w:pPr>
              <w:spacing w:after="0"/>
              <w:rPr>
                <w:rFonts w:eastAsia="Times New Roman"/>
                <w:color w:val="000000"/>
                <w:sz w:val="22"/>
                <w:szCs w:val="22"/>
              </w:rPr>
            </w:pPr>
            <w:proofErr w:type="spellStart"/>
            <w:r w:rsidRPr="00815AF3">
              <w:rPr>
                <w:rFonts w:eastAsia="Times New Roman"/>
                <w:color w:val="000000"/>
                <w:sz w:val="22"/>
                <w:szCs w:val="22"/>
              </w:rPr>
              <w:t>Bugge</w:t>
            </w:r>
            <w:proofErr w:type="spellEnd"/>
            <w:r w:rsidRPr="00815AF3">
              <w:rPr>
                <w:rFonts w:eastAsia="Times New Roman"/>
                <w:color w:val="000000"/>
                <w:sz w:val="22"/>
                <w:szCs w:val="22"/>
              </w:rPr>
              <w:t xml:space="preserve"> 2006 </w:t>
            </w:r>
            <w:r w:rsidRPr="00815AF3">
              <w:rPr>
                <w:rFonts w:eastAsia="Times New Roman"/>
                <w:color w:val="000000"/>
                <w:sz w:val="22"/>
                <w:szCs w:val="22"/>
              </w:rPr>
              <w:fldChar w:fldCharType="begin" w:fldLock="1"/>
            </w:r>
            <w:r>
              <w:rPr>
                <w:rFonts w:eastAsia="Times New Roman"/>
                <w:color w:val="000000"/>
                <w:sz w:val="22"/>
                <w:szCs w:val="22"/>
              </w:rPr>
              <w:instrText>ADDIN CSL_CITATION { "citationItems" : [ { "id" : "ITEM-1", "itemData" : { "DOI" : "10.1016/j.socscimed.2006.05.010", "abstract" : "Information exchange between patients and health professionals is fundamental to achieving patient participation in decision-making and shared decision-making is said to require the exchange of \"all information relevant to decision-making\". This paper reports on a qualitative investigation of instances in which information that was potentially relevant to decision-making was not exchanged in consultations. Consultations from 5 diverse clinical areas in the UK were video-recorded and the health professionals and patients involved were interviewed separately before and after their consultations. This analysis is based on cases involving 20 patients. It draws on data from their 26-recorded consultations and from the 137 associated interviews. Several strategies were used to identify instances in which patients and/or health professionals did not disclose information that was potentially relevant to decision-making. Analysis focussed on the types of information not disclosed, the reasons that health professionals and patients gave for non-disclosure, and the apparent or potential significance of the non-disclosure. We identified 34 instances of non-disclosure of information relating to the patient's problem and 52 instances of non-disclosure of information relating to treatment or management options. The types of information not disclosed were diverse and the reasons given for non-disclosure varied. Some, but not all, instances of non-disclosure had negative implications for the quality of decision-making and/or the patient's healthcare experience. Our findings have implications for future attempts to examine information exchange in consultations-whether for research or for professional assessment purposes. In particular, they highlight the importance of appraising instances of non-disclosure of information in context and of recognising the limitations of approaches that rely on single consultations and/or single perspectives for assessments of information exchange. \u00a9 2006 Elsevier Ltd. All rights reserved.", "author" : [ { "dropping-particle" : "", "family" : "Bugge", "given" : "C", "non-dropping-particle" : "", "parse-names" : false, "suffix" : "" }, { "dropping-particle" : "", "family" : "Entwistle", "given" : "V A", "non-dropping-particle" : "", "parse-names" : false, "suffix" : "" }, { "dropping-particle" : "", "family" : "Watt", "given" : "I S", "non-dropping-particle" : "", "parse-names" : false, "suffix" : "" } ], "container-title" : "Social Science and Medicine", "id" : "ITEM-1", "issue" : "8", "issued" : { "date-parts" : [ [ "2006" ] ] }, "note" : "Cited By :30\nExport Date: 12 December 2016", "page" : "2065-2078", "title" : "The significance for decision-making of information that is not exchanged by patients and health professionals during consultations", "type" : "article-journal", "volume" : "63" }, "uris" : [ "http://www.mendeley.com/documents/?uuid=e1cc1800-4ade-4663-8cb4-0d7322cfd541" ] } ], "mendeley" : { "formattedCitation" : "&lt;sup&gt;129&lt;/sup&gt;", "plainTextFormattedCitation" : "129", "previouslyFormattedCitation" : "&lt;sup&gt;129&lt;/sup&gt;" }, "properties" : { "noteIndex" : 0 }, "schema" : "https://github.com/citation-style-language/schema/raw/master/csl-citation.json" }</w:instrText>
            </w:r>
            <w:r w:rsidRPr="00815AF3">
              <w:rPr>
                <w:rFonts w:eastAsia="Times New Roman"/>
                <w:color w:val="000000"/>
                <w:sz w:val="22"/>
                <w:szCs w:val="22"/>
                <w:vertAlign w:val="superscript"/>
              </w:rPr>
              <w:fldChar w:fldCharType="separate"/>
            </w:r>
            <w:r w:rsidRPr="00D232B0">
              <w:rPr>
                <w:rFonts w:eastAsia="Times New Roman"/>
                <w:noProof/>
                <w:color w:val="000000"/>
                <w:sz w:val="22"/>
                <w:szCs w:val="22"/>
                <w:vertAlign w:val="superscript"/>
              </w:rPr>
              <w:t>129</w:t>
            </w:r>
            <w:r w:rsidRPr="00815AF3">
              <w:rPr>
                <w:rFonts w:eastAsia="Times New Roman"/>
                <w:color w:val="000000"/>
                <w:sz w:val="22"/>
                <w:szCs w:val="22"/>
              </w:rPr>
              <w:fldChar w:fldCharType="end"/>
            </w:r>
          </w:p>
        </w:tc>
        <w:tc>
          <w:tcPr>
            <w:tcW w:w="15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21E982E1"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Qualitative</w:t>
            </w:r>
          </w:p>
        </w:tc>
        <w:tc>
          <w:tcPr>
            <w:tcW w:w="223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164EB913"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NA</w:t>
            </w:r>
          </w:p>
        </w:tc>
        <w:tc>
          <w:tcPr>
            <w:tcW w:w="2526"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651EBE61"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General population, HCPs</w:t>
            </w:r>
          </w:p>
        </w:tc>
        <w:tc>
          <w:tcPr>
            <w:tcW w:w="1693"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677A7D15"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Community including outpatients</w:t>
            </w:r>
          </w:p>
        </w:tc>
        <w:tc>
          <w:tcPr>
            <w:tcW w:w="2584"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611D7368"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Barriers to SDM</w:t>
            </w:r>
          </w:p>
        </w:tc>
      </w:tr>
      <w:tr w:rsidR="002421FE" w:rsidRPr="00815AF3" w14:paraId="1DA3751E" w14:textId="77777777" w:rsidTr="00FB1DFE">
        <w:trPr>
          <w:trHeight w:val="300"/>
        </w:trPr>
        <w:tc>
          <w:tcPr>
            <w:tcW w:w="175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79BC8F20"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 xml:space="preserve">Bynum 2014 </w:t>
            </w:r>
            <w:r w:rsidRPr="00815AF3">
              <w:rPr>
                <w:rFonts w:eastAsia="Times New Roman"/>
                <w:color w:val="000000"/>
                <w:sz w:val="22"/>
                <w:szCs w:val="22"/>
              </w:rPr>
              <w:fldChar w:fldCharType="begin" w:fldLock="1"/>
            </w:r>
            <w:r>
              <w:rPr>
                <w:rFonts w:eastAsia="Times New Roman"/>
                <w:color w:val="000000"/>
                <w:sz w:val="22"/>
                <w:szCs w:val="22"/>
              </w:rPr>
              <w:instrText>ADDIN CSL_CITATION { "citationItems" : [ { "id" : "ITEM-1", "itemData" : { "DOI" : "10.1021/nl061786n.Core-Shell", "ISBN" : "0009-2665", "ISSN" : "00092665", "PMID" : "19772347", "author" : [ { "dropping-particle" : "", "family" : "Bynum, J; Barre L; Reed Catherine", "given" : "Passow H.", "non-dropping-particle" : "", "parse-names" : false, "suffix" : "" } ], "container-title" : "Med Decis Making", "id" : "ITEM-1", "issue" : "2", "issued" : { "date-parts" : [ [ "2014" ] ] }, "page" : "216-230", "title" : "Participation of very old adults in healthcare decisions", "type" : "article-journal", "volume" : "34" }, "uris" : [ "http://www.mendeley.com/documents/?uuid=53bc07a0-a399-45d4-933e-f15e32d6f7f3" ] } ], "mendeley" : { "formattedCitation" : "&lt;sup&gt;130&lt;/sup&gt;", "plainTextFormattedCitation" : "130", "previouslyFormattedCitation" : "&lt;sup&gt;130&lt;/sup&gt;" }, "properties" : { "noteIndex" : 0 }, "schema" : "https://github.com/citation-style-language/schema/raw/master/csl-citation.json" }</w:instrText>
            </w:r>
            <w:r w:rsidRPr="00815AF3">
              <w:rPr>
                <w:rFonts w:eastAsia="Times New Roman"/>
                <w:color w:val="000000"/>
                <w:sz w:val="22"/>
                <w:szCs w:val="22"/>
                <w:vertAlign w:val="superscript"/>
              </w:rPr>
              <w:fldChar w:fldCharType="separate"/>
            </w:r>
            <w:r w:rsidRPr="00D232B0">
              <w:rPr>
                <w:rFonts w:eastAsia="Times New Roman"/>
                <w:noProof/>
                <w:color w:val="000000"/>
                <w:sz w:val="22"/>
                <w:szCs w:val="22"/>
                <w:vertAlign w:val="superscript"/>
              </w:rPr>
              <w:t>130</w:t>
            </w:r>
            <w:r w:rsidRPr="00815AF3">
              <w:rPr>
                <w:rFonts w:eastAsia="Times New Roman"/>
                <w:color w:val="000000"/>
                <w:sz w:val="22"/>
                <w:szCs w:val="22"/>
              </w:rPr>
              <w:fldChar w:fldCharType="end"/>
            </w:r>
          </w:p>
        </w:tc>
        <w:tc>
          <w:tcPr>
            <w:tcW w:w="15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51CBC38C"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Qualitative</w:t>
            </w:r>
          </w:p>
        </w:tc>
        <w:tc>
          <w:tcPr>
            <w:tcW w:w="223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1119B4B1"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NA</w:t>
            </w:r>
          </w:p>
        </w:tc>
        <w:tc>
          <w:tcPr>
            <w:tcW w:w="2526"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2235B42F"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Older people</w:t>
            </w:r>
          </w:p>
        </w:tc>
        <w:tc>
          <w:tcPr>
            <w:tcW w:w="1693"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014E264D"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Community</w:t>
            </w:r>
          </w:p>
        </w:tc>
        <w:tc>
          <w:tcPr>
            <w:tcW w:w="2584"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2E20066E"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Pt/carer views or preferences</w:t>
            </w:r>
          </w:p>
        </w:tc>
      </w:tr>
      <w:tr w:rsidR="002421FE" w:rsidRPr="00815AF3" w14:paraId="0EDC135E" w14:textId="77777777" w:rsidTr="00FB1DFE">
        <w:trPr>
          <w:trHeight w:val="300"/>
        </w:trPr>
        <w:tc>
          <w:tcPr>
            <w:tcW w:w="17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2D0C5FF"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 xml:space="preserve">Chong 2013b </w:t>
            </w:r>
            <w:r w:rsidRPr="00815AF3">
              <w:rPr>
                <w:rFonts w:eastAsia="Times New Roman"/>
                <w:color w:val="000000"/>
                <w:sz w:val="22"/>
                <w:szCs w:val="22"/>
              </w:rPr>
              <w:fldChar w:fldCharType="begin" w:fldLock="1"/>
            </w:r>
            <w:r>
              <w:rPr>
                <w:rFonts w:eastAsia="Times New Roman"/>
                <w:color w:val="000000"/>
                <w:sz w:val="22"/>
                <w:szCs w:val="22"/>
              </w:rPr>
              <w:instrText>ADDIN CSL_CITATION { "citationItems" : [ { "id" : "ITEM-1", "itemData" : { "DOI" : "10.3109/13561820.2013.785503", "ISBN" : "1356-1820", "ISSN" : "1469-9567", "PMID" : "23679672", "abstract" : "Shared decision-making and interprofessional collaboration are important approaches to achieving consumer-centered care. The concept of shared decision-making has been expanded recently to include the interprofessional healthcare team. This study explored healthcare providers' perceptions of barriers and facilitators to both shared decision-making and interprofessional collaboration in mental healthcare. Semi-structured interviews were conducted with 31 healthcare providers, including medical practitioners (psychiatrists, general practitioners), pharmacists, nurses, occupational therapists, psychologists and social workers. Healthcare providers identified several factors as barriers to, and facilitators of shared decision-making that could be categorized into three major themes: factors associated with mental health consumers, factors associated with healthcare providers and factors associated with healthcare service delivery. Consumers' lack of competence to participate was frequently perceived by mental health specialty providers to be a primary barrier to shared decision-making, while information provision on illness and treatment to consumers was cited by healthcare providers from all professions to be an important facilitator of shared decision-making. Whilst healthcare providers perceived interprofessional collaboration to be influenced by healthcare provider, environmental and systemic factors, emphasis of the factors differed among healthcare providers. To facilitate interprofessional collaboration, mental health specialty providers emphasized the importance of improving mental health expertise among general practitioners and community pharmacists, whereas general health providers were of the opinion that information sharing between providers and healthcare settings was the key. The findings of this study suggest that changes may be necessary at several levels (i.e. consumer, provider and environment) to implement effective shared decision-making and interprofessional collaboration in mental healthcare.", "author" : [ { "dropping-particle" : "", "family" : "Chong", "given" : "Wei Wen", "non-dropping-particle" : "", "parse-names" : false, "suffix" : "" }, { "dropping-particle" : "", "family" : "Aslani", "given" : "Parisa", "non-dropping-particle" : "", "parse-names" : false, "suffix" : "" }, { "dropping-particle" : "", "family" : "Chen", "given" : "Timothy F", "non-dropping-particle" : "", "parse-names" : false, "suffix" : "" } ], "container-title" : "Journal of interprofessional care", "id" : "ITEM-1", "issue" : "5", "issued" : { "date-parts" : [ [ "2013" ] ] }, "page" : "373-9", "title" : "Shared decision-making and interprofessional collaboration in mental healthcare: a qualitative study exploring perceptions of barriers and facilitators.", "type" : "article-journal", "volume" : "27" }, "uris" : [ "http://www.mendeley.com/documents/?uuid=40bb5660-4a9e-48fc-89a4-3c49089d3b53" ] } ], "mendeley" : { "formattedCitation" : "&lt;sup&gt;131&lt;/sup&gt;", "plainTextFormattedCitation" : "131", "previouslyFormattedCitation" : "&lt;sup&gt;131&lt;/sup&gt;" }, "properties" : { "noteIndex" : 0 }, "schema" : "https://github.com/citation-style-language/schema/raw/master/csl-citation.json" }</w:instrText>
            </w:r>
            <w:r w:rsidRPr="00815AF3">
              <w:rPr>
                <w:rFonts w:eastAsia="Times New Roman"/>
                <w:color w:val="000000"/>
                <w:sz w:val="22"/>
                <w:szCs w:val="22"/>
                <w:vertAlign w:val="superscript"/>
              </w:rPr>
              <w:fldChar w:fldCharType="separate"/>
            </w:r>
            <w:r w:rsidRPr="00D232B0">
              <w:rPr>
                <w:rFonts w:eastAsia="Times New Roman"/>
                <w:noProof/>
                <w:color w:val="000000"/>
                <w:sz w:val="22"/>
                <w:szCs w:val="22"/>
                <w:vertAlign w:val="superscript"/>
              </w:rPr>
              <w:t>131</w:t>
            </w:r>
            <w:r w:rsidRPr="00815AF3">
              <w:rPr>
                <w:rFonts w:eastAsia="Times New Roman"/>
                <w:color w:val="000000"/>
                <w:sz w:val="22"/>
                <w:szCs w:val="22"/>
              </w:rPr>
              <w:fldChar w:fldCharType="end"/>
            </w:r>
          </w:p>
        </w:tc>
        <w:tc>
          <w:tcPr>
            <w:tcW w:w="159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E488B69"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Qualitative</w:t>
            </w:r>
          </w:p>
        </w:tc>
        <w:tc>
          <w:tcPr>
            <w:tcW w:w="223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0190D15"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NA</w:t>
            </w:r>
          </w:p>
        </w:tc>
        <w:tc>
          <w:tcPr>
            <w:tcW w:w="25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C1796D3"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HCPs</w:t>
            </w:r>
          </w:p>
        </w:tc>
        <w:tc>
          <w:tcPr>
            <w:tcW w:w="1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001FF56"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Primary &amp; secondary care</w:t>
            </w:r>
          </w:p>
        </w:tc>
        <w:tc>
          <w:tcPr>
            <w:tcW w:w="258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7AD4FD3"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Interprofessional SDM</w:t>
            </w:r>
          </w:p>
        </w:tc>
      </w:tr>
      <w:tr w:rsidR="002421FE" w:rsidRPr="00815AF3" w14:paraId="06B42D5E" w14:textId="77777777" w:rsidTr="00FB1DFE">
        <w:trPr>
          <w:trHeight w:val="525"/>
        </w:trPr>
        <w:tc>
          <w:tcPr>
            <w:tcW w:w="17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BDFBC17"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 xml:space="preserve">Chong et al 2013 </w:t>
            </w:r>
            <w:r w:rsidRPr="00815AF3">
              <w:rPr>
                <w:rFonts w:eastAsia="Times New Roman"/>
                <w:color w:val="000000"/>
                <w:sz w:val="22"/>
                <w:szCs w:val="22"/>
              </w:rPr>
              <w:fldChar w:fldCharType="begin" w:fldLock="1"/>
            </w:r>
            <w:r>
              <w:rPr>
                <w:rFonts w:eastAsia="Times New Roman"/>
                <w:color w:val="000000"/>
                <w:sz w:val="22"/>
                <w:szCs w:val="22"/>
              </w:rPr>
              <w:instrText>ADDIN CSL_CITATION { "citationItems" : [ { "id" : "ITEM-1", "itemData" : { "DOI" : "10.3109/13561820.2013.767225", "ISBN" : "1356-1820", "ISSN" : "1469-9567", "PMID" : "23421345", "abstract" : "Shared decision-making is an essential element of patient-centered care in mental health. Since mental health services involve healthcare providers from different professions, a multiple perspective to shared decision-making may be valuable. The objective of this study was to explore the perceptions of different healthcare professionals on shared decision-making and current interprofessional collaboration in mental healthcare. Semi-structured interviews were conducted with 31 healthcare providers from a range of professions, which included medical practitioners (psychiatrists, general practitioners), pharmacists, nurses, occupational therapists, psychologists and social workers. Findings indicated that healthcare providers supported the notion of shared decision-making in mental health, but felt that it should be condition dependent. Medical practitioners advocated a more active participation from consumers in treatment decision-making; whereas other providers (e.g. pharmacists, occupational therapists) focused more toward acknowledging consumers' needs in decisions, perceiving themselves to be in an advisory role in supporting consumers' decision-making. Although healthcare providers acknowledged the importance of interprofessional collaboration, only a minority discussed it within the context of shared decision-making. In conclusion, healthcare providers appeared to have differing perceptions on the level of consumer involvement in shared decision-making. Interprofessional roles to facilitate shared decision-making in mental health need to be acknowledged, understood and strengthened, before an interprofessional approach to shared decision-making in mental health can be effectively implemented.", "author" : [ { "dropping-particle" : "", "family" : "Chong", "given" : "Wei Wen", "non-dropping-particle" : "", "parse-names" : false, "suffix" : "" }, { "dropping-particle" : "", "family" : "Aslani", "given" : "Parisa", "non-dropping-particle" : "", "parse-names" : false, "suffix" : "" }, { "dropping-particle" : "", "family" : "Chen", "given" : "Timothy F", "non-dropping-particle" : "", "parse-names" : false, "suffix" : "" } ], "container-title" : "Journal of interprofessional care", "id" : "ITEM-1", "issue" : "3", "issued" : { "date-parts" : [ [ "2013" ] ] }, "page" : "223-30", "title" : "Multiple perspectives on shared decision-making and interprofessional collaboration in mental healthcare.", "type" : "article-journal", "volume" : "27" }, "uris" : [ "http://www.mendeley.com/documents/?uuid=e2e3315d-b905-4ff5-ac84-ae6337ddc05a" ] } ], "mendeley" : { "formattedCitation" : "&lt;sup&gt;132&lt;/sup&gt;", "plainTextFormattedCitation" : "132", "previouslyFormattedCitation" : "&lt;sup&gt;132&lt;/sup&gt;" }, "properties" : { "noteIndex" : 0 }, "schema" : "https://github.com/citation-style-language/schema/raw/master/csl-citation.json" }</w:instrText>
            </w:r>
            <w:r w:rsidRPr="00815AF3">
              <w:rPr>
                <w:rFonts w:eastAsia="Times New Roman"/>
                <w:color w:val="000000"/>
                <w:sz w:val="22"/>
                <w:szCs w:val="22"/>
                <w:vertAlign w:val="superscript"/>
              </w:rPr>
              <w:fldChar w:fldCharType="separate"/>
            </w:r>
            <w:r w:rsidRPr="00D232B0">
              <w:rPr>
                <w:rFonts w:eastAsia="Times New Roman"/>
                <w:noProof/>
                <w:color w:val="000000"/>
                <w:sz w:val="22"/>
                <w:szCs w:val="22"/>
                <w:vertAlign w:val="superscript"/>
              </w:rPr>
              <w:t>132</w:t>
            </w:r>
            <w:r w:rsidRPr="00815AF3">
              <w:rPr>
                <w:rFonts w:eastAsia="Times New Roman"/>
                <w:color w:val="000000"/>
                <w:sz w:val="22"/>
                <w:szCs w:val="22"/>
              </w:rPr>
              <w:fldChar w:fldCharType="end"/>
            </w:r>
          </w:p>
        </w:tc>
        <w:tc>
          <w:tcPr>
            <w:tcW w:w="159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13F8803"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Qualitative</w:t>
            </w:r>
          </w:p>
        </w:tc>
        <w:tc>
          <w:tcPr>
            <w:tcW w:w="223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D51A3C5"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NA</w:t>
            </w:r>
          </w:p>
        </w:tc>
        <w:tc>
          <w:tcPr>
            <w:tcW w:w="25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0049DC1"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HSCPs (multidisciplinary)</w:t>
            </w:r>
          </w:p>
        </w:tc>
        <w:tc>
          <w:tcPr>
            <w:tcW w:w="1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C2498C7"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Primary &amp; secondary care</w:t>
            </w:r>
          </w:p>
        </w:tc>
        <w:tc>
          <w:tcPr>
            <w:tcW w:w="258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305F5D1"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Interprofessional SDM</w:t>
            </w:r>
          </w:p>
        </w:tc>
      </w:tr>
      <w:tr w:rsidR="002421FE" w:rsidRPr="00815AF3" w14:paraId="1F05BCDF" w14:textId="77777777" w:rsidTr="00FB1DFE">
        <w:trPr>
          <w:trHeight w:val="300"/>
        </w:trPr>
        <w:tc>
          <w:tcPr>
            <w:tcW w:w="175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93D2BD7" w14:textId="77777777" w:rsidR="002421FE" w:rsidRPr="00815AF3" w:rsidRDefault="002421FE" w:rsidP="00FB1DFE">
            <w:pPr>
              <w:spacing w:after="0"/>
              <w:rPr>
                <w:rFonts w:eastAsia="Times New Roman"/>
                <w:color w:val="000000"/>
                <w:sz w:val="22"/>
                <w:szCs w:val="22"/>
              </w:rPr>
            </w:pPr>
            <w:proofErr w:type="spellStart"/>
            <w:r w:rsidRPr="00815AF3">
              <w:rPr>
                <w:rFonts w:eastAsia="Times New Roman"/>
                <w:color w:val="000000"/>
                <w:sz w:val="22"/>
                <w:szCs w:val="22"/>
              </w:rPr>
              <w:t>Clayman</w:t>
            </w:r>
            <w:proofErr w:type="spellEnd"/>
            <w:r w:rsidRPr="00815AF3">
              <w:rPr>
                <w:rFonts w:eastAsia="Times New Roman"/>
                <w:color w:val="000000"/>
                <w:sz w:val="22"/>
                <w:szCs w:val="22"/>
              </w:rPr>
              <w:t xml:space="preserve"> 2016 </w:t>
            </w:r>
            <w:r w:rsidRPr="00815AF3">
              <w:rPr>
                <w:rFonts w:eastAsia="Times New Roman"/>
                <w:color w:val="000000"/>
                <w:sz w:val="22"/>
                <w:szCs w:val="22"/>
              </w:rPr>
              <w:fldChar w:fldCharType="begin" w:fldLock="1"/>
            </w:r>
            <w:r>
              <w:rPr>
                <w:rFonts w:eastAsia="Times New Roman"/>
                <w:color w:val="000000"/>
                <w:sz w:val="22"/>
                <w:szCs w:val="22"/>
              </w:rPr>
              <w:instrText>ADDIN CSL_CITATION { "citationItems" : [ { "id" : "ITEM-1", "itemData" : { "DOI" : "10.1016/j.pec.2016.10.016", "ISSN" : "07383991", "abstract" : "Interest in shared decision making (SDM) has increased and become widely promoted. However, from both practical and measurement perspectives, SDM\u2019s origin as an outgrowth of patient autonomy has resulted in narrowly conceptualizing and operationalizing decision making. The narrow focus on individual patient autonomy fails in four main ways: 1) excluding several facets of the roles, actions, and influences of decision partners in decision making; 2) focusing solely on the medical encounter; 3) ignoring the informational environment to which patients have access; and 4) treating each encounter as independent of all others. In addition to creating a research agenda that could answer important outstanding questions about how decisions are made and the consequences thereof, reconceiving SDM as centered on the person rather than the medical encounter has the potential to transform how illness is experienced by patients and families and how clinicians find meaning in their work.", "author" : [ { "dropping-particle" : "", "family" : "Clayman", "given" : "Marla L.", "non-dropping-particle" : "", "parse-names" : false, "suffix" : "" }, { "dropping-particle" : "", "family" : "Gulbrandsen", "given" : "P\u00e5l", "non-dropping-particle" : "", "parse-names" : false, "suffix" : "" }, { "dropping-particle" : "", "family" : "Morris", "given" : "Megan A.", "non-dropping-particle" : "", "parse-names" : false, "suffix" : "" } ], "container-title" : "Patient Education and Counseling", "id" : "ITEM-1", "issue" : "3", "issued" : { "date-parts" : [ [ "2016" ] ] }, "page" : "600-604", "publisher" : "Elsevier Ireland Ltd", "title" : "A patient in the clinic; a person in the world. Why shared decision making needs to center on the person rather than the medical encounter", "type" : "article-journal", "volume" : "100" }, "uris" : [ "http://www.mendeley.com/documents/?uuid=3276bc99-e8a8-4cee-adcf-f30eefd0bdd3" ] } ], "mendeley" : { "formattedCitation" : "&lt;sup&gt;177&lt;/sup&gt;", "plainTextFormattedCitation" : "177", "previouslyFormattedCitation" : "&lt;sup&gt;177&lt;/sup&gt;" }, "properties" : { "noteIndex" : 0 }, "schema" : "https://github.com/citation-style-language/schema/raw/master/csl-citation.json" }</w:instrText>
            </w:r>
            <w:r w:rsidRPr="00815AF3">
              <w:rPr>
                <w:rFonts w:eastAsia="Times New Roman"/>
                <w:color w:val="000000"/>
                <w:sz w:val="22"/>
                <w:szCs w:val="22"/>
                <w:vertAlign w:val="superscript"/>
              </w:rPr>
              <w:fldChar w:fldCharType="separate"/>
            </w:r>
            <w:r w:rsidRPr="00D232B0">
              <w:rPr>
                <w:rFonts w:eastAsia="Times New Roman"/>
                <w:noProof/>
                <w:color w:val="000000"/>
                <w:sz w:val="22"/>
                <w:szCs w:val="22"/>
                <w:vertAlign w:val="superscript"/>
              </w:rPr>
              <w:t>177</w:t>
            </w:r>
            <w:r w:rsidRPr="00815AF3">
              <w:rPr>
                <w:rFonts w:eastAsia="Times New Roman"/>
                <w:color w:val="000000"/>
                <w:sz w:val="22"/>
                <w:szCs w:val="22"/>
              </w:rPr>
              <w:fldChar w:fldCharType="end"/>
            </w:r>
          </w:p>
        </w:tc>
        <w:tc>
          <w:tcPr>
            <w:tcW w:w="15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AC7B5E4"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Discussion</w:t>
            </w:r>
          </w:p>
        </w:tc>
        <w:tc>
          <w:tcPr>
            <w:tcW w:w="223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6A99BD0C"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NA</w:t>
            </w:r>
          </w:p>
        </w:tc>
        <w:tc>
          <w:tcPr>
            <w:tcW w:w="2526"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26F671AB"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NA</w:t>
            </w:r>
          </w:p>
        </w:tc>
        <w:tc>
          <w:tcPr>
            <w:tcW w:w="1693"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57736DB5"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NA</w:t>
            </w:r>
          </w:p>
        </w:tc>
        <w:tc>
          <w:tcPr>
            <w:tcW w:w="2584"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0244A8A0"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Pt perspective of SDM</w:t>
            </w:r>
          </w:p>
        </w:tc>
      </w:tr>
      <w:tr w:rsidR="002421FE" w:rsidRPr="00815AF3" w14:paraId="630B1A99" w14:textId="77777777" w:rsidTr="00FB1DFE">
        <w:trPr>
          <w:trHeight w:val="300"/>
        </w:trPr>
        <w:tc>
          <w:tcPr>
            <w:tcW w:w="175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3A2B7A13"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 xml:space="preserve">Col 2011 </w:t>
            </w:r>
            <w:r w:rsidRPr="00815AF3">
              <w:rPr>
                <w:rFonts w:eastAsia="Times New Roman"/>
                <w:color w:val="000000"/>
                <w:sz w:val="22"/>
                <w:szCs w:val="22"/>
              </w:rPr>
              <w:fldChar w:fldCharType="begin" w:fldLock="1"/>
            </w:r>
            <w:r>
              <w:rPr>
                <w:rFonts w:eastAsia="Times New Roman"/>
                <w:color w:val="000000"/>
                <w:sz w:val="22"/>
                <w:szCs w:val="22"/>
              </w:rPr>
              <w:instrText>ADDIN CSL_CITATION { "citationItems" : [ { "id" : "ITEM-1", "itemData" : { "DOI" : "10.3109/13561820.2011.619071", "abstract" : "With an increasingly complex array of interventions facing healthcare professionals and patients, coupled with a potentially diverse number of professionals operating within the primary care team, the adoption of shared decision making (SDM)-with or without patients' decision aids-in an interprofessional manner is essential to ensure the highest quality of care for patients. In this article, we propose a framework for interprofessional education about SDM targeted to primary care settings. Five areas of knowledge and skills were agreed to be essential for all relevant stakeholders for interprofessional education in SDM to be successful: understanding the concept of SDM; acquiring relevant communication skills to facilitate SDM; understanding interprofessional sensitivities; understanding the roles of different professions within the relevant primary care group; and acquiring relevant skills to implement SDM. We suggest a series of teaching methods for the aforementioned areas, using principles from adult learning. \u00a9 2011 Informa UK, Ltd.", "author" : [ { "dropping-particle" : "", "family" : "Col", "given" : "N", "non-dropping-particle" : "", "parse-names" : false, "suffix" : "" }, { "dropping-particle" : "", "family" : "Bozzuto", "given" : "L", "non-dropping-particle" : "", "parse-names" : false, "suffix" : "" }, { "dropping-particle" : "", "family" : "Kirkegaard", "given" : "P", "non-dropping-particle" : "", "parse-names" : false, "suffix" : "" }, { "dropping-particle" : "", "family" : "Koelewijnvan Loon", "given" : "M", "non-dropping-particle" : "", "parse-names" : false, "suffix" : "" }, { "dropping-particle" : "", "family" : "Majeed", "given" : "H", "non-dropping-particle" : "", "parse-names" : false, "suffix" : "" }, { "dropping-particle" : "", "family" : "Jen Ng", "given" : "C", "non-dropping-particle" : "", "parse-names" : false, "suffix" : "" }, { "dropping-particle" : "", "family" : "Pacheco-Huergo", "given" : "V", "non-dropping-particle" : "", "parse-names" : false, "suffix" : "" } ], "container-title" : "Journal of Interprofessional Care", "id" : "ITEM-1", "issue" : "6", "issued" : { "date-parts" : [ [ "2011" ] ] }, "note" : "Cited By :12\nExport Date: 12 December 2016", "page" : "409-415", "title" : "Interprofessional education about shared decision making for patients in primary care settings", "type" : "article-journal", "volume" : "25" }, "uris" : [ "http://www.mendeley.com/documents/?uuid=df95ecc6-eb03-4798-ac31-cd110b9d5c4b" ] } ], "mendeley" : { "formattedCitation" : "&lt;sup&gt;133&lt;/sup&gt;", "plainTextFormattedCitation" : "133", "previouslyFormattedCitation" : "&lt;sup&gt;133&lt;/sup&gt;" }, "properties" : { "noteIndex" : 0 }, "schema" : "https://github.com/citation-style-language/schema/raw/master/csl-citation.json" }</w:instrText>
            </w:r>
            <w:r w:rsidRPr="00815AF3">
              <w:rPr>
                <w:rFonts w:eastAsia="Times New Roman"/>
                <w:color w:val="000000"/>
                <w:sz w:val="22"/>
                <w:szCs w:val="22"/>
                <w:vertAlign w:val="superscript"/>
              </w:rPr>
              <w:fldChar w:fldCharType="separate"/>
            </w:r>
            <w:r w:rsidRPr="00D232B0">
              <w:rPr>
                <w:rFonts w:eastAsia="Times New Roman"/>
                <w:noProof/>
                <w:color w:val="000000"/>
                <w:sz w:val="22"/>
                <w:szCs w:val="22"/>
                <w:vertAlign w:val="superscript"/>
              </w:rPr>
              <w:t>133</w:t>
            </w:r>
            <w:r w:rsidRPr="00815AF3">
              <w:rPr>
                <w:rFonts w:eastAsia="Times New Roman"/>
                <w:color w:val="000000"/>
                <w:sz w:val="22"/>
                <w:szCs w:val="22"/>
              </w:rPr>
              <w:fldChar w:fldCharType="end"/>
            </w:r>
          </w:p>
        </w:tc>
        <w:tc>
          <w:tcPr>
            <w:tcW w:w="15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30F70B30"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Discussion</w:t>
            </w:r>
          </w:p>
        </w:tc>
        <w:tc>
          <w:tcPr>
            <w:tcW w:w="223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1074F394"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NA</w:t>
            </w:r>
          </w:p>
        </w:tc>
        <w:tc>
          <w:tcPr>
            <w:tcW w:w="2526"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71B11EA6"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HCPs</w:t>
            </w:r>
          </w:p>
        </w:tc>
        <w:tc>
          <w:tcPr>
            <w:tcW w:w="1693"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32F1B4C0"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Primary care</w:t>
            </w:r>
          </w:p>
        </w:tc>
        <w:tc>
          <w:tcPr>
            <w:tcW w:w="2584"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7DAFF9B2"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Interprofessional SDM</w:t>
            </w:r>
          </w:p>
        </w:tc>
      </w:tr>
      <w:tr w:rsidR="002421FE" w:rsidRPr="00815AF3" w14:paraId="6B895141" w14:textId="77777777" w:rsidTr="00FB1DFE">
        <w:trPr>
          <w:trHeight w:val="300"/>
        </w:trPr>
        <w:tc>
          <w:tcPr>
            <w:tcW w:w="175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3C084004"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 xml:space="preserve">Cooper 2016 </w:t>
            </w:r>
            <w:r w:rsidRPr="00815AF3">
              <w:rPr>
                <w:rFonts w:eastAsia="Times New Roman"/>
                <w:color w:val="000000"/>
                <w:sz w:val="22"/>
                <w:szCs w:val="22"/>
              </w:rPr>
              <w:fldChar w:fldCharType="begin" w:fldLock="1"/>
            </w:r>
            <w:r>
              <w:rPr>
                <w:rFonts w:eastAsia="Times New Roman"/>
                <w:color w:val="000000"/>
                <w:sz w:val="22"/>
                <w:szCs w:val="22"/>
              </w:rPr>
              <w:instrText>ADDIN CSL_CITATION { "citationItems" : [ { "id" : "ITEM-1", "itemData" : { "ISSN" : "0003-4932", "abstract" : "Objective: To address the need for improved communication practices to facilitate goal-concordant care in seriously ill, older patients with surgical emergencies. Summary Background Data: Improved communication is increasingly recognized as a central element in providing goal-concordant care and reducing health care utilization and costs among seriously ill older patients. Given high rates of surgery in the last weeks of life, high risk of poor outcomes after emergency operations in these patients, and barriers to quality communication in the acute setting, we sought to create a framework to support surgeons in communicating with seriously ill, older patients with surgical emergencies. Methods: An interdisciplinary panel of 23 national leaders was convened for a 1-day conference at Harvard Medical School to provide input on concept, content, format, and usability of a communication framework. A prototype framework was created. Results: Participants supported the concept of a structured approach to communication in these scenarios, and delineated 9 key elements of a framework: (1) formulating prognosis, (2) creating a personal connection, (3) disclosing information regarding the acute problem in the context of the underlying illness, (4) establishing a shared understanding of the patient's condition, (5) allowing silence and dealing with emotion, (6) describing surgical and palliative treatment options, (7) eliciting patient's goals and priorities, (8) making a treatment recommendation, and (9) affirming ongoing support for the patient and family. Conclusions: Communication with seriously ill patients in the acute setting is difficult. The proposed communication framework may assist surgeons in delivering goal-concordant care for high-risk patients.", "author" : [ { "dropping-particle" : "", "family" : "Cooper", "given" : "Zara", "non-dropping-particle" : "", "parse-names" : false, "suffix" : "" }, { "dropping-particle" : "", "family" : "Koritsanszky", "given" : "Luca A", "non-dropping-particle" : "", "parse-names" : false, "suffix" : "" }, { "dropping-particle" : "", "family" : "Cauley", "given" : "Christy E", "non-dropping-particle" : "", "parse-names" : false, "suffix" : "" }, { "dropping-particle" : "", "family" : "Frydman", "given" : "Julia L", "non-dropping-particle" : "", "parse-names" : false, "suffix" : "" }, { "dropping-particle" : "", "family" : "Bernacki", "given" : "Rachelle E", "non-dropping-particle" : "", "parse-names" : false, "suffix" : "" }, { "dropping-particle" : "", "family" : "Mosenthal", "given" : "Anne C", "non-dropping-particle" : "", "parse-names" : false, "suffix" : "" }, { "dropping-particle" : "", "family" : "Gawande", "given" : "Atul A", "non-dropping-particle" : "", "parse-names" : false, "suffix" : "" }, { "dropping-particle" : "", "family" : "Block", "given" : "Susan D", "non-dropping-particle" : "", "parse-names" : false, "suffix" : "" } ], "container-title" : "Annals of Surgery", "id" : "ITEM-1", "issue" : "1", "issued" : { "date-parts" : [ [ "2016" ] ] }, "note" : "Incl - reports high level clinician discussion of SDM which produced a framework of 9 key elements including dealing with emotional response.\n[Full text requested via research Gate]\n\nNotes created on 'searchable' version of this document.", "title" : "Recommendations for Best Communication Practices to Facilitate Goal-concordant Care for Seriously Ill Older Patients With Emergency Surgical Conditions", "type" : "article-journal", "volume" : "263" }, "uris" : [ "http://www.mendeley.com/documents/?uuid=f3eb8cfa-e593-484f-9a0c-4a1f855acaff" ] } ], "mendeley" : { "formattedCitation" : "&lt;sup&gt;178&lt;/sup&gt;", "plainTextFormattedCitation" : "178", "previouslyFormattedCitation" : "&lt;sup&gt;178&lt;/sup&gt;" }, "properties" : { "noteIndex" : 0 }, "schema" : "https://github.com/citation-style-language/schema/raw/master/csl-citation.json" }</w:instrText>
            </w:r>
            <w:r w:rsidRPr="00815AF3">
              <w:rPr>
                <w:rFonts w:eastAsia="Times New Roman"/>
                <w:color w:val="000000"/>
                <w:sz w:val="22"/>
                <w:szCs w:val="22"/>
                <w:vertAlign w:val="superscript"/>
              </w:rPr>
              <w:fldChar w:fldCharType="separate"/>
            </w:r>
            <w:r w:rsidRPr="00D232B0">
              <w:rPr>
                <w:rFonts w:eastAsia="Times New Roman"/>
                <w:noProof/>
                <w:color w:val="000000"/>
                <w:sz w:val="22"/>
                <w:szCs w:val="22"/>
                <w:vertAlign w:val="superscript"/>
              </w:rPr>
              <w:t>178</w:t>
            </w:r>
            <w:r w:rsidRPr="00815AF3">
              <w:rPr>
                <w:rFonts w:eastAsia="Times New Roman"/>
                <w:color w:val="000000"/>
                <w:sz w:val="22"/>
                <w:szCs w:val="22"/>
              </w:rPr>
              <w:fldChar w:fldCharType="end"/>
            </w:r>
          </w:p>
        </w:tc>
        <w:tc>
          <w:tcPr>
            <w:tcW w:w="15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238CAA87"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Discussion</w:t>
            </w:r>
          </w:p>
        </w:tc>
        <w:tc>
          <w:tcPr>
            <w:tcW w:w="223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6676C50C"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NA</w:t>
            </w:r>
          </w:p>
        </w:tc>
        <w:tc>
          <w:tcPr>
            <w:tcW w:w="2526"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75724C8D"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HCPs</w:t>
            </w:r>
          </w:p>
        </w:tc>
        <w:tc>
          <w:tcPr>
            <w:tcW w:w="1693"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3CEFAC58"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Acute care</w:t>
            </w:r>
          </w:p>
        </w:tc>
        <w:tc>
          <w:tcPr>
            <w:tcW w:w="2584"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51B36DD4"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Goal concordance</w:t>
            </w:r>
          </w:p>
        </w:tc>
      </w:tr>
      <w:tr w:rsidR="002421FE" w:rsidRPr="00815AF3" w14:paraId="33169736" w14:textId="77777777" w:rsidTr="00FB1DFE">
        <w:trPr>
          <w:trHeight w:val="300"/>
        </w:trPr>
        <w:tc>
          <w:tcPr>
            <w:tcW w:w="175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0DFF1264" w14:textId="77777777" w:rsidR="002421FE" w:rsidRPr="00815AF3" w:rsidRDefault="002421FE" w:rsidP="00FB1DFE">
            <w:pPr>
              <w:spacing w:after="0"/>
              <w:rPr>
                <w:rFonts w:eastAsia="Times New Roman"/>
                <w:color w:val="000000"/>
                <w:sz w:val="22"/>
                <w:szCs w:val="22"/>
              </w:rPr>
            </w:pPr>
            <w:proofErr w:type="spellStart"/>
            <w:r w:rsidRPr="00815AF3">
              <w:rPr>
                <w:rFonts w:eastAsia="Times New Roman"/>
                <w:color w:val="000000"/>
                <w:sz w:val="22"/>
                <w:szCs w:val="22"/>
              </w:rPr>
              <w:t>Cramm</w:t>
            </w:r>
            <w:proofErr w:type="spellEnd"/>
            <w:r w:rsidRPr="00815AF3">
              <w:rPr>
                <w:rFonts w:eastAsia="Times New Roman"/>
                <w:color w:val="000000"/>
                <w:sz w:val="22"/>
                <w:szCs w:val="22"/>
              </w:rPr>
              <w:t xml:space="preserve"> 2012 </w:t>
            </w:r>
            <w:r w:rsidRPr="00815AF3">
              <w:rPr>
                <w:rFonts w:eastAsia="Times New Roman"/>
                <w:color w:val="000000"/>
                <w:sz w:val="22"/>
                <w:szCs w:val="22"/>
              </w:rPr>
              <w:fldChar w:fldCharType="begin" w:fldLock="1"/>
            </w:r>
            <w:r>
              <w:rPr>
                <w:rFonts w:eastAsia="Times New Roman"/>
                <w:color w:val="000000"/>
                <w:sz w:val="22"/>
                <w:szCs w:val="22"/>
              </w:rPr>
              <w:instrText>ADDIN CSL_CITATION { "citationItems" : [ { "id" : "ITEM-1", "itemData" : { "DOI" : "10.1377/hlthaff.2011.1304", "ISSN" : "1544-5208 (Electronic)", "PMID" : "23129680", "abstract" : "Disease management programs based on the Chronic Care Model are expected to improve the quality of chronic care delivery. However, evidence to date for such improvement and how it is achieved is scarce. In 2010 and again in 2011, we surveyed professionals in twenty-two primary care practices in the Netherlands that had implemented the Chronic Care Model of disease management beginning in 2009. The responses showed that, over time, chronic illness care delivery improved to advanced levels. The gains were attributed primarily to improved relational coordination-that is, raising the quality of communication and task integration among professionals from diverse disciplines who share common objectives. These findings may have implications for other disease management efforts by collaborative care teams, in that they suggest that diverse health care professionals must be strongly connected to provide effective, holistic care.", "author" : [ { "dropping-particle" : "", "family" : "Cramm", "given" : "Jane Murray", "non-dropping-particle" : "", "parse-names" : false, "suffix" : "" }, { "dropping-particle" : "", "family" : "Nieboer", "given" : "Anna Petra", "non-dropping-particle" : "", "parse-names" : false, "suffix" : "" } ], "container-title" : "Health affairs (Project Hope)", "id" : "ITEM-1", "issue" : "11", "issued" : { "date-parts" : [ [ "2012", "11" ] ] }, "language" : "eng", "page" : "2493-2500", "publisher-place" : "United States", "title" : "In the Netherlands, rich interaction among professionals conducting disease management led to better chronic care.", "type" : "article-journal", "volume" : "31" }, "uris" : [ "http://www.mendeley.com/documents/?uuid=7a0bfe05-9183-4248-988e-b9f4c504c4f5" ] } ], "mendeley" : { "formattedCitation" : "&lt;sup&gt;135&lt;/sup&gt;", "plainTextFormattedCitation" : "135", "previouslyFormattedCitation" : "&lt;sup&gt;135&lt;/sup&gt;" }, "properties" : { "noteIndex" : 0 }, "schema" : "https://github.com/citation-style-language/schema/raw/master/csl-citation.json" }</w:instrText>
            </w:r>
            <w:r w:rsidRPr="00815AF3">
              <w:rPr>
                <w:rFonts w:eastAsia="Times New Roman"/>
                <w:color w:val="000000"/>
                <w:sz w:val="22"/>
                <w:szCs w:val="22"/>
                <w:vertAlign w:val="superscript"/>
              </w:rPr>
              <w:fldChar w:fldCharType="separate"/>
            </w:r>
            <w:r w:rsidRPr="00D232B0">
              <w:rPr>
                <w:rFonts w:eastAsia="Times New Roman"/>
                <w:noProof/>
                <w:color w:val="000000"/>
                <w:sz w:val="22"/>
                <w:szCs w:val="22"/>
                <w:vertAlign w:val="superscript"/>
              </w:rPr>
              <w:t>135</w:t>
            </w:r>
            <w:r w:rsidRPr="00815AF3">
              <w:rPr>
                <w:rFonts w:eastAsia="Times New Roman"/>
                <w:color w:val="000000"/>
                <w:sz w:val="22"/>
                <w:szCs w:val="22"/>
              </w:rPr>
              <w:fldChar w:fldCharType="end"/>
            </w:r>
          </w:p>
        </w:tc>
        <w:tc>
          <w:tcPr>
            <w:tcW w:w="15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0D714FD6"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Before/after</w:t>
            </w:r>
          </w:p>
        </w:tc>
        <w:tc>
          <w:tcPr>
            <w:tcW w:w="223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F107F7C"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Chronic Care Model</w:t>
            </w:r>
          </w:p>
        </w:tc>
        <w:tc>
          <w:tcPr>
            <w:tcW w:w="2526"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6F7A179"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HSCPs</w:t>
            </w:r>
          </w:p>
        </w:tc>
        <w:tc>
          <w:tcPr>
            <w:tcW w:w="1693"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24FA683D"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Primary care</w:t>
            </w:r>
          </w:p>
        </w:tc>
        <w:tc>
          <w:tcPr>
            <w:tcW w:w="2584"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357DB85D"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Service delivery for people with LTC</w:t>
            </w:r>
          </w:p>
        </w:tc>
      </w:tr>
      <w:tr w:rsidR="002421FE" w:rsidRPr="00815AF3" w14:paraId="26BBA551" w14:textId="77777777" w:rsidTr="00FB1DFE">
        <w:trPr>
          <w:trHeight w:val="300"/>
        </w:trPr>
        <w:tc>
          <w:tcPr>
            <w:tcW w:w="175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04B3BAC7" w14:textId="77777777" w:rsidR="002421FE" w:rsidRPr="00815AF3" w:rsidRDefault="002421FE" w:rsidP="00FB1DFE">
            <w:pPr>
              <w:spacing w:after="0"/>
              <w:rPr>
                <w:rFonts w:eastAsia="Times New Roman"/>
                <w:color w:val="000000"/>
                <w:sz w:val="22"/>
                <w:szCs w:val="22"/>
              </w:rPr>
            </w:pPr>
            <w:proofErr w:type="spellStart"/>
            <w:r w:rsidRPr="00815AF3">
              <w:rPr>
                <w:rFonts w:eastAsia="Times New Roman"/>
                <w:color w:val="000000"/>
                <w:sz w:val="22"/>
                <w:szCs w:val="22"/>
              </w:rPr>
              <w:t>Cramm</w:t>
            </w:r>
            <w:proofErr w:type="spellEnd"/>
            <w:r w:rsidRPr="00815AF3">
              <w:rPr>
                <w:rFonts w:eastAsia="Times New Roman"/>
                <w:color w:val="000000"/>
                <w:sz w:val="22"/>
                <w:szCs w:val="22"/>
              </w:rPr>
              <w:t xml:space="preserve"> 2014 </w:t>
            </w:r>
            <w:r w:rsidRPr="00815AF3">
              <w:rPr>
                <w:rFonts w:eastAsia="Times New Roman"/>
                <w:color w:val="000000"/>
                <w:sz w:val="22"/>
                <w:szCs w:val="22"/>
              </w:rPr>
              <w:fldChar w:fldCharType="begin" w:fldLock="1"/>
            </w:r>
            <w:r>
              <w:rPr>
                <w:rFonts w:eastAsia="Times New Roman"/>
                <w:color w:val="000000"/>
                <w:sz w:val="22"/>
                <w:szCs w:val="22"/>
              </w:rPr>
              <w:instrText>ADDIN CSL_CITATION { "citationItems" : [ { "id" : "ITEM-1", "itemData" : { "DOI" : "10.1136/bmjopen-2014-005914", "ISSN" : "2044-6055 (Electronic)", "PMID" : "25239294", "abstract" : "OBJECTIVE: The chronic care model is an increasingly used approach to improve the quality of care through system changes in care delivery. While theoretically these system changes are expected to increase productive patient-professional interaction empirical evidence is lacking. This study aims to identify the influence of quality of care on productive patient-professional interaction. SETTING: Longitudinal study in 18 Dutch regions. PARTICIPANTS: Questionnaires were sent to all 5076 patients participating in 18 Disease Management Programmes (DMPs) in 2010 (2676 (53%) respondents). One year later (T1), 4693 patients still participating in the DMPs received a questionnaire (2191 (47%) respondents) and 2 years later (in 2012; T2) 1722 patients responded (out of 4350; 40% response). INTERVENTIONS: DMPs PRIMARY OUTCOME MEASURE: Patients' perceptions of the productivity of interactions (measured as relational coordination/coproduction of care) with professionals. Patients were asked about communication dimensions (frequent, accurate, and problem-solving communication) and relationship dimensions (shared goals and mutual respect). FINDINGS: After controlling for background characteristics these results clearly show that quality of chronic care (T0), first-year changes in quality of chronic care (T1-T0) and second-year changes in quality of chronic care (T2-T1) predicted productive interactions between patients and professionals at T2 (all at p&lt;/=0.001). Furthermore, we found a negative relationship between lower educational level and productive interactions between patients and professionals 2 years later. CONCLUSIONS: We can conclude that successfully dealing with the consequences of chronic illnesses requires proactive patients who are able to make productive decisions together with their healthcare providers. Since patients and professionals share responsibility for management of the chronic illness, they must also share control of interactions and decisions. The importance of patient-centeredness is growing and this study reports a first example of how quality of chronic care stimulates productive interactions between patients and professionals.", "author" : [ { "dropping-particle" : "", "family" : "Cramm", "given" : "Jane Murray", "non-dropping-particle" : "", "parse-names" : false, "suffix" : "" }, { "dropping-particle" : "", "family" : "Nieboer", "given" : "Anna Petra", "non-dropping-particle" : "", "parse-names" : false, "suffix" : "" } ], "container-title" : "BMJ open", "id" : "ITEM-1", "issue" : "9", "issued" : { "date-parts" : [ [ "2014", "9" ] ] }, "language" : "eng", "page" : "e005914", "publisher-place" : "England", "title" : "A longitudinal study to identify the influence of quality of chronic care delivery on productive interactions between patients and (teams of) healthcare professionals within disease management programmes.", "type" : "article-journal", "volume" : "4" }, "uris" : [ "http://www.mendeley.com/documents/?uuid=a96a0bd9-251c-4fb5-89c2-bc3ddb990e9c" ] } ], "mendeley" : { "formattedCitation" : "&lt;sup&gt;136&lt;/sup&gt;", "plainTextFormattedCitation" : "136", "previouslyFormattedCitation" : "&lt;sup&gt;136&lt;/sup&gt;" }, "properties" : { "noteIndex" : 0 }, "schema" : "https://github.com/citation-style-language/schema/raw/master/csl-citation.json" }</w:instrText>
            </w:r>
            <w:r w:rsidRPr="00815AF3">
              <w:rPr>
                <w:rFonts w:eastAsia="Times New Roman"/>
                <w:color w:val="000000"/>
                <w:sz w:val="22"/>
                <w:szCs w:val="22"/>
                <w:vertAlign w:val="superscript"/>
              </w:rPr>
              <w:fldChar w:fldCharType="separate"/>
            </w:r>
            <w:r w:rsidRPr="00D232B0">
              <w:rPr>
                <w:rFonts w:eastAsia="Times New Roman"/>
                <w:noProof/>
                <w:color w:val="000000"/>
                <w:sz w:val="22"/>
                <w:szCs w:val="22"/>
                <w:vertAlign w:val="superscript"/>
              </w:rPr>
              <w:t>136</w:t>
            </w:r>
            <w:r w:rsidRPr="00815AF3">
              <w:rPr>
                <w:rFonts w:eastAsia="Times New Roman"/>
                <w:color w:val="000000"/>
                <w:sz w:val="22"/>
                <w:szCs w:val="22"/>
              </w:rPr>
              <w:fldChar w:fldCharType="end"/>
            </w:r>
          </w:p>
        </w:tc>
        <w:tc>
          <w:tcPr>
            <w:tcW w:w="15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7E1114B1"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Mixed methods</w:t>
            </w:r>
          </w:p>
        </w:tc>
        <w:tc>
          <w:tcPr>
            <w:tcW w:w="223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7053D78A"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Chronic Care Model</w:t>
            </w:r>
          </w:p>
        </w:tc>
        <w:tc>
          <w:tcPr>
            <w:tcW w:w="2526"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5B80B21B"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Older people</w:t>
            </w:r>
          </w:p>
        </w:tc>
        <w:tc>
          <w:tcPr>
            <w:tcW w:w="1693"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733DA214"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Primary care</w:t>
            </w:r>
          </w:p>
        </w:tc>
        <w:tc>
          <w:tcPr>
            <w:tcW w:w="2584"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1E7FC52A"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Service delivery for people with LTC</w:t>
            </w:r>
          </w:p>
        </w:tc>
      </w:tr>
      <w:tr w:rsidR="002421FE" w:rsidRPr="00815AF3" w14:paraId="545085AE" w14:textId="77777777" w:rsidTr="00FB1DFE">
        <w:trPr>
          <w:trHeight w:val="525"/>
        </w:trPr>
        <w:tc>
          <w:tcPr>
            <w:tcW w:w="175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07C1CBBA" w14:textId="77777777" w:rsidR="002421FE" w:rsidRPr="00815AF3" w:rsidRDefault="002421FE" w:rsidP="00FB1DFE">
            <w:pPr>
              <w:spacing w:after="0"/>
              <w:rPr>
                <w:rFonts w:eastAsia="Times New Roman"/>
                <w:color w:val="000000"/>
                <w:sz w:val="22"/>
                <w:szCs w:val="22"/>
              </w:rPr>
            </w:pPr>
            <w:proofErr w:type="spellStart"/>
            <w:r w:rsidRPr="00815AF3">
              <w:rPr>
                <w:rFonts w:eastAsia="Times New Roman"/>
                <w:color w:val="000000"/>
                <w:sz w:val="22"/>
                <w:szCs w:val="22"/>
              </w:rPr>
              <w:t>Cramm</w:t>
            </w:r>
            <w:proofErr w:type="spellEnd"/>
            <w:r w:rsidRPr="00815AF3">
              <w:rPr>
                <w:rFonts w:eastAsia="Times New Roman"/>
                <w:color w:val="000000"/>
                <w:sz w:val="22"/>
                <w:szCs w:val="22"/>
              </w:rPr>
              <w:t xml:space="preserve"> 2016 </w:t>
            </w:r>
            <w:r w:rsidRPr="00815AF3">
              <w:rPr>
                <w:rFonts w:eastAsia="Times New Roman"/>
                <w:color w:val="000000"/>
                <w:sz w:val="22"/>
                <w:szCs w:val="22"/>
              </w:rPr>
              <w:fldChar w:fldCharType="begin" w:fldLock="1"/>
            </w:r>
            <w:r>
              <w:rPr>
                <w:rFonts w:eastAsia="Times New Roman"/>
                <w:color w:val="000000"/>
                <w:sz w:val="22"/>
                <w:szCs w:val="22"/>
              </w:rPr>
              <w:instrText>ADDIN CSL_CITATION { "citationItems" : [ { "id" : "ITEM-1", "itemData" : { "DOI" : "10.2147/COPD.S94409", "abstract" : "The aim of this study was to investigate whether care delivery in accordance with a care model is associated with co-productive relationships between professionals and COPD patients and their informal caregivers. A co-productive relationship refers to productive patient\u2013professional interaction or shared decision making. This cross-sectional study was conducted in 2014 among 411 patients (out of 981) enrolled in the Dutch COPD care program Kennemer Lucht and 62 professionals treating them (out of 97). Kennemer Lucht COPD involved multicomponent interventions within all six dimensions of the chronic care model (organizational support, community, self-management, decision support, delivery system design, and information and communications technology) to improve the quality of care for patients with COPD. This approach was expected to improve relational coproduction of care between professionals and patients with COPD and their informal caregivers. Results show clearly that the perceived quality of chronic care delivery is related significantly to productive interaction/relational coproduction of care. The strength of the relationship between perceptions of quality of chronic care and relational coproduction among patients is strong (r=0.5; P\u22640.001) and among professionals moderate (r=0.4; P\u22640.001 relational coproduction with patients and informal caregivers). Furthermore, patients\u2019 perceptions of the quality of chronic care were associated with the existence of productive interaction with health care professionals (\u03b2=0.7; P\u22640.001). The changing nature of chronic care is associated with coproduction of care, leading to the development of more productive relationships between primary care professionals and COPD patients and their informal caregivers. Further research is necessary to determine how best to sustain these developments. \u00a9 2016 Cramm and Nieboer.", "author" : [ { "dropping-particle" : "", "family" : "Cramm", "given" : "J M", "non-dropping-particle" : "", "parse-names" : false, "suffix" : "" }, { "dropping-particle" : "", "family" : "Nieboer", "given" : "A P", "non-dropping-particle" : "", "parse-names" : false, "suffix" : "" } ], "container-title" : "International Journal of COPD", "id" : "ITEM-1", "issued" : { "date-parts" : [ [ "2016" ] ] }, "note" : "Export Date: 12 December 2016\nMarked for inclusion in 'Coaching'", "page" : "175-182", "title" : "The changing nature of chronic care and coproduction of care between primary care professionals and patients with COPD and their informal caregivers", "type" : "article-journal", "volume" : "11" }, "uris" : [ "http://www.mendeley.com/documents/?uuid=c6a3110b-d872-42c8-9843-6f4b570394a7" ] } ], "mendeley" : { "formattedCitation" : "&lt;sup&gt;134&lt;/sup&gt;", "plainTextFormattedCitation" : "134", "previouslyFormattedCitation" : "&lt;sup&gt;134&lt;/sup&gt;" }, "properties" : { "noteIndex" : 0 }, "schema" : "https://github.com/citation-style-language/schema/raw/master/csl-citation.json" }</w:instrText>
            </w:r>
            <w:r w:rsidRPr="00815AF3">
              <w:rPr>
                <w:rFonts w:eastAsia="Times New Roman"/>
                <w:color w:val="000000"/>
                <w:sz w:val="22"/>
                <w:szCs w:val="22"/>
                <w:vertAlign w:val="superscript"/>
              </w:rPr>
              <w:fldChar w:fldCharType="separate"/>
            </w:r>
            <w:r w:rsidRPr="00D232B0">
              <w:rPr>
                <w:rFonts w:eastAsia="Times New Roman"/>
                <w:noProof/>
                <w:color w:val="000000"/>
                <w:sz w:val="22"/>
                <w:szCs w:val="22"/>
                <w:vertAlign w:val="superscript"/>
              </w:rPr>
              <w:t>134</w:t>
            </w:r>
            <w:r w:rsidRPr="00815AF3">
              <w:rPr>
                <w:rFonts w:eastAsia="Times New Roman"/>
                <w:color w:val="000000"/>
                <w:sz w:val="22"/>
                <w:szCs w:val="22"/>
              </w:rPr>
              <w:fldChar w:fldCharType="end"/>
            </w:r>
          </w:p>
        </w:tc>
        <w:tc>
          <w:tcPr>
            <w:tcW w:w="15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30B153FF"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Survey</w:t>
            </w:r>
          </w:p>
        </w:tc>
        <w:tc>
          <w:tcPr>
            <w:tcW w:w="223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1DF024AC"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Chronic care model</w:t>
            </w:r>
          </w:p>
        </w:tc>
        <w:tc>
          <w:tcPr>
            <w:tcW w:w="2526"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20BB9575"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People with COPD (mostly older)</w:t>
            </w:r>
          </w:p>
        </w:tc>
        <w:tc>
          <w:tcPr>
            <w:tcW w:w="1693"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57615B1B"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Community</w:t>
            </w:r>
          </w:p>
        </w:tc>
        <w:tc>
          <w:tcPr>
            <w:tcW w:w="2584"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CF0FE17"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Service delivery for people with LTC</w:t>
            </w:r>
          </w:p>
        </w:tc>
      </w:tr>
      <w:tr w:rsidR="002421FE" w:rsidRPr="00815AF3" w14:paraId="456FCB80" w14:textId="77777777" w:rsidTr="00FB1DFE">
        <w:trPr>
          <w:trHeight w:val="525"/>
        </w:trPr>
        <w:tc>
          <w:tcPr>
            <w:tcW w:w="1750" w:type="dxa"/>
            <w:tcBorders>
              <w:top w:val="single" w:sz="4" w:space="0" w:color="auto"/>
              <w:left w:val="single" w:sz="4" w:space="0" w:color="auto"/>
              <w:bottom w:val="single" w:sz="4" w:space="0" w:color="auto"/>
              <w:right w:val="single" w:sz="4" w:space="0" w:color="auto"/>
            </w:tcBorders>
            <w:shd w:val="clear" w:color="000000" w:fill="FFFFFF"/>
            <w:vAlign w:val="bottom"/>
          </w:tcPr>
          <w:p w14:paraId="30254F6F" w14:textId="77777777" w:rsidR="002421FE" w:rsidRPr="00815AF3" w:rsidRDefault="002421FE" w:rsidP="00FB1DFE">
            <w:pPr>
              <w:spacing w:after="0"/>
              <w:rPr>
                <w:rFonts w:eastAsia="Times New Roman"/>
                <w:color w:val="000000"/>
                <w:sz w:val="22"/>
                <w:szCs w:val="22"/>
              </w:rPr>
            </w:pPr>
            <w:r w:rsidRPr="00815AF3">
              <w:rPr>
                <w:rFonts w:eastAsia="Times New Roman"/>
                <w:b/>
                <w:bCs/>
                <w:color w:val="000000"/>
                <w:sz w:val="22"/>
                <w:szCs w:val="22"/>
              </w:rPr>
              <w:lastRenderedPageBreak/>
              <w:t>Author and year</w:t>
            </w:r>
          </w:p>
        </w:tc>
        <w:tc>
          <w:tcPr>
            <w:tcW w:w="1597" w:type="dxa"/>
            <w:tcBorders>
              <w:top w:val="single" w:sz="4" w:space="0" w:color="auto"/>
              <w:left w:val="single" w:sz="4" w:space="0" w:color="auto"/>
              <w:bottom w:val="single" w:sz="4" w:space="0" w:color="auto"/>
              <w:right w:val="single" w:sz="4" w:space="0" w:color="auto"/>
            </w:tcBorders>
            <w:shd w:val="clear" w:color="000000" w:fill="FFFFFF"/>
            <w:vAlign w:val="bottom"/>
          </w:tcPr>
          <w:p w14:paraId="22652C65" w14:textId="77777777" w:rsidR="002421FE" w:rsidRPr="00815AF3" w:rsidRDefault="002421FE" w:rsidP="00FB1DFE">
            <w:pPr>
              <w:spacing w:after="0"/>
              <w:rPr>
                <w:rFonts w:eastAsia="Times New Roman"/>
                <w:color w:val="000000"/>
                <w:sz w:val="22"/>
                <w:szCs w:val="22"/>
              </w:rPr>
            </w:pPr>
            <w:r w:rsidRPr="00815AF3">
              <w:rPr>
                <w:rFonts w:eastAsia="Times New Roman"/>
                <w:b/>
                <w:bCs/>
                <w:color w:val="000000"/>
                <w:sz w:val="22"/>
                <w:szCs w:val="22"/>
              </w:rPr>
              <w:t>If research give type</w:t>
            </w:r>
          </w:p>
        </w:tc>
        <w:tc>
          <w:tcPr>
            <w:tcW w:w="2230" w:type="dxa"/>
            <w:tcBorders>
              <w:top w:val="single" w:sz="4" w:space="0" w:color="auto"/>
              <w:left w:val="single" w:sz="4" w:space="0" w:color="auto"/>
              <w:bottom w:val="single" w:sz="4" w:space="0" w:color="auto"/>
              <w:right w:val="single" w:sz="4" w:space="0" w:color="auto"/>
            </w:tcBorders>
            <w:shd w:val="clear" w:color="000000" w:fill="FFFFFF"/>
            <w:vAlign w:val="bottom"/>
          </w:tcPr>
          <w:p w14:paraId="1E64D4B8" w14:textId="77777777" w:rsidR="002421FE" w:rsidRPr="00815AF3" w:rsidRDefault="002421FE" w:rsidP="00FB1DFE">
            <w:pPr>
              <w:spacing w:after="0"/>
              <w:rPr>
                <w:rFonts w:eastAsia="Times New Roman"/>
                <w:color w:val="000000"/>
                <w:sz w:val="22"/>
                <w:szCs w:val="22"/>
              </w:rPr>
            </w:pPr>
            <w:r w:rsidRPr="00815AF3">
              <w:rPr>
                <w:rFonts w:eastAsia="Times New Roman"/>
                <w:b/>
                <w:bCs/>
                <w:color w:val="000000"/>
                <w:sz w:val="22"/>
                <w:szCs w:val="22"/>
              </w:rPr>
              <w:t>Description of intervention</w:t>
            </w:r>
          </w:p>
        </w:tc>
        <w:tc>
          <w:tcPr>
            <w:tcW w:w="2526" w:type="dxa"/>
            <w:tcBorders>
              <w:top w:val="single" w:sz="4" w:space="0" w:color="auto"/>
              <w:left w:val="single" w:sz="4" w:space="0" w:color="auto"/>
              <w:bottom w:val="single" w:sz="4" w:space="0" w:color="auto"/>
              <w:right w:val="single" w:sz="4" w:space="0" w:color="auto"/>
            </w:tcBorders>
            <w:shd w:val="clear" w:color="000000" w:fill="FFFFFF"/>
            <w:vAlign w:val="bottom"/>
          </w:tcPr>
          <w:p w14:paraId="1D4148E6" w14:textId="77777777" w:rsidR="002421FE" w:rsidRPr="00815AF3" w:rsidRDefault="002421FE" w:rsidP="00FB1DFE">
            <w:pPr>
              <w:spacing w:after="0"/>
              <w:rPr>
                <w:rFonts w:eastAsia="Times New Roman"/>
                <w:color w:val="000000"/>
                <w:sz w:val="22"/>
                <w:szCs w:val="22"/>
              </w:rPr>
            </w:pPr>
            <w:r w:rsidRPr="00815AF3">
              <w:rPr>
                <w:rFonts w:eastAsia="Times New Roman"/>
                <w:b/>
                <w:bCs/>
                <w:color w:val="000000"/>
                <w:sz w:val="22"/>
                <w:szCs w:val="22"/>
              </w:rPr>
              <w:t>Participants</w:t>
            </w:r>
          </w:p>
        </w:tc>
        <w:tc>
          <w:tcPr>
            <w:tcW w:w="1693" w:type="dxa"/>
            <w:tcBorders>
              <w:top w:val="single" w:sz="4" w:space="0" w:color="auto"/>
              <w:left w:val="single" w:sz="4" w:space="0" w:color="auto"/>
              <w:bottom w:val="single" w:sz="4" w:space="0" w:color="auto"/>
              <w:right w:val="single" w:sz="4" w:space="0" w:color="auto"/>
            </w:tcBorders>
            <w:shd w:val="clear" w:color="000000" w:fill="FFFFFF"/>
            <w:vAlign w:val="bottom"/>
          </w:tcPr>
          <w:p w14:paraId="6C965FEA" w14:textId="77777777" w:rsidR="002421FE" w:rsidRPr="00815AF3" w:rsidRDefault="002421FE" w:rsidP="00FB1DFE">
            <w:pPr>
              <w:spacing w:after="0"/>
              <w:rPr>
                <w:rFonts w:eastAsia="Times New Roman"/>
                <w:color w:val="000000"/>
                <w:sz w:val="22"/>
                <w:szCs w:val="22"/>
              </w:rPr>
            </w:pPr>
            <w:r w:rsidRPr="00815AF3">
              <w:rPr>
                <w:rFonts w:eastAsia="Times New Roman"/>
                <w:b/>
                <w:bCs/>
                <w:color w:val="000000"/>
                <w:sz w:val="22"/>
                <w:szCs w:val="22"/>
              </w:rPr>
              <w:t>Setting</w:t>
            </w:r>
          </w:p>
        </w:tc>
        <w:tc>
          <w:tcPr>
            <w:tcW w:w="2584" w:type="dxa"/>
            <w:tcBorders>
              <w:top w:val="single" w:sz="4" w:space="0" w:color="auto"/>
              <w:left w:val="single" w:sz="4" w:space="0" w:color="auto"/>
              <w:bottom w:val="single" w:sz="4" w:space="0" w:color="auto"/>
              <w:right w:val="single" w:sz="4" w:space="0" w:color="auto"/>
            </w:tcBorders>
            <w:shd w:val="clear" w:color="000000" w:fill="FFFFFF"/>
            <w:vAlign w:val="bottom"/>
          </w:tcPr>
          <w:p w14:paraId="5FEA9555" w14:textId="77777777" w:rsidR="002421FE" w:rsidRPr="00815AF3" w:rsidRDefault="002421FE" w:rsidP="00FB1DFE">
            <w:pPr>
              <w:spacing w:after="0"/>
              <w:rPr>
                <w:rFonts w:eastAsia="Times New Roman"/>
                <w:color w:val="000000"/>
                <w:sz w:val="22"/>
                <w:szCs w:val="22"/>
              </w:rPr>
            </w:pPr>
            <w:proofErr w:type="gramStart"/>
            <w:r w:rsidRPr="00815AF3">
              <w:rPr>
                <w:rFonts w:eastAsia="Times New Roman"/>
                <w:b/>
                <w:bCs/>
                <w:color w:val="000000"/>
                <w:sz w:val="22"/>
                <w:szCs w:val="22"/>
              </w:rPr>
              <w:t>Main focus</w:t>
            </w:r>
            <w:proofErr w:type="gramEnd"/>
          </w:p>
        </w:tc>
      </w:tr>
      <w:tr w:rsidR="002421FE" w:rsidRPr="00815AF3" w14:paraId="48973291" w14:textId="77777777" w:rsidTr="00FB1DFE">
        <w:trPr>
          <w:trHeight w:val="525"/>
        </w:trPr>
        <w:tc>
          <w:tcPr>
            <w:tcW w:w="175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6CDEBD5F" w14:textId="77777777" w:rsidR="002421FE" w:rsidRPr="00815AF3" w:rsidRDefault="002421FE" w:rsidP="00FB1DFE">
            <w:pPr>
              <w:spacing w:after="0"/>
              <w:rPr>
                <w:rFonts w:eastAsia="Times New Roman"/>
                <w:color w:val="000000"/>
                <w:sz w:val="22"/>
                <w:szCs w:val="22"/>
              </w:rPr>
            </w:pPr>
            <w:proofErr w:type="spellStart"/>
            <w:r w:rsidRPr="00815AF3">
              <w:rPr>
                <w:rFonts w:eastAsia="Times New Roman"/>
                <w:color w:val="000000"/>
                <w:sz w:val="22"/>
                <w:szCs w:val="22"/>
              </w:rPr>
              <w:t>Dardas</w:t>
            </w:r>
            <w:proofErr w:type="spellEnd"/>
            <w:r w:rsidRPr="00815AF3">
              <w:rPr>
                <w:rFonts w:eastAsia="Times New Roman"/>
                <w:color w:val="000000"/>
                <w:sz w:val="22"/>
                <w:szCs w:val="22"/>
              </w:rPr>
              <w:t xml:space="preserve">, A. Z. et al 2016 </w:t>
            </w:r>
            <w:r w:rsidRPr="00815AF3">
              <w:rPr>
                <w:rFonts w:eastAsia="Times New Roman"/>
                <w:color w:val="000000"/>
                <w:sz w:val="22"/>
                <w:szCs w:val="22"/>
              </w:rPr>
              <w:fldChar w:fldCharType="begin" w:fldLock="1"/>
            </w:r>
            <w:r>
              <w:rPr>
                <w:rFonts w:eastAsia="Times New Roman"/>
                <w:color w:val="000000"/>
                <w:sz w:val="22"/>
                <w:szCs w:val="22"/>
              </w:rPr>
              <w:instrText>ADDIN CSL_CITATION { "citationItems" : [ { "id" : "ITEM-1", "itemData" : { "DOI" : "10.1016/j.jhsa.2016.07.096", "ISSN" : "1531-6564 (Electronic)", "PMID" : "27524694", "abstract" : "PURPOSE: The practice of medicine is shifting from a paternalistic doctor-patient relationship to a model in which the doctor and patient collaborate to decide optimal treatment. This study aims to determine whether the older orthopedic population desires a shared decision-making approach to care and to identify patient predictors for the preferred type of approach. METHODS: This cross-sectional investigation enrolled 99 patients, minimum age 65 years, at a tertiary hand specialty practice between March and June 2015. All patients completed the Control Preferences Scale, a validated system that distinguishes among patient preferences for patient-directed, collaborative, or physician-directed decision making. Bivariate and logistic regression analyses assessed associations among demographic data; clinic encounter variables such as familiarity with provider, trauma, diagnosis, and treatment decision; and the primary outcome of Control Preferences Scale preferences. RESULTS: A total of 81% of patients analyzed preferred a more patient-directed role in decision making; 46% of the total cohort cited a collaborative approach as their most preferred treatment approach. Sixty-seven percent cited the most physician-directed approach as their least preferred model of decision making. In addition, 49% reported that spending more time with their physician to address questions and explain the diagnosis would be most useful when making a health care decision and 73% preferred additional written informational material. Familiarity with the provider was associated with being more likely to prefer a collaborative approach. CONCLUSIONS: Older adult patients with symptomatic upper-extremity conditions desire more patient-directed roles in treatment decision making. Given the limited amount of reliable information obtained independently outside the office visit, our data suggest that written decision aids offer an approach to shared decision making that is most consistent with the preferences of the older orthopedic patient. CLINICAL RELEVANCE: This study quantifies older adults' desire to participate in decision making when choosing among treatments for hand conditions.", "author" : [ { "dropping-particle" : "", "family" : "Dardas", "given" : "Agnes Z", "non-dropping-particle" : "", "parse-names" : false, "suffix" : "" }, { "dropping-particle" : "", "family" : "Stockburger", "given" : "Christopher", "non-dropping-particle" : "", "parse-names" : false, "suffix" : "" }, { "dropping-particle" : "", "family" : "Boone", "given" : "Sean", "non-dropping-particle" : "", "parse-names" : false, "suffix" : "" }, { "dropping-particle" : "", "family" : "An", "given" : "Tonya", "non-dropping-particle" : "", "parse-names" : false, "suffix" : "" }, { "dropping-particle" : "", "family" : "Calfee", "given" : "Ryan P", "non-dropping-particle" : "", "parse-names" : false, "suffix" : "" } ], "container-title" : "The Journal of hand surgery", "id" : "ITEM-1", "issue" : "10", "issued" : { "date-parts" : [ [ "2016", "10" ] ] }, "language" : "eng", "page" : "978-987", "publisher-place" : "United States", "title" : "Preferences for Shared Decision Making in Older Adult Patients With Orthopedic Hand Conditions.", "type" : "article-journal", "volume" : "41" }, "uris" : [ "http://www.mendeley.com/documents/?uuid=9b390f14-9e87-4e59-95d8-2d2ee6115f92" ] } ], "mendeley" : { "formattedCitation" : "&lt;sup&gt;137&lt;/sup&gt;", "plainTextFormattedCitation" : "137", "previouslyFormattedCitation" : "&lt;sup&gt;137&lt;/sup&gt;" }, "properties" : { "noteIndex" : 0 }, "schema" : "https://github.com/citation-style-language/schema/raw/master/csl-citation.json" }</w:instrText>
            </w:r>
            <w:r w:rsidRPr="00815AF3">
              <w:rPr>
                <w:rFonts w:eastAsia="Times New Roman"/>
                <w:color w:val="000000"/>
                <w:sz w:val="22"/>
                <w:szCs w:val="22"/>
                <w:vertAlign w:val="superscript"/>
              </w:rPr>
              <w:fldChar w:fldCharType="separate"/>
            </w:r>
            <w:r w:rsidRPr="00D232B0">
              <w:rPr>
                <w:rFonts w:eastAsia="Times New Roman"/>
                <w:noProof/>
                <w:color w:val="000000"/>
                <w:sz w:val="22"/>
                <w:szCs w:val="22"/>
                <w:vertAlign w:val="superscript"/>
              </w:rPr>
              <w:t>137</w:t>
            </w:r>
            <w:r w:rsidRPr="00815AF3">
              <w:rPr>
                <w:rFonts w:eastAsia="Times New Roman"/>
                <w:color w:val="000000"/>
                <w:sz w:val="22"/>
                <w:szCs w:val="22"/>
              </w:rPr>
              <w:fldChar w:fldCharType="end"/>
            </w:r>
          </w:p>
        </w:tc>
        <w:tc>
          <w:tcPr>
            <w:tcW w:w="15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3813D77A"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Survey</w:t>
            </w:r>
          </w:p>
        </w:tc>
        <w:tc>
          <w:tcPr>
            <w:tcW w:w="223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6C3E47CC"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NA</w:t>
            </w:r>
          </w:p>
        </w:tc>
        <w:tc>
          <w:tcPr>
            <w:tcW w:w="2526"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2C554D34"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HCPs</w:t>
            </w:r>
          </w:p>
        </w:tc>
        <w:tc>
          <w:tcPr>
            <w:tcW w:w="1693"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5F7F938A"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Secondary care - orthopaedic clinic</w:t>
            </w:r>
          </w:p>
        </w:tc>
        <w:tc>
          <w:tcPr>
            <w:tcW w:w="2584"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3C4BF232"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Influences on SDM, Pt/carer views or preferences</w:t>
            </w:r>
          </w:p>
        </w:tc>
      </w:tr>
      <w:tr w:rsidR="002421FE" w:rsidRPr="00815AF3" w14:paraId="453A97B3" w14:textId="77777777" w:rsidTr="00FB1DFE">
        <w:trPr>
          <w:trHeight w:val="525"/>
        </w:trPr>
        <w:tc>
          <w:tcPr>
            <w:tcW w:w="175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6B7BCCAD"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 xml:space="preserve">Diabetes UK.  2011 </w:t>
            </w:r>
            <w:r w:rsidRPr="00815AF3">
              <w:rPr>
                <w:rFonts w:eastAsia="Times New Roman"/>
                <w:color w:val="000000"/>
                <w:sz w:val="22"/>
                <w:szCs w:val="22"/>
              </w:rPr>
              <w:fldChar w:fldCharType="begin" w:fldLock="1"/>
            </w:r>
            <w:r w:rsidRPr="00815AF3">
              <w:rPr>
                <w:rFonts w:eastAsia="Times New Roman"/>
                <w:color w:val="000000"/>
                <w:sz w:val="22"/>
                <w:szCs w:val="22"/>
              </w:rPr>
              <w:instrText>ADDIN CSL_CITATION { "citationItems" : [ { "id" : "ITEM-1", "itemData" : { "abstract" : "Preface Diabetes is an exemplar for many long term conditions (LTCs) which are increasing in prevalence year on year. It challenges the NHS to ensure that everyone receives the highest standards of care no matter where, when or by whom that care is delivered. Services need to be seamless and focus on the whole needs of the person, working across financial and organisational boundaries including primary, secondary and non-traditional third sector providers. Achieving best outcomes is about the delivery of safe, effective and efficient diabetes care. It is also dependent on changing how the NHS relates to those accessing healthcare services to provide greater personalisation and support. People with LTCs, such as diabetes, need the knowledge, skills and confidence to manage their own health to the degree they feel comfortable with. This culture change needs both people with diabetes and healthcare professionals to learn new ways of working together to prevent the personally devastating and costly complications of heart disease, amputations, kidney disease and blindness. The diabetes Year of Care Programme has sought to address these issues. This report outlines the very real achievements of a three year pilot programme working across three diverse health communities (North of Tyne, Calderdale and Kirklees and Tower Hamlets). The local teams have been able to demonstrate how to deliver personal care planning and better support for self management for people with diabetes in their areas and at the same time show how this can support better integration of local services. This includes new partners in the third sector and other organisations who can provide therapeutic, lifestyle and social support in peoples' own communities.", "author" : [ { "dropping-particle" : "", "family" : "Diabetes UK. Department of Health. The Health Foundation. NHS Diabetes.", "given" : "", "non-dropping-particle" : "", "parse-names" : false, "suffix" : "" } ], "id" : "ITEM-1", "issue" : "June", "issued" : { "date-parts" : [ [ "2011" ] ] }, "note" : "Demonstrates that systems can be redesigned to facilitate new ways of working \n\nThat it can take patients some time (several consultations) to engage with a new approach\n\nAlso that the redesigned systems can be 'cost neutral'", "title" : "Year of Care Report of findings from the pilot programme", "type" : "report" }, "uris" : [ "http://www.mendeley.com/documents/?uuid=65f821a4-7ab5-4bf6-aded-0446d4a659f6" ] } ], "mendeley" : { "formattedCitation" : "&lt;sup&gt;20&lt;/sup&gt;", "plainTextFormattedCitation" : "20", "previouslyFormattedCitation" : "&lt;sup&gt;20&lt;/sup&gt;" }, "properties" : { "noteIndex" : 0 }, "schema" : "https://github.com/citation-style-language/schema/raw/master/csl-citation.json" }</w:instrText>
            </w:r>
            <w:r w:rsidRPr="00815AF3">
              <w:rPr>
                <w:rFonts w:eastAsia="Times New Roman"/>
                <w:color w:val="000000"/>
                <w:sz w:val="22"/>
                <w:szCs w:val="22"/>
                <w:vertAlign w:val="superscript"/>
              </w:rPr>
              <w:fldChar w:fldCharType="separate"/>
            </w:r>
            <w:r w:rsidRPr="00815AF3">
              <w:rPr>
                <w:rFonts w:eastAsia="Times New Roman"/>
                <w:noProof/>
                <w:color w:val="000000"/>
                <w:sz w:val="22"/>
                <w:szCs w:val="22"/>
                <w:vertAlign w:val="superscript"/>
              </w:rPr>
              <w:t>20</w:t>
            </w:r>
            <w:r w:rsidRPr="00815AF3">
              <w:rPr>
                <w:rFonts w:eastAsia="Times New Roman"/>
                <w:color w:val="000000"/>
                <w:sz w:val="22"/>
                <w:szCs w:val="22"/>
              </w:rPr>
              <w:fldChar w:fldCharType="end"/>
            </w:r>
          </w:p>
        </w:tc>
        <w:tc>
          <w:tcPr>
            <w:tcW w:w="15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0767E730"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Case studies</w:t>
            </w:r>
          </w:p>
        </w:tc>
        <w:tc>
          <w:tcPr>
            <w:tcW w:w="223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381CC3ED"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‘Year of Care' model</w:t>
            </w:r>
          </w:p>
        </w:tc>
        <w:tc>
          <w:tcPr>
            <w:tcW w:w="2526"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2952A5F"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HCPs, people with diabetes</w:t>
            </w:r>
          </w:p>
        </w:tc>
        <w:tc>
          <w:tcPr>
            <w:tcW w:w="1693"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6F875F17"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Primary care</w:t>
            </w:r>
          </w:p>
        </w:tc>
        <w:tc>
          <w:tcPr>
            <w:tcW w:w="2584"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3757FABB"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PCC in LTCs</w:t>
            </w:r>
          </w:p>
        </w:tc>
      </w:tr>
      <w:tr w:rsidR="002421FE" w:rsidRPr="00815AF3" w14:paraId="3AF182A6" w14:textId="77777777" w:rsidTr="00FB1DFE">
        <w:trPr>
          <w:trHeight w:val="300"/>
        </w:trPr>
        <w:tc>
          <w:tcPr>
            <w:tcW w:w="175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73DA779B"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 xml:space="preserve">Durand 2015 </w:t>
            </w:r>
            <w:r w:rsidRPr="00815AF3">
              <w:rPr>
                <w:rFonts w:eastAsia="Times New Roman"/>
                <w:color w:val="000000"/>
                <w:sz w:val="22"/>
                <w:szCs w:val="22"/>
              </w:rPr>
              <w:fldChar w:fldCharType="begin" w:fldLock="1"/>
            </w:r>
            <w:r>
              <w:rPr>
                <w:rFonts w:eastAsia="Times New Roman"/>
                <w:color w:val="000000"/>
                <w:sz w:val="22"/>
                <w:szCs w:val="22"/>
              </w:rPr>
              <w:instrText>ADDIN CSL_CITATION { "citationItems" : [ { "id" : "ITEM-1", "itemData" : { "DOI" : "10.1016/j.hjdsi.2014.10.008", "ISSN" : "2213-0772 (Electronic)", "PMID" : "26179730", "abstract" : "BACKGROUND: The Affordable Care Act raised significant interest in the process of shared decision making, the role of patient decision aids, and incentivizing their utilization. However, it has not been clear how best to put incentives into practice, and how the implementation of shared decision making and the use of patient decision aids would be measured. Our goal was to review developments and proposals put forward. METHODS: We performed a qualitative document analysis following a pragmatic search of Medline, Google, Google Scholar, Business Source Complete (Ebscohost), and LexisNexis from 2009-2013 using the following key words: \"Patient Protection and Affordable Care Act\", \"Decision Making\", \"Affordable Care Act\", \"Shared Decision Making\", \"measurement\", \"incentives\", and \"payment.\" RESULTS: We observed a lack of clarity about how to measure shared decision making, about how best to reward the use of patient decisions aids, and therefore how best to incentivize the process. Many documents clearly imply that providing and disseminating patient decision aids might be equivalent to shared decision making. However, there is little evidence that these tools, when used by patients in advance of clinical encounters, lead to significant change in patient-provider communication. The assessment of shared decision making for performance management remains challenging. CONCLUSION: Efforts to incentivize shared decision making are at risk of being limited to the promotion of patient decision aids, passing over the opportunity to influence the communication processes between patients and providers.", "author" : [ { "dropping-particle" : "", "family" : "Durand", "given" : "Marie-Anne", "non-dropping-particle" : "", "parse-names" : false, "suffix" : "" }, { "dropping-particle" : "", "family" : "Barr", "given" : "Paul J", "non-dropping-particle" : "", "parse-names" : false, "suffix" : "" }, { "dropping-particle" : "", "family" : "Walsh", "given" : "Thom", "non-dropping-particle" : "", "parse-names" : false, "suffix" : "" }, { "dropping-particle" : "", "family" : "Elwyn", "given" : "Glyn", "non-dropping-particle" : "", "parse-names" : false, "suffix" : "" } ], "container-title" : "Healthcare (Amsterdam, Netherlands)", "id" : "ITEM-1", "issue" : "2", "issued" : { "date-parts" : [ [ "2015", "6" ] ] }, "language" : "eng", "note" : "Background - Highlights confusion of patient decision aids used in advance of a consultation and SDM in vivo.", "page" : "97-101", "publisher-place" : "Netherlands", "title" : "Incentivizing shared decision making in the USA \u2013 where are we now?", "type" : "article-journal", "volume" : "3" }, "uris" : [ "http://www.mendeley.com/documents/?uuid=892fe180-6b63-4a51-9221-99f8a5f2ccb1" ] } ], "mendeley" : { "formattedCitation" : "&lt;sup&gt;138&lt;/sup&gt;", "plainTextFormattedCitation" : "138", "previouslyFormattedCitation" : "&lt;sup&gt;138&lt;/sup&gt;" }, "properties" : { "noteIndex" : 0 }, "schema" : "https://github.com/citation-style-language/schema/raw/master/csl-citation.json" }</w:instrText>
            </w:r>
            <w:r w:rsidRPr="00815AF3">
              <w:rPr>
                <w:rFonts w:eastAsia="Times New Roman"/>
                <w:color w:val="000000"/>
                <w:sz w:val="22"/>
                <w:szCs w:val="22"/>
                <w:vertAlign w:val="superscript"/>
              </w:rPr>
              <w:fldChar w:fldCharType="separate"/>
            </w:r>
            <w:r w:rsidRPr="00D232B0">
              <w:rPr>
                <w:rFonts w:eastAsia="Times New Roman"/>
                <w:noProof/>
                <w:color w:val="000000"/>
                <w:sz w:val="22"/>
                <w:szCs w:val="22"/>
                <w:vertAlign w:val="superscript"/>
              </w:rPr>
              <w:t>138</w:t>
            </w:r>
            <w:r w:rsidRPr="00815AF3">
              <w:rPr>
                <w:rFonts w:eastAsia="Times New Roman"/>
                <w:color w:val="000000"/>
                <w:sz w:val="22"/>
                <w:szCs w:val="22"/>
              </w:rPr>
              <w:fldChar w:fldCharType="end"/>
            </w:r>
          </w:p>
        </w:tc>
        <w:tc>
          <w:tcPr>
            <w:tcW w:w="15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1F2B5D63"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Documentary analysis</w:t>
            </w:r>
          </w:p>
        </w:tc>
        <w:tc>
          <w:tcPr>
            <w:tcW w:w="223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5DAA5DFA"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NA</w:t>
            </w:r>
          </w:p>
        </w:tc>
        <w:tc>
          <w:tcPr>
            <w:tcW w:w="2526"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6BE436CE"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Not applicable</w:t>
            </w:r>
          </w:p>
        </w:tc>
        <w:tc>
          <w:tcPr>
            <w:tcW w:w="1693"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2D1767C3"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Various</w:t>
            </w:r>
          </w:p>
        </w:tc>
        <w:tc>
          <w:tcPr>
            <w:tcW w:w="2584"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75F45F1B"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PDAs, incentives for SDM</w:t>
            </w:r>
          </w:p>
        </w:tc>
      </w:tr>
      <w:tr w:rsidR="002421FE" w:rsidRPr="00815AF3" w14:paraId="4C71E1A6" w14:textId="77777777" w:rsidTr="00FB1DFE">
        <w:trPr>
          <w:trHeight w:val="300"/>
        </w:trPr>
        <w:tc>
          <w:tcPr>
            <w:tcW w:w="175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5E2DED40"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 xml:space="preserve">Eaton 2015 </w:t>
            </w:r>
            <w:r w:rsidRPr="00815AF3">
              <w:rPr>
                <w:rFonts w:eastAsia="Times New Roman"/>
                <w:color w:val="000000"/>
                <w:sz w:val="22"/>
                <w:szCs w:val="22"/>
              </w:rPr>
              <w:fldChar w:fldCharType="begin" w:fldLock="1"/>
            </w:r>
            <w:r>
              <w:rPr>
                <w:rFonts w:eastAsia="Times New Roman"/>
                <w:color w:val="000000"/>
                <w:sz w:val="22"/>
                <w:szCs w:val="22"/>
              </w:rPr>
              <w:instrText>ADDIN CSL_CITATION { "citationItems" : [ { "id" : "ITEM-1", "itemData" : { "DOI" : "10.1136/bmj.h181", "ISBN" : "0959-535x", "ISSN" : "1756-1833", "PMID" : "25670186", "abstract" : "Long term conditions are a major challenge to the sustainability of health services globally.1 Their increasing prevalence is associated with growing rates of preventable complications and premature mortality, resulting in soaring costs (box 1).2-5 These factors, coupled with higher expectations among patients and the public,6 create an urgent need to redesign health services, which are still largely geared to providing episodic acute care.7 8 Definitions of long term conditions as \u201chealth problems that require ongoing management over a period of years or decades\u201d9 fail to reflect the personal, social, and economic burden on the individual, their families, and wider community. Nor do they acknowledge that people with long term conditions spend just a few hours a year interacting with clinicians and healthcare services and more than 99% of their lives managing their conditions themselves. The challenges they face vary widely depending on their personal circumstances; the number, nature, and stages of their conditions; the need for lifestyle, specialist, and technical interventions; and their capacity to self manage effectively.", "author" : [ { "dropping-particle" : "", "family" : "Eaton", "given" : "Simon", "non-dropping-particle" : "", "parse-names" : false, "suffix" : "" }, { "dropping-particle" : "", "family" : "Roberts", "given" : "Sue", "non-dropping-particle" : "", "parse-names" : false, "suffix" : "" }, { "dropping-particle" : "", "family" : "Turner", "given" : "Bridget", "non-dropping-particle" : "", "parse-names" : false, "suffix" : "" } ], "container-title" : "Bmj", "id" : "ITEM-1", "issue" : "h181", "issued" : { "date-parts" : [ [ "2015" ] ] }, "page" : "4", "title" : "Delivering person centred care in long term conditions", "type" : "article-journal", "volume" : "350" }, "uris" : [ "http://www.mendeley.com/documents/?uuid=2b92fe1a-60ab-40cd-8da3-9957a76aaf5d" ] } ], "mendeley" : { "formattedCitation" : "&lt;sup&gt;176&lt;/sup&gt;", "plainTextFormattedCitation" : "176", "previouslyFormattedCitation" : "&lt;sup&gt;176&lt;/sup&gt;" }, "properties" : { "noteIndex" : 0 }, "schema" : "https://github.com/citation-style-language/schema/raw/master/csl-citation.json" }</w:instrText>
            </w:r>
            <w:r w:rsidRPr="00815AF3">
              <w:rPr>
                <w:rFonts w:eastAsia="Times New Roman"/>
                <w:color w:val="000000"/>
                <w:sz w:val="22"/>
                <w:szCs w:val="22"/>
                <w:vertAlign w:val="superscript"/>
              </w:rPr>
              <w:fldChar w:fldCharType="separate"/>
            </w:r>
            <w:r w:rsidRPr="00D232B0">
              <w:rPr>
                <w:rFonts w:eastAsia="Times New Roman"/>
                <w:noProof/>
                <w:color w:val="000000"/>
                <w:sz w:val="22"/>
                <w:szCs w:val="22"/>
                <w:vertAlign w:val="superscript"/>
              </w:rPr>
              <w:t>176</w:t>
            </w:r>
            <w:r w:rsidRPr="00815AF3">
              <w:rPr>
                <w:rFonts w:eastAsia="Times New Roman"/>
                <w:color w:val="000000"/>
                <w:sz w:val="22"/>
                <w:szCs w:val="22"/>
              </w:rPr>
              <w:fldChar w:fldCharType="end"/>
            </w:r>
          </w:p>
        </w:tc>
        <w:tc>
          <w:tcPr>
            <w:tcW w:w="15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22F38D03"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Discussion</w:t>
            </w:r>
          </w:p>
        </w:tc>
        <w:tc>
          <w:tcPr>
            <w:tcW w:w="223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747580FB"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NA</w:t>
            </w:r>
          </w:p>
        </w:tc>
        <w:tc>
          <w:tcPr>
            <w:tcW w:w="2526"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5AE215AB"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Not applicable</w:t>
            </w:r>
          </w:p>
        </w:tc>
        <w:tc>
          <w:tcPr>
            <w:tcW w:w="1693"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2E661DF5"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Community</w:t>
            </w:r>
          </w:p>
        </w:tc>
        <w:tc>
          <w:tcPr>
            <w:tcW w:w="2584"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1E981BDE"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PCC in LTC</w:t>
            </w:r>
          </w:p>
        </w:tc>
      </w:tr>
      <w:tr w:rsidR="002421FE" w:rsidRPr="00815AF3" w14:paraId="376581CF" w14:textId="77777777" w:rsidTr="00FB1DFE">
        <w:trPr>
          <w:trHeight w:val="300"/>
        </w:trPr>
        <w:tc>
          <w:tcPr>
            <w:tcW w:w="175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7EA7A84"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 xml:space="preserve">Edwards 2004 </w:t>
            </w:r>
            <w:r>
              <w:rPr>
                <w:rFonts w:eastAsia="Times New Roman"/>
                <w:color w:val="000000"/>
                <w:sz w:val="22"/>
                <w:szCs w:val="22"/>
              </w:rPr>
              <w:fldChar w:fldCharType="begin" w:fldLock="1"/>
            </w:r>
            <w:r>
              <w:rPr>
                <w:rFonts w:eastAsia="Times New Roman"/>
                <w:color w:val="000000"/>
                <w:sz w:val="22"/>
                <w:szCs w:val="22"/>
              </w:rPr>
              <w:instrText>ADDIN CSL_CITATION { "citationItems" : [ { "id" : "ITEM-1", "itemData" : { "DOI" : "10.1093/fampra/cmh402", "ISBN" : "0263-2136", "ISSN" : "0263-2136", "PMID" : "15249521", "abstract" : "BACKGROUND: Shared decision-making (SDM) between professionals and patients is increasingly advocated from ethical principles. Some data are accruing about the effects of such approaches on health or other patient-based outcomes. These effects often vary substantially between studies. OBJECTIVE: Our aim was to evaluate the effects of training GPs in SDM, and the use of simple risk communication aids in general practice, on patient-based outcomes. METHODS: A cluster randomized trial with crossover was carried out with the participation of 20 recently qualified GPs in urban and rural general practices in Gwent, South Wales. A total of 747 patients with known atrial fibrillation, prostatism, menorrhagia or menopausal symptoms were invited to a consultation to review their condition or treatments. After baseline, participating doctors were randomized to receive training in (i) SDM skills; or (ii) the use of simple risk communication aids, using simulated patients. The alternative training was then provided for the final study phase. Patients were randomly allocated to a consultation during baseline or intervention 1 (SDM or risk communication aids) or intervention 2 phases. A randomly selected half of the consultations took place in 'research clinics' to evaluate the effects of more time for consultations, compared with usual surgery time. Patient-based outcomes were assessed at exit from consultation and 1 month follow-up. These were: COMRADE instrument (principal measures; subscales of risk communication and confidence in decision), and a range of secondary measures (anxiety, patient enablement, intention to adhere to chosen treatment, satisfaction with decision, support in decision making and SF-12 health status measure). Multilevel modelling was carried out with outcome score as the dependent variable, and follow-up point (i.e. exit or 1 month later for each patient), patient and doctor levels of explanatory variables. RESULTS: No statistically significant changes in patient-based outcomes due to the training interventions were found: COMRADE risk communication score increased 0.7 [95% confidence interval (CI) -0.92 to 2.32] after risk communication training and 0.9 (95% CI -0.89 to 2.35) after SDM training; and COMRADE satisfaction with communication score increased by 1.0 (95% CI -1.1 to 3.1) after risk communication, and decreased by 0.6 (95% CI 2.7 to -1.5) after SDM training. Patients' confidence in the decision (2.1 increase, 95% CI 0.7-3.5, P &lt; 0\u2026", "author" : [ { "dropping-particle" : "", "family" : "Edwards", "given" : "A", "non-dropping-particle" : "", "parse-names" : false, "suffix" : "" }, { "dropping-particle" : "", "family" : "Elwyn", "given" : "G", "non-dropping-particle" : "", "parse-names" : false, "suffix" : "" }, { "dropping-particle" : "", "family" : "Hood", "given" : "K", "non-dropping-particle" : "", "parse-names" : false, "suffix" : "" }, { "dropping-particle" : "", "family" : "Atwell", "given" : "C", "non-dropping-particle" : "", "parse-names" : false, "suffix" : "" }, { "dropping-particle" : "", "family" : "Robling", "given" : "M", "non-dropping-particle" : "", "parse-names" : false, "suffix" : "" }, { "dropping-particle" : "", "family" : "Houston", "given" : "H", "non-dropping-particle" : "", "parse-names" : false, "suffix" : "" }, { "dropping-particle" : "", "family" : "Kinnersley", "given" : "P", "non-dropping-particle" : "", "parse-names" : false, "suffix" : "" }, { "dropping-particle" : "", "family" : "Russell", "given" : "I", "non-dropping-particle" : "", "parse-names" : false, "suffix" : "" } ], "container-title" : "Family practice", "id" : "ITEM-1", "issue" : "4", "issued" : { "date-parts" : [ [ "2004" ] ] }, "note" : "Read in association with Elwyn 2004 for the GPs' results.", "page" : "347-54", "title" : "Patient-based outcome results from a cluster randomized trial of shared decision making skill development and use of risk communication aids in general practice.", "type" : "article-journal", "volume" : "21" }, "uris" : [ "http://www.mendeley.com/documents/?uuid=f6f58498-7b96-4574-9273-dcaef5254c15" ] } ], "mendeley" : { "formattedCitation" : "&lt;sup&gt;139&lt;/sup&gt;", "plainTextFormattedCitation" : "139", "previouslyFormattedCitation" : "&lt;sup&gt;139&lt;/sup&gt;" }, "properties" : { "noteIndex" : 0 }, "schema" : "https://github.com/citation-style-language/schema/raw/master/csl-citation.json" }</w:instrText>
            </w:r>
            <w:r>
              <w:rPr>
                <w:rFonts w:eastAsia="Times New Roman"/>
                <w:color w:val="000000"/>
                <w:sz w:val="22"/>
                <w:szCs w:val="22"/>
              </w:rPr>
              <w:fldChar w:fldCharType="separate"/>
            </w:r>
            <w:r w:rsidRPr="00D232B0">
              <w:rPr>
                <w:rFonts w:eastAsia="Times New Roman"/>
                <w:noProof/>
                <w:color w:val="000000"/>
                <w:sz w:val="22"/>
                <w:szCs w:val="22"/>
                <w:vertAlign w:val="superscript"/>
              </w:rPr>
              <w:t>139</w:t>
            </w:r>
            <w:r>
              <w:rPr>
                <w:rFonts w:eastAsia="Times New Roman"/>
                <w:color w:val="000000"/>
                <w:sz w:val="22"/>
                <w:szCs w:val="22"/>
              </w:rPr>
              <w:fldChar w:fldCharType="end"/>
            </w:r>
          </w:p>
        </w:tc>
        <w:tc>
          <w:tcPr>
            <w:tcW w:w="15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096AF24C"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RCT</w:t>
            </w:r>
          </w:p>
        </w:tc>
        <w:tc>
          <w:tcPr>
            <w:tcW w:w="223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66DE0701"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Training for GPs in SDM</w:t>
            </w:r>
          </w:p>
        </w:tc>
        <w:tc>
          <w:tcPr>
            <w:tcW w:w="2526"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6EBF9072"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GPs</w:t>
            </w:r>
          </w:p>
        </w:tc>
        <w:tc>
          <w:tcPr>
            <w:tcW w:w="1693"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6155282"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Community, primary care</w:t>
            </w:r>
          </w:p>
        </w:tc>
        <w:tc>
          <w:tcPr>
            <w:tcW w:w="2584"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3B0B310D"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Education/training HCPs</w:t>
            </w:r>
          </w:p>
        </w:tc>
      </w:tr>
      <w:tr w:rsidR="002421FE" w:rsidRPr="00815AF3" w14:paraId="2542F578" w14:textId="77777777" w:rsidTr="00FB1DFE">
        <w:trPr>
          <w:trHeight w:val="525"/>
        </w:trPr>
        <w:tc>
          <w:tcPr>
            <w:tcW w:w="175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C31C3FB"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 xml:space="preserve">Elwyn 2004 </w:t>
            </w:r>
            <w:r w:rsidRPr="00815AF3">
              <w:rPr>
                <w:rFonts w:eastAsia="Times New Roman"/>
                <w:color w:val="000000"/>
                <w:sz w:val="22"/>
                <w:szCs w:val="22"/>
              </w:rPr>
              <w:fldChar w:fldCharType="begin" w:fldLock="1"/>
            </w:r>
            <w:r>
              <w:rPr>
                <w:rFonts w:eastAsia="Times New Roman"/>
                <w:color w:val="000000"/>
                <w:sz w:val="22"/>
                <w:szCs w:val="22"/>
              </w:rPr>
              <w:instrText>ADDIN CSL_CITATION { "citationItems" : [ { "id" : "ITEM-1", "itemData" : { "DOI" : "10.1093/fampra/cmh401", "author" : [ { "dropping-particle" : "", "family" : "Elwyn", "given" : "G", "non-dropping-particle" : "", "parse-names" : false, "suffix" : "" }, { "dropping-particle" : "", "family" : "Edwards", "given" : "A", "non-dropping-particle" : "", "parse-names" : false, "suffix" : "" }, { "dropping-particle" : "", "family" : "Hood", "given" : "K", "non-dropping-particle" : "", "parse-names" : false, "suffix" : "" }, { "dropping-particle" : "", "family" : "Robling", "given" : "M", "non-dropping-particle" : "", "parse-names" : false, "suffix" : "" }, { "dropping-particle" : "", "family" : "Atwell", "given" : "C", "non-dropping-particle" : "", "parse-names" : false, "suffix" : "" }, { "dropping-particle" : "", "family" : "Russell", "given" : "I", "non-dropping-particle" : "", "parse-names" : false, "suffix" : "" }, { "dropping-particle" : "", "family" : "Wensing", "given" : "M", "non-dropping-particle" : "", "parse-names" : false, "suffix" : "" }, { "dropping-particle" : "", "family" : "Grol", "given" : "R", "non-dropping-particle" : "", "parse-names" : false, "suffix" : "" }, { "dropping-particle" : "", "family" : "The Study Steering", "given" : "G", "non-dropping-particle" : "", "parse-names" : false, "suffix" : "" } ], "container-title" : "Fam Pract", "id" : "ITEM-1", "issued" : { "date-parts" : [ [ "2004" ] ] }, "note" : "Read in association with Edwards 2004 for the patients' results.", "title" : "Achieving involvement: process outcomes from a cluster randomized trial of shared decision-making skill development and use of risk communication aids in general practice", "type" : "article-journal", "volume" : "21" }, "uris" : [ "http://www.mendeley.com/documents/?uuid=276f504c-2d2e-4668-bc00-096d3d8afff8" ] } ], "mendeley" : { "formattedCitation" : "&lt;sup&gt;140&lt;/sup&gt;", "plainTextFormattedCitation" : "140", "previouslyFormattedCitation" : "&lt;sup&gt;140&lt;/sup&gt;" }, "properties" : { "noteIndex" : 0 }, "schema" : "https://github.com/citation-style-language/schema/raw/master/csl-citation.json" }</w:instrText>
            </w:r>
            <w:r w:rsidRPr="00815AF3">
              <w:rPr>
                <w:rFonts w:eastAsia="Times New Roman"/>
                <w:color w:val="000000"/>
                <w:sz w:val="22"/>
                <w:szCs w:val="22"/>
                <w:vertAlign w:val="superscript"/>
              </w:rPr>
              <w:fldChar w:fldCharType="separate"/>
            </w:r>
            <w:r w:rsidRPr="00D232B0">
              <w:rPr>
                <w:rFonts w:eastAsia="Times New Roman"/>
                <w:noProof/>
                <w:color w:val="000000"/>
                <w:sz w:val="22"/>
                <w:szCs w:val="22"/>
                <w:vertAlign w:val="superscript"/>
              </w:rPr>
              <w:t>140</w:t>
            </w:r>
            <w:r w:rsidRPr="00815AF3">
              <w:rPr>
                <w:rFonts w:eastAsia="Times New Roman"/>
                <w:color w:val="000000"/>
                <w:sz w:val="22"/>
                <w:szCs w:val="22"/>
              </w:rPr>
              <w:fldChar w:fldCharType="end"/>
            </w:r>
          </w:p>
        </w:tc>
        <w:tc>
          <w:tcPr>
            <w:tcW w:w="15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2C384F99"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RCT</w:t>
            </w:r>
          </w:p>
        </w:tc>
        <w:tc>
          <w:tcPr>
            <w:tcW w:w="223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07526B24"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Training for GPs in SDM</w:t>
            </w:r>
          </w:p>
        </w:tc>
        <w:tc>
          <w:tcPr>
            <w:tcW w:w="2526"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7FE4ED49"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General population, HCPs (GPs)</w:t>
            </w:r>
          </w:p>
        </w:tc>
        <w:tc>
          <w:tcPr>
            <w:tcW w:w="1693"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0C7005FB"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Community (primary care)</w:t>
            </w:r>
          </w:p>
        </w:tc>
        <w:tc>
          <w:tcPr>
            <w:tcW w:w="2584"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0A2166C"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Education/training HCPs</w:t>
            </w:r>
          </w:p>
        </w:tc>
      </w:tr>
      <w:tr w:rsidR="002421FE" w:rsidRPr="00815AF3" w14:paraId="4807323D" w14:textId="77777777" w:rsidTr="00FB1DFE">
        <w:trPr>
          <w:trHeight w:val="525"/>
        </w:trPr>
        <w:tc>
          <w:tcPr>
            <w:tcW w:w="175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14CFB3F8"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 xml:space="preserve">Elwyn 2012 </w:t>
            </w:r>
            <w:r w:rsidRPr="00815AF3">
              <w:rPr>
                <w:rFonts w:eastAsia="Times New Roman"/>
                <w:color w:val="000000"/>
                <w:sz w:val="22"/>
                <w:szCs w:val="22"/>
              </w:rPr>
              <w:fldChar w:fldCharType="begin" w:fldLock="1"/>
            </w:r>
            <w:r>
              <w:rPr>
                <w:rFonts w:eastAsia="Times New Roman"/>
                <w:color w:val="000000"/>
                <w:sz w:val="22"/>
                <w:szCs w:val="22"/>
              </w:rPr>
              <w:instrText>ADDIN CSL_CITATION { "citationItems" : [ { "id" : "ITEM-1", "itemData" : { "DOI" : "10.1007/s11606-012-2077-6", "ISBN" : "0884-8734", "PMID" : "22618581", "abstract" : "The principles of shared decision making are well documented but there is a lack of guidance about how to accomplish the approach in routine clinical practice. Our aim here is to translate existing conceptual descriptions into a three-step model that is practical, easy to remember, and can act as a guide to skill development. Achieving shared decision making depends on building a good relationship in the clinical encounter so that information is shared and patients are supported to deliberate and express their preferences and views during the decision making process. To accomplish these tasks, we propose a model of how to do shared decision making that is based on choice, option and decision talk. The model has three steps: a) introducing choice, b) describing options, often by integrating the use of patient decision support, and c) helping patients explore preferences and make decisions. This model rests on supporting a process of deliberation, and on understanding that decisions should be influenced by exploring and respecting \"what matters most\" to patients as individuals, and that this exploration in turn depends on them developing informed preferences.", "author" : [ { "dropping-particle" : "", "family" : "Elwyn", "given" : "G", "non-dropping-particle" : "", "parse-names" : false, "suffix" : "" }, { "dropping-particle" : "", "family" : "Frosch", "given" : "D", "non-dropping-particle" : "", "parse-names" : false, "suffix" : "" }, { "dropping-particle" : "", "family" : "Thomson", "given" : "R", "non-dropping-particle" : "", "parse-names" : false, "suffix" : "" }, { "dropping-particle" : "", "family" : "Joseph-Williams", "given" : "N", "non-dropping-particle" : "", "parse-names" : false, "suffix" : "" }, { "dropping-particle" : "", "family" : "Lloyd", "given" : "A", "non-dropping-particle" : "", "parse-names" : false, "suffix" : "" }, { "dropping-particle" : "", "family" : "Kinnersley", "given" : "P", "non-dropping-particle" : "", "parse-names" : false, "suffix" : "" }, { "dropping-particle" : "", "family" : "Cording", "given" : "E", "non-dropping-particle" : "", "parse-names" : false, "suffix" : "" }, { "dropping-particle" : "", "family" : "Tomson", "given" : "D", "non-dropping-particle" : "", "parse-names" : false, "suffix" : "" }, { "dropping-particle" : "", "family" : "Dodd", "given" : "C", "non-dropping-particle" : "", "parse-names" : false, "suffix" : "" }, { "dropping-particle" : "", "family" : "Rollnick", "given" : "S", "non-dropping-particle" : "", "parse-names" : false, "suffix" : "" }, { "dropping-particle" : "", "family" : "Edwards", "given" : "A", "non-dropping-particle" : "", "parse-names" : false, "suffix" : "" }, { "dropping-particle" : "", "family" : "Barry", "given" : "M", "non-dropping-particle" : "", "parse-names" : false, "suffix" : "" } ], "container-title" : "J Gen Intern Med", "edition" : "2012/05/24", "id" : "ITEM-1", "issue" : "10", "issued" : { "date-parts" : [ [ "2012" ] ] }, "language" : "eng", "note" : "1525-1497\nElwyn, Glyn\nFrosch, Dominick\nThomson, Richard\nJoseph-Williams, Natalie\nLloyd, Amy\nKinnersley, Paul\nCording, Emma\nTomson, Dave\nDodd, Carole\nRollnick, Stephen\nEdwards, Adrian\nBarry, Michael\nJournal Article\nReview\nUnited States\nJ Gen Intern Med. 2012 Oct;27(10):1361-7. Epub 2012 May 23.", "page" : "1361-1367", "title" : "Shared decision making: a model for clinical practice", "type" : "article-journal", "volume" : "27" }, "uris" : [ "http://www.mendeley.com/documents/?uuid=7397af28-6399-4cd7-a4cf-8ccf317feb1d" ] } ], "mendeley" : { "formattedCitation" : "&lt;sup&gt;179&lt;/sup&gt;", "plainTextFormattedCitation" : "179", "previouslyFormattedCitation" : "&lt;sup&gt;179&lt;/sup&gt;" }, "properties" : { "noteIndex" : 0 }, "schema" : "https://github.com/citation-style-language/schema/raw/master/csl-citation.json" }</w:instrText>
            </w:r>
            <w:r w:rsidRPr="00815AF3">
              <w:rPr>
                <w:rFonts w:eastAsia="Times New Roman"/>
                <w:color w:val="000000"/>
                <w:sz w:val="22"/>
                <w:szCs w:val="22"/>
                <w:vertAlign w:val="superscript"/>
              </w:rPr>
              <w:fldChar w:fldCharType="separate"/>
            </w:r>
            <w:r w:rsidRPr="00D232B0">
              <w:rPr>
                <w:rFonts w:eastAsia="Times New Roman"/>
                <w:noProof/>
                <w:color w:val="000000"/>
                <w:sz w:val="22"/>
                <w:szCs w:val="22"/>
                <w:vertAlign w:val="superscript"/>
              </w:rPr>
              <w:t>179</w:t>
            </w:r>
            <w:r w:rsidRPr="00815AF3">
              <w:rPr>
                <w:rFonts w:eastAsia="Times New Roman"/>
                <w:color w:val="000000"/>
                <w:sz w:val="22"/>
                <w:szCs w:val="22"/>
              </w:rPr>
              <w:fldChar w:fldCharType="end"/>
            </w:r>
          </w:p>
        </w:tc>
        <w:tc>
          <w:tcPr>
            <w:tcW w:w="15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7F37ED7C"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Discussion</w:t>
            </w:r>
          </w:p>
        </w:tc>
        <w:tc>
          <w:tcPr>
            <w:tcW w:w="223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1F9E9753"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NA</w:t>
            </w:r>
          </w:p>
        </w:tc>
        <w:tc>
          <w:tcPr>
            <w:tcW w:w="2526"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22200693"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General population, HCPs</w:t>
            </w:r>
          </w:p>
        </w:tc>
        <w:tc>
          <w:tcPr>
            <w:tcW w:w="1693"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1A8EA74"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Any clinical consultation</w:t>
            </w:r>
          </w:p>
        </w:tc>
        <w:tc>
          <w:tcPr>
            <w:tcW w:w="2584"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08372EB3"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Other, Relationships</w:t>
            </w:r>
          </w:p>
        </w:tc>
      </w:tr>
      <w:tr w:rsidR="002421FE" w:rsidRPr="00815AF3" w14:paraId="3C506886" w14:textId="77777777" w:rsidTr="00FB1DFE">
        <w:trPr>
          <w:trHeight w:val="780"/>
        </w:trPr>
        <w:tc>
          <w:tcPr>
            <w:tcW w:w="175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571F2440" w14:textId="77777777" w:rsidR="002421FE" w:rsidRPr="00815AF3" w:rsidRDefault="002421FE" w:rsidP="00FB1DFE">
            <w:pPr>
              <w:spacing w:after="0"/>
              <w:rPr>
                <w:rFonts w:eastAsia="Times New Roman"/>
                <w:color w:val="000000"/>
                <w:sz w:val="22"/>
                <w:szCs w:val="22"/>
              </w:rPr>
            </w:pPr>
            <w:proofErr w:type="spellStart"/>
            <w:r w:rsidRPr="00815AF3">
              <w:rPr>
                <w:rFonts w:eastAsia="Times New Roman"/>
                <w:color w:val="000000"/>
                <w:sz w:val="22"/>
                <w:szCs w:val="22"/>
              </w:rPr>
              <w:t>Farrelly</w:t>
            </w:r>
            <w:proofErr w:type="spellEnd"/>
            <w:r w:rsidRPr="00815AF3">
              <w:rPr>
                <w:rFonts w:eastAsia="Times New Roman"/>
                <w:color w:val="000000"/>
                <w:sz w:val="22"/>
                <w:szCs w:val="22"/>
              </w:rPr>
              <w:t xml:space="preserve"> 2016 </w:t>
            </w:r>
            <w:r w:rsidRPr="00815AF3">
              <w:rPr>
                <w:rFonts w:eastAsia="Times New Roman"/>
                <w:color w:val="000000"/>
                <w:sz w:val="22"/>
                <w:szCs w:val="22"/>
              </w:rPr>
              <w:fldChar w:fldCharType="begin" w:fldLock="1"/>
            </w:r>
            <w:r>
              <w:rPr>
                <w:rFonts w:eastAsia="Times New Roman"/>
                <w:color w:val="000000"/>
                <w:sz w:val="22"/>
                <w:szCs w:val="22"/>
              </w:rPr>
              <w:instrText>ADDIN CSL_CITATION { "citationItems" : [ { "id" : "ITEM-1", "itemData" : { "DOI" : "10.1111/hex.12368", "ISSN" : "13697625", "PMID" : "25912086", "abstract" : "Background Despite increasing calls for shared decision making (SDM), the precise mechanisms for its attainment are unclear. Sharing decisions in mental health care may be especially complex. Fluctuations in service user capacity and significant power differences are particular barriers. Objective and design We trialled a form of facilitated SDM that aimed to generate patients' treatment preferences in advance of a possible relapse. The 'Joint Crisis Plan' (JCP) intervention was trialled in four mental health trusts in England between 2008 and 2011. This qualitative study used grounded theory methods to analyse focus group and interview data to understand how stakeholders perceived the intervention and the barriers to SDM in the form of a JCP. Results Fifty service users with psychotic disorders and 45 clinicians participated in focus groups or interviews between February 2010 and November 2011. Results suggested four barriers to clinician engagement in the JCP: (i) ambivalence about care planning; (ii) perceptions that they were 'already doing SDM'; (iii) concerns regarding the clinical 'appropriateness of service users' choices'; and (iv) limited 'availability of service users' choices'. Service users reported barriers to SDM in routine practice, most of which were addressed by the JCP process. Barriers identified by clinicians led to their lack of constructive engagement in the process, undermining the service users' experience. Conclusions Future work requires interventions targeted at the engagement of clinicians addressing their concerns about SDM. Particular strategies include organizational investment in implementation of service users' choices and directly training clinicians in SDM communication processes.", "author" : [ { "dropping-particle" : "", "family" : "Farrelly", "given" : "Simone", "non-dropping-particle" : "", "parse-names" : false, "suffix" : "" }, { "dropping-particle" : "", "family" : "Lester", "given" : "Helen", "non-dropping-particle" : "", "parse-names" : false, "suffix" : "" }, { "dropping-particle" : "", "family" : "Rose", "given" : "Diana", "non-dropping-particle" : "", "parse-names" : false, "suffix" : "" }, { "dropping-particle" : "", "family" : "Birchwood", "given" : "Max", "non-dropping-particle" : "", "parse-names" : false, "suffix" : "" }, { "dropping-particle" : "", "family" : "Marshall", "given" : "Max", "non-dropping-particle" : "", "parse-names" : false, "suffix" : "" }, { "dropping-particle" : "", "family" : "Waheed", "given" : "Waquas", "non-dropping-particle" : "", "parse-names" : false, "suffix" : "" }, { "dropping-particle" : "", "family" : "Henderson", "given" : "R. Claire", "non-dropping-particle" : "", "parse-names" : false, "suffix" : "" }, { "dropping-particle" : "", "family" : "Szmukler", "given" : "George", "non-dropping-particle" : "", "parse-names" : false, "suffix" : "" }, { "dropping-particle" : "", "family" : "Thornicroft", "given" : "Graham", "non-dropping-particle" : "", "parse-names" : false, "suffix" : "" } ], "container-title" : "Health Expectations", "id" : "ITEM-1", "issue" : "2", "issued" : { "date-parts" : [ [ "2016" ] ] }, "note" : "JCP = Joint Crisis Planning, a type of specific SDm for ppl with MH problems, used to decide in advance how they would like a crisis to be managed.", "page" : "448-458", "title" : "Barriers to shared decision making in mental health care: Qualitative study of the Joint Crisis Plan for psychosis", "type" : "article-journal", "volume" : "19" }, "uris" : [ "http://www.mendeley.com/documents/?uuid=0a410115-30e2-4071-83f1-73bb2e88a18d" ] } ], "mendeley" : { "formattedCitation" : "&lt;sup&gt;141&lt;/sup&gt;", "plainTextFormattedCitation" : "141", "previouslyFormattedCitation" : "&lt;sup&gt;141&lt;/sup&gt;" }, "properties" : { "noteIndex" : 0 }, "schema" : "https://github.com/citation-style-language/schema/raw/master/csl-citation.json" }</w:instrText>
            </w:r>
            <w:r w:rsidRPr="00815AF3">
              <w:rPr>
                <w:rFonts w:eastAsia="Times New Roman"/>
                <w:color w:val="000000"/>
                <w:sz w:val="22"/>
                <w:szCs w:val="22"/>
                <w:vertAlign w:val="superscript"/>
              </w:rPr>
              <w:fldChar w:fldCharType="separate"/>
            </w:r>
            <w:r w:rsidRPr="00D232B0">
              <w:rPr>
                <w:rFonts w:eastAsia="Times New Roman"/>
                <w:noProof/>
                <w:color w:val="000000"/>
                <w:sz w:val="22"/>
                <w:szCs w:val="22"/>
                <w:vertAlign w:val="superscript"/>
              </w:rPr>
              <w:t>141</w:t>
            </w:r>
            <w:r w:rsidRPr="00815AF3">
              <w:rPr>
                <w:rFonts w:eastAsia="Times New Roman"/>
                <w:color w:val="000000"/>
                <w:sz w:val="22"/>
                <w:szCs w:val="22"/>
              </w:rPr>
              <w:fldChar w:fldCharType="end"/>
            </w:r>
          </w:p>
        </w:tc>
        <w:tc>
          <w:tcPr>
            <w:tcW w:w="15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60BEA023"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Qualitative</w:t>
            </w:r>
          </w:p>
        </w:tc>
        <w:tc>
          <w:tcPr>
            <w:tcW w:w="223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0C124658"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Joint care planning</w:t>
            </w:r>
          </w:p>
        </w:tc>
        <w:tc>
          <w:tcPr>
            <w:tcW w:w="2526"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34215976"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People with mental health problems and HSCPs</w:t>
            </w:r>
          </w:p>
        </w:tc>
        <w:tc>
          <w:tcPr>
            <w:tcW w:w="1693"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7E71E63F"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Community</w:t>
            </w:r>
          </w:p>
        </w:tc>
        <w:tc>
          <w:tcPr>
            <w:tcW w:w="2584"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729AEBAE"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Care planning</w:t>
            </w:r>
          </w:p>
        </w:tc>
      </w:tr>
      <w:tr w:rsidR="002421FE" w:rsidRPr="00815AF3" w14:paraId="23198B25" w14:textId="77777777" w:rsidTr="00FB1DFE">
        <w:trPr>
          <w:trHeight w:val="525"/>
        </w:trPr>
        <w:tc>
          <w:tcPr>
            <w:tcW w:w="175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73C6AF53"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 xml:space="preserve">Foot 2014 </w:t>
            </w:r>
            <w:r w:rsidRPr="00815AF3">
              <w:rPr>
                <w:rFonts w:eastAsia="Times New Roman"/>
                <w:color w:val="000000"/>
                <w:sz w:val="22"/>
                <w:szCs w:val="22"/>
              </w:rPr>
              <w:fldChar w:fldCharType="begin" w:fldLock="1"/>
            </w:r>
            <w:r>
              <w:rPr>
                <w:rFonts w:eastAsia="Times New Roman"/>
                <w:color w:val="000000"/>
                <w:sz w:val="22"/>
                <w:szCs w:val="22"/>
              </w:rPr>
              <w:instrText>ADDIN CSL_CITATION { "citationItems" : [ { "id" : "ITEM-1", "itemData" : { "abstract" : "patient involvement", "author" : [ { "dropping-particle" : "", "family" : "Foot C, Gilburt H, Dunn P, Jabbal J, Seale B, Goodrich J, Buck D", "given" : "Taylor J", "non-dropping-particle" : "", "parse-names" : false, "suffix" : "" } ], "id" : "ITEM-1", "issue" : "November", "issued" : { "date-parts" : [ [ "2014" ] ] }, "note" : "NULL", "number-of-pages" : "1-82", "publisher-place" : "London", "title" : "People in control of their own health and care: the state of involvement", "type" : "report" }, "uris" : [ "http://www.mendeley.com/documents/?uuid=8aedf743-26c5-4104-8013-ad9dae0edc3f" ] } ], "mendeley" : { "formattedCitation" : "&lt;sup&gt;169&lt;/sup&gt;", "plainTextFormattedCitation" : "169", "previouslyFormattedCitation" : "&lt;sup&gt;169&lt;/sup&gt;" }, "properties" : { "noteIndex" : 0 }, "schema" : "https://github.com/citation-style-language/schema/raw/master/csl-citation.json" }</w:instrText>
            </w:r>
            <w:r w:rsidRPr="00815AF3">
              <w:rPr>
                <w:rFonts w:eastAsia="Times New Roman"/>
                <w:color w:val="000000"/>
                <w:sz w:val="22"/>
                <w:szCs w:val="22"/>
                <w:vertAlign w:val="superscript"/>
              </w:rPr>
              <w:fldChar w:fldCharType="separate"/>
            </w:r>
            <w:r w:rsidRPr="00D232B0">
              <w:rPr>
                <w:rFonts w:eastAsia="Times New Roman"/>
                <w:noProof/>
                <w:color w:val="000000"/>
                <w:sz w:val="22"/>
                <w:szCs w:val="22"/>
                <w:vertAlign w:val="superscript"/>
              </w:rPr>
              <w:t>169</w:t>
            </w:r>
            <w:r w:rsidRPr="00815AF3">
              <w:rPr>
                <w:rFonts w:eastAsia="Times New Roman"/>
                <w:color w:val="000000"/>
                <w:sz w:val="22"/>
                <w:szCs w:val="22"/>
              </w:rPr>
              <w:fldChar w:fldCharType="end"/>
            </w:r>
          </w:p>
        </w:tc>
        <w:tc>
          <w:tcPr>
            <w:tcW w:w="15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2840EA68"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Review for guideline</w:t>
            </w:r>
          </w:p>
        </w:tc>
        <w:tc>
          <w:tcPr>
            <w:tcW w:w="223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5D6D56F2"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NA</w:t>
            </w:r>
          </w:p>
        </w:tc>
        <w:tc>
          <w:tcPr>
            <w:tcW w:w="2526"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6AD6079"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Not applicable</w:t>
            </w:r>
          </w:p>
        </w:tc>
        <w:tc>
          <w:tcPr>
            <w:tcW w:w="1693"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045AE4A4"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NA</w:t>
            </w:r>
          </w:p>
        </w:tc>
        <w:tc>
          <w:tcPr>
            <w:tcW w:w="2584"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2E022386"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Influences on SDM, Pt/carer views or preferences</w:t>
            </w:r>
          </w:p>
        </w:tc>
      </w:tr>
      <w:tr w:rsidR="002421FE" w:rsidRPr="00815AF3" w14:paraId="7F110761" w14:textId="77777777" w:rsidTr="00FB1DFE">
        <w:trPr>
          <w:trHeight w:val="780"/>
        </w:trPr>
        <w:tc>
          <w:tcPr>
            <w:tcW w:w="1750" w:type="dxa"/>
            <w:tcBorders>
              <w:top w:val="single" w:sz="4" w:space="0" w:color="auto"/>
              <w:left w:val="single" w:sz="4" w:space="0" w:color="auto"/>
              <w:bottom w:val="single" w:sz="4" w:space="0" w:color="auto"/>
              <w:right w:val="single" w:sz="4" w:space="0" w:color="auto"/>
            </w:tcBorders>
            <w:shd w:val="clear" w:color="000000" w:fill="FFFFFF"/>
            <w:vAlign w:val="bottom"/>
          </w:tcPr>
          <w:p w14:paraId="25FBDE83" w14:textId="77777777" w:rsidR="002421FE" w:rsidRPr="00815AF3" w:rsidRDefault="002421FE" w:rsidP="00FB1DFE">
            <w:pPr>
              <w:spacing w:after="0"/>
              <w:rPr>
                <w:rFonts w:eastAsia="Times New Roman"/>
                <w:color w:val="000000"/>
                <w:sz w:val="22"/>
                <w:szCs w:val="22"/>
              </w:rPr>
            </w:pPr>
            <w:r w:rsidRPr="00815AF3">
              <w:rPr>
                <w:rFonts w:eastAsia="Times New Roman"/>
                <w:b/>
                <w:bCs/>
                <w:color w:val="000000"/>
                <w:sz w:val="22"/>
                <w:szCs w:val="22"/>
              </w:rPr>
              <w:lastRenderedPageBreak/>
              <w:t>Author and year</w:t>
            </w:r>
          </w:p>
        </w:tc>
        <w:tc>
          <w:tcPr>
            <w:tcW w:w="1597" w:type="dxa"/>
            <w:tcBorders>
              <w:top w:val="single" w:sz="4" w:space="0" w:color="auto"/>
              <w:left w:val="single" w:sz="4" w:space="0" w:color="auto"/>
              <w:bottom w:val="single" w:sz="4" w:space="0" w:color="auto"/>
              <w:right w:val="single" w:sz="4" w:space="0" w:color="auto"/>
            </w:tcBorders>
            <w:shd w:val="clear" w:color="000000" w:fill="FFFFFF"/>
            <w:vAlign w:val="bottom"/>
          </w:tcPr>
          <w:p w14:paraId="4A9419C9" w14:textId="77777777" w:rsidR="002421FE" w:rsidRPr="00815AF3" w:rsidRDefault="002421FE" w:rsidP="00FB1DFE">
            <w:pPr>
              <w:spacing w:after="0"/>
              <w:rPr>
                <w:rFonts w:eastAsia="Times New Roman"/>
                <w:color w:val="000000"/>
                <w:sz w:val="22"/>
                <w:szCs w:val="22"/>
              </w:rPr>
            </w:pPr>
            <w:r w:rsidRPr="00815AF3">
              <w:rPr>
                <w:rFonts w:eastAsia="Times New Roman"/>
                <w:b/>
                <w:bCs/>
                <w:color w:val="000000"/>
                <w:sz w:val="22"/>
                <w:szCs w:val="22"/>
              </w:rPr>
              <w:t>If research give type</w:t>
            </w:r>
          </w:p>
        </w:tc>
        <w:tc>
          <w:tcPr>
            <w:tcW w:w="2230" w:type="dxa"/>
            <w:tcBorders>
              <w:top w:val="single" w:sz="4" w:space="0" w:color="auto"/>
              <w:left w:val="single" w:sz="4" w:space="0" w:color="auto"/>
              <w:bottom w:val="single" w:sz="4" w:space="0" w:color="auto"/>
              <w:right w:val="single" w:sz="4" w:space="0" w:color="auto"/>
            </w:tcBorders>
            <w:shd w:val="clear" w:color="000000" w:fill="FFFFFF"/>
            <w:vAlign w:val="bottom"/>
          </w:tcPr>
          <w:p w14:paraId="2EAE17D3" w14:textId="77777777" w:rsidR="002421FE" w:rsidRPr="00815AF3" w:rsidRDefault="002421FE" w:rsidP="00FB1DFE">
            <w:pPr>
              <w:spacing w:after="0"/>
              <w:rPr>
                <w:rFonts w:eastAsia="Times New Roman"/>
                <w:color w:val="000000"/>
                <w:sz w:val="22"/>
                <w:szCs w:val="22"/>
              </w:rPr>
            </w:pPr>
            <w:r w:rsidRPr="00815AF3">
              <w:rPr>
                <w:rFonts w:eastAsia="Times New Roman"/>
                <w:b/>
                <w:bCs/>
                <w:color w:val="000000"/>
                <w:sz w:val="22"/>
                <w:szCs w:val="22"/>
              </w:rPr>
              <w:t>Description of intervention</w:t>
            </w:r>
          </w:p>
        </w:tc>
        <w:tc>
          <w:tcPr>
            <w:tcW w:w="2526" w:type="dxa"/>
            <w:tcBorders>
              <w:top w:val="single" w:sz="4" w:space="0" w:color="auto"/>
              <w:left w:val="single" w:sz="4" w:space="0" w:color="auto"/>
              <w:bottom w:val="single" w:sz="4" w:space="0" w:color="auto"/>
              <w:right w:val="single" w:sz="4" w:space="0" w:color="auto"/>
            </w:tcBorders>
            <w:shd w:val="clear" w:color="000000" w:fill="FFFFFF"/>
            <w:vAlign w:val="bottom"/>
          </w:tcPr>
          <w:p w14:paraId="67D4D164" w14:textId="77777777" w:rsidR="002421FE" w:rsidRPr="00815AF3" w:rsidRDefault="002421FE" w:rsidP="00FB1DFE">
            <w:pPr>
              <w:spacing w:after="0"/>
              <w:rPr>
                <w:rFonts w:eastAsia="Times New Roman"/>
                <w:color w:val="000000"/>
                <w:sz w:val="22"/>
                <w:szCs w:val="22"/>
              </w:rPr>
            </w:pPr>
            <w:r w:rsidRPr="00815AF3">
              <w:rPr>
                <w:rFonts w:eastAsia="Times New Roman"/>
                <w:b/>
                <w:bCs/>
                <w:color w:val="000000"/>
                <w:sz w:val="22"/>
                <w:szCs w:val="22"/>
              </w:rPr>
              <w:t>Participants</w:t>
            </w:r>
          </w:p>
        </w:tc>
        <w:tc>
          <w:tcPr>
            <w:tcW w:w="1693" w:type="dxa"/>
            <w:tcBorders>
              <w:top w:val="single" w:sz="4" w:space="0" w:color="auto"/>
              <w:left w:val="single" w:sz="4" w:space="0" w:color="auto"/>
              <w:bottom w:val="single" w:sz="4" w:space="0" w:color="auto"/>
              <w:right w:val="single" w:sz="4" w:space="0" w:color="auto"/>
            </w:tcBorders>
            <w:shd w:val="clear" w:color="000000" w:fill="FFFFFF"/>
            <w:vAlign w:val="bottom"/>
          </w:tcPr>
          <w:p w14:paraId="6A71DE10" w14:textId="77777777" w:rsidR="002421FE" w:rsidRPr="00815AF3" w:rsidRDefault="002421FE" w:rsidP="00FB1DFE">
            <w:pPr>
              <w:spacing w:after="0"/>
              <w:rPr>
                <w:rFonts w:eastAsia="Times New Roman"/>
                <w:color w:val="000000"/>
                <w:sz w:val="22"/>
                <w:szCs w:val="22"/>
              </w:rPr>
            </w:pPr>
            <w:r w:rsidRPr="00815AF3">
              <w:rPr>
                <w:rFonts w:eastAsia="Times New Roman"/>
                <w:b/>
                <w:bCs/>
                <w:color w:val="000000"/>
                <w:sz w:val="22"/>
                <w:szCs w:val="22"/>
              </w:rPr>
              <w:t>Setting</w:t>
            </w:r>
          </w:p>
        </w:tc>
        <w:tc>
          <w:tcPr>
            <w:tcW w:w="2584" w:type="dxa"/>
            <w:tcBorders>
              <w:top w:val="single" w:sz="4" w:space="0" w:color="auto"/>
              <w:left w:val="single" w:sz="4" w:space="0" w:color="auto"/>
              <w:bottom w:val="single" w:sz="4" w:space="0" w:color="auto"/>
              <w:right w:val="single" w:sz="4" w:space="0" w:color="auto"/>
            </w:tcBorders>
            <w:shd w:val="clear" w:color="000000" w:fill="FFFFFF"/>
            <w:vAlign w:val="bottom"/>
          </w:tcPr>
          <w:p w14:paraId="2D610BDE" w14:textId="77777777" w:rsidR="002421FE" w:rsidRPr="00815AF3" w:rsidRDefault="002421FE" w:rsidP="00FB1DFE">
            <w:pPr>
              <w:spacing w:after="0"/>
              <w:rPr>
                <w:rFonts w:eastAsia="Times New Roman"/>
                <w:color w:val="000000"/>
                <w:sz w:val="22"/>
                <w:szCs w:val="22"/>
              </w:rPr>
            </w:pPr>
            <w:proofErr w:type="gramStart"/>
            <w:r w:rsidRPr="00815AF3">
              <w:rPr>
                <w:rFonts w:eastAsia="Times New Roman"/>
                <w:b/>
                <w:bCs/>
                <w:color w:val="000000"/>
                <w:sz w:val="22"/>
                <w:szCs w:val="22"/>
              </w:rPr>
              <w:t>Main focus</w:t>
            </w:r>
            <w:proofErr w:type="gramEnd"/>
          </w:p>
        </w:tc>
      </w:tr>
      <w:tr w:rsidR="002421FE" w:rsidRPr="00815AF3" w14:paraId="1B472A54" w14:textId="77777777" w:rsidTr="00FB1DFE">
        <w:trPr>
          <w:trHeight w:val="780"/>
        </w:trPr>
        <w:tc>
          <w:tcPr>
            <w:tcW w:w="175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B551C3C"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 xml:space="preserve">Fried 2007 </w:t>
            </w:r>
            <w:r w:rsidRPr="00815AF3">
              <w:rPr>
                <w:rFonts w:eastAsia="Times New Roman"/>
                <w:color w:val="000000"/>
                <w:sz w:val="22"/>
                <w:szCs w:val="22"/>
              </w:rPr>
              <w:fldChar w:fldCharType="begin" w:fldLock="1"/>
            </w:r>
            <w:r>
              <w:rPr>
                <w:rFonts w:eastAsia="Times New Roman"/>
                <w:color w:val="000000"/>
                <w:sz w:val="22"/>
                <w:szCs w:val="22"/>
              </w:rPr>
              <w:instrText>ADDIN CSL_CITATION { "citationItems" : [ { "id" : "ITEM-1", "itemData" : { "DOI" : "10.1111/j.1532-5415.2007.01232.x", "ISBN" : "0002-8614", "ISSN" : "00028614", "PMID" : "17608872", "abstract" : "OBJECTIVES: To determine whether preferences for future attempts at life-sustaining treatment change over time in a consistent and predictable manner.\\n\\nDESIGN: Observational cohort study.\\n\\nSETTING: Community.\\n\\nPARTICIPANTS: One hundred eighty-nine community-dwelling persons ages 60 and older with advanced cancer, heart failure, or chronic obstructive pulmonary disease.\\n\\nMEASUREMENTS: Participants were asked, if faced with an illness exacerbation that would be fatal if untreated, whether they would undergo high-burden therapy for a chance to avoid death and risk an impaired health state to avoid death. Interviews occurred at least every 4 months for up to 2 years.\\n\\nRESULTS: When asked their willingness to undergo high-burden therapy for a chance to avoid death, 35% had an inconsistent preference trajectory (e.g., becoming more and then less willing over time or vice versa). The proportion with inconsistent trajectories increased to 48% and 49% when asked their willingness to risk physical or cognitive disability, respectively, to avoid death. Participants with variable health states over time were more likely to have inconsistent trajectories, although inconsistent trajectories were also common in those with stable health states.\\n\\nCONCLUSION: A large proportion of older persons with advanced illness have inconsistent trajectories of willingness to undergo burdensome therapy or risk an impaired health state for a chance to avoid death. Variability in their health state over time explained this in part, although the frequency of inconsistent trajectories even in those with stable health states suggests that preferences are influenced by transient factors rather than representing stable core values.", "author" : [ { "dropping-particle" : "", "family" : "Fried", "given" : "Terri R.", "non-dropping-particle" : "", "parse-names" : false, "suffix" : "" }, { "dropping-particle" : "", "family" : "O'Leary", "given" : "John", "non-dropping-particle" : "", "parse-names" : false, "suffix" : "" }, { "dropping-particle" : "", "family" : "Ness", "given" : "Peter", "non-dropping-particle" : "Van", "parse-names" : false, "suffix" : "" }, { "dropping-particle" : "", "family" : "Fraenkel", "given" : "Liana", "non-dropping-particle" : "", "parse-names" : false, "suffix" : "" } ], "container-title" : "Journal of the American Geriatrics Society", "id" : "ITEM-1", "issue" : "7", "issued" : { "date-parts" : [ [ "2007" ] ] }, "page" : "1007-1014", "title" : "Inconsistency over time in the preferences of older persons with advanced illness for life-sustaining treatment", "type" : "article-journal", "volume" : "55" }, "uris" : [ "http://www.mendeley.com/documents/?uuid=6b6db713-5156-49c1-8f4e-5067f0bcce9d" ] } ], "mendeley" : { "formattedCitation" : "&lt;sup&gt;142&lt;/sup&gt;", "plainTextFormattedCitation" : "142", "previouslyFormattedCitation" : "&lt;sup&gt;142&lt;/sup&gt;" }, "properties" : { "noteIndex" : 0 }, "schema" : "https://github.com/citation-style-language/schema/raw/master/csl-citation.json" }</w:instrText>
            </w:r>
            <w:r w:rsidRPr="00815AF3">
              <w:rPr>
                <w:rFonts w:eastAsia="Times New Roman"/>
                <w:color w:val="000000"/>
                <w:sz w:val="22"/>
                <w:szCs w:val="22"/>
                <w:vertAlign w:val="superscript"/>
              </w:rPr>
              <w:fldChar w:fldCharType="separate"/>
            </w:r>
            <w:r w:rsidRPr="00D232B0">
              <w:rPr>
                <w:rFonts w:eastAsia="Times New Roman"/>
                <w:noProof/>
                <w:color w:val="000000"/>
                <w:sz w:val="22"/>
                <w:szCs w:val="22"/>
                <w:vertAlign w:val="superscript"/>
              </w:rPr>
              <w:t>142</w:t>
            </w:r>
            <w:r w:rsidRPr="00815AF3">
              <w:rPr>
                <w:rFonts w:eastAsia="Times New Roman"/>
                <w:color w:val="000000"/>
                <w:sz w:val="22"/>
                <w:szCs w:val="22"/>
              </w:rPr>
              <w:fldChar w:fldCharType="end"/>
            </w:r>
          </w:p>
        </w:tc>
        <w:tc>
          <w:tcPr>
            <w:tcW w:w="15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1B28F75A"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Observational</w:t>
            </w:r>
          </w:p>
        </w:tc>
        <w:tc>
          <w:tcPr>
            <w:tcW w:w="223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0DA5EB19"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NA</w:t>
            </w:r>
          </w:p>
        </w:tc>
        <w:tc>
          <w:tcPr>
            <w:tcW w:w="2526"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3138E8C9"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Older people with COPD, cancer OR heart failure</w:t>
            </w:r>
          </w:p>
        </w:tc>
        <w:tc>
          <w:tcPr>
            <w:tcW w:w="1693"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6F474487"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Community</w:t>
            </w:r>
          </w:p>
        </w:tc>
        <w:tc>
          <w:tcPr>
            <w:tcW w:w="2584"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1C1CE342"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Influences on SDM</w:t>
            </w:r>
          </w:p>
        </w:tc>
      </w:tr>
      <w:tr w:rsidR="002421FE" w:rsidRPr="00815AF3" w14:paraId="7D5587EA" w14:textId="77777777" w:rsidTr="00FB1DFE">
        <w:trPr>
          <w:trHeight w:val="525"/>
        </w:trPr>
        <w:tc>
          <w:tcPr>
            <w:tcW w:w="175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142F99B5"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 xml:space="preserve">Gleason et al 2016 </w:t>
            </w:r>
            <w:r w:rsidRPr="00815AF3">
              <w:rPr>
                <w:rFonts w:eastAsia="Times New Roman"/>
                <w:color w:val="000000"/>
                <w:sz w:val="22"/>
                <w:szCs w:val="22"/>
              </w:rPr>
              <w:fldChar w:fldCharType="begin" w:fldLock="1"/>
            </w:r>
            <w:r>
              <w:rPr>
                <w:rFonts w:eastAsia="Times New Roman"/>
                <w:color w:val="000000"/>
                <w:sz w:val="22"/>
                <w:szCs w:val="22"/>
              </w:rPr>
              <w:instrText>ADDIN CSL_CITATION { "citationItems" : [ { "id" : "ITEM-1", "itemData" : { "DOI" : "10.1016/j.pec.2016.03.011", "ISSN" : "07383991", "PMID" : "27019992", "abstract" : "Objective: Patient activation, the patient's knowledge, skill, and confidence to manage his or her health, is an important indicator of future health and use of health care resources. Understanding factors associated with patient activation in an older population with functional difficulties may inform care in this population. This study aimed to determine whether patient activation is associated with depression, chronic conditions, family support, difficulties with activities of daily living (ADLs) and instrumental activities of daily living (IADLs), hospitalizations, education, and financial strain. Methods: (N = 277), We administered surveys measuring patient activation, financial strain, depressive symptoms, family support, and chronic conditions to an older adult population. We tested association through multivariate linear regressions controlling for race, sex, and age. Results: Patient activation is significantly (p &lt; 0.05), positively associated with family support and self-rated overall health, and significantly (p &lt; 0.05), negatively associated with depressive symptoms and difficulties with ADLs and IADLs. We found no association between patient activation and financial stress, hospitalizations, and education. Conclusions: Older age, depressive symptoms, and difficulties with ADLs and IADLs were associated with decreased patient activation. Practice implications: Developing interventions tailored to older adults' level of patient activation has the potential to improve outcomes for this population.", "author" : [ { "dropping-particle" : "", "family" : "Gleason", "given" : "Kelly T", "non-dropping-particle" : "", "parse-names" : false, "suffix" : "" }, { "dropping-particle" : "", "family" : "Tanner", "given" : "Elizabeth K", "non-dropping-particle" : "", "parse-names" : false, "suffix" : "" }, { "dropping-particle" : "", "family" : "Boyd", "given" : "Cynthia M", "non-dropping-particle" : "", "parse-names" : false, "suffix" : "" }, { "dropping-particle" : "", "family" : "Saczynski", "given" : "Jane S", "non-dropping-particle" : "", "parse-names" : false, "suffix" : "" }, { "dropping-particle" : "", "family" : "Szanton", "given" : "Sarah L", "non-dropping-particle" : "", "parse-names" : false, "suffix" : "" } ], "container-title" : "Patient Education and Counseling", "id" : "ITEM-1", "issue" : "8", "issued" : { "date-parts" : [ [ "2016" ] ] }, "page" : "1421-1426", "publisher" : "Elsevier Ireland Ltd", "title" : "Factors associated with patient activation in an older adult population with functional difficulties", "type" : "article-journal", "volume" : "99" }, "uris" : [ "http://www.mendeley.com/documents/?uuid=428abbe0-2230-4181-b498-ce1db70a2bf4" ] } ], "mendeley" : { "formattedCitation" : "&lt;sup&gt;143&lt;/sup&gt;", "plainTextFormattedCitation" : "143", "previouslyFormattedCitation" : "&lt;sup&gt;143&lt;/sup&gt;" }, "properties" : { "noteIndex" : 0 }, "schema" : "https://github.com/citation-style-language/schema/raw/master/csl-citation.json" }</w:instrText>
            </w:r>
            <w:r w:rsidRPr="00815AF3">
              <w:rPr>
                <w:rFonts w:eastAsia="Times New Roman"/>
                <w:color w:val="000000"/>
                <w:sz w:val="22"/>
                <w:szCs w:val="22"/>
                <w:vertAlign w:val="superscript"/>
              </w:rPr>
              <w:fldChar w:fldCharType="separate"/>
            </w:r>
            <w:r w:rsidRPr="00D232B0">
              <w:rPr>
                <w:rFonts w:eastAsia="Times New Roman"/>
                <w:noProof/>
                <w:color w:val="000000"/>
                <w:sz w:val="22"/>
                <w:szCs w:val="22"/>
                <w:vertAlign w:val="superscript"/>
              </w:rPr>
              <w:t>143</w:t>
            </w:r>
            <w:r w:rsidRPr="00815AF3">
              <w:rPr>
                <w:rFonts w:eastAsia="Times New Roman"/>
                <w:color w:val="000000"/>
                <w:sz w:val="22"/>
                <w:szCs w:val="22"/>
              </w:rPr>
              <w:fldChar w:fldCharType="end"/>
            </w:r>
          </w:p>
        </w:tc>
        <w:tc>
          <w:tcPr>
            <w:tcW w:w="15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01286948"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Survey</w:t>
            </w:r>
          </w:p>
        </w:tc>
        <w:tc>
          <w:tcPr>
            <w:tcW w:w="223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065BAF4C"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NA</w:t>
            </w:r>
          </w:p>
        </w:tc>
        <w:tc>
          <w:tcPr>
            <w:tcW w:w="2526"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0660BCAC"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 xml:space="preserve">Older people with </w:t>
            </w:r>
            <w:proofErr w:type="spellStart"/>
            <w:r w:rsidRPr="00815AF3">
              <w:rPr>
                <w:rFonts w:eastAsia="Times New Roman"/>
                <w:color w:val="000000"/>
                <w:sz w:val="22"/>
                <w:szCs w:val="22"/>
              </w:rPr>
              <w:t>multimorbidities</w:t>
            </w:r>
            <w:proofErr w:type="spellEnd"/>
          </w:p>
        </w:tc>
        <w:tc>
          <w:tcPr>
            <w:tcW w:w="1693"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832CB16"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Community</w:t>
            </w:r>
          </w:p>
        </w:tc>
        <w:tc>
          <w:tcPr>
            <w:tcW w:w="2584"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5FA5F930"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PDAs</w:t>
            </w:r>
          </w:p>
        </w:tc>
      </w:tr>
      <w:tr w:rsidR="002421FE" w:rsidRPr="00815AF3" w14:paraId="5D8EEC47" w14:textId="77777777" w:rsidTr="00FB1DFE">
        <w:trPr>
          <w:trHeight w:val="525"/>
        </w:trPr>
        <w:tc>
          <w:tcPr>
            <w:tcW w:w="175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554C2846" w14:textId="77777777" w:rsidR="002421FE" w:rsidRPr="00815AF3" w:rsidRDefault="002421FE" w:rsidP="00FB1DFE">
            <w:pPr>
              <w:spacing w:after="0"/>
              <w:rPr>
                <w:rFonts w:eastAsia="Times New Roman"/>
                <w:color w:val="000000"/>
                <w:sz w:val="22"/>
                <w:szCs w:val="22"/>
              </w:rPr>
            </w:pPr>
            <w:proofErr w:type="spellStart"/>
            <w:r w:rsidRPr="00815AF3">
              <w:rPr>
                <w:rFonts w:eastAsia="Times New Roman"/>
                <w:color w:val="000000"/>
                <w:sz w:val="22"/>
                <w:szCs w:val="22"/>
              </w:rPr>
              <w:t>Glenpark</w:t>
            </w:r>
            <w:proofErr w:type="spellEnd"/>
            <w:r w:rsidRPr="00815AF3">
              <w:rPr>
                <w:rFonts w:eastAsia="Times New Roman"/>
                <w:color w:val="000000"/>
                <w:sz w:val="22"/>
                <w:szCs w:val="22"/>
              </w:rPr>
              <w:t xml:space="preserve"> Medical Practice 2016 </w:t>
            </w:r>
            <w:r w:rsidRPr="00815AF3">
              <w:rPr>
                <w:rFonts w:eastAsia="Times New Roman"/>
                <w:color w:val="000000"/>
                <w:sz w:val="22"/>
                <w:szCs w:val="22"/>
              </w:rPr>
              <w:fldChar w:fldCharType="begin" w:fldLock="1"/>
            </w:r>
            <w:r w:rsidRPr="00815AF3">
              <w:rPr>
                <w:rFonts w:eastAsia="Times New Roman"/>
                <w:color w:val="000000"/>
                <w:sz w:val="22"/>
                <w:szCs w:val="22"/>
              </w:rPr>
              <w:instrText>ADDIN CSL_CITATION { "citationItems" : [ { "id" : "ITEM-1", "itemData" : { "author" : [ { "dropping-particle" : "", "family" : "Glenpark Medical Practice", "given" : "", "non-dropping-particle" : "", "parse-names" : false, "suffix" : "" } ], "id" : "ITEM-1", "issued" : { "date-parts" : [ [ "2016" ] ] }, "number-of-pages" : "1-4", "publisher-place" : "Gateshead", "title" : "The Glenpark Story Implementing care and support planning for people with long term conditions", "type" : "report" }, "uris" : [ "http://www.mendeley.com/documents/?uuid=ec46b8c3-6b22-4ab1-a086-161e80375d23" ] } ], "mendeley" : { "formattedCitation" : "&lt;sup&gt;26&lt;/sup&gt;", "plainTextFormattedCitation" : "26", "previouslyFormattedCitation" : "&lt;sup&gt;26&lt;/sup&gt;" }, "properties" : { "noteIndex" : 0 }, "schema" : "https://github.com/citation-style-language/schema/raw/master/csl-citation.json" }</w:instrText>
            </w:r>
            <w:r w:rsidRPr="00815AF3">
              <w:rPr>
                <w:rFonts w:eastAsia="Times New Roman"/>
                <w:color w:val="000000"/>
                <w:sz w:val="22"/>
                <w:szCs w:val="22"/>
                <w:vertAlign w:val="superscript"/>
              </w:rPr>
              <w:fldChar w:fldCharType="separate"/>
            </w:r>
            <w:r w:rsidRPr="00815AF3">
              <w:rPr>
                <w:rFonts w:eastAsia="Times New Roman"/>
                <w:noProof/>
                <w:color w:val="000000"/>
                <w:sz w:val="22"/>
                <w:szCs w:val="22"/>
                <w:vertAlign w:val="superscript"/>
              </w:rPr>
              <w:t>26</w:t>
            </w:r>
            <w:r w:rsidRPr="00815AF3">
              <w:rPr>
                <w:rFonts w:eastAsia="Times New Roman"/>
                <w:color w:val="000000"/>
                <w:sz w:val="22"/>
                <w:szCs w:val="22"/>
              </w:rPr>
              <w:fldChar w:fldCharType="end"/>
            </w:r>
          </w:p>
        </w:tc>
        <w:tc>
          <w:tcPr>
            <w:tcW w:w="15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65B1E077"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Care study</w:t>
            </w:r>
          </w:p>
        </w:tc>
        <w:tc>
          <w:tcPr>
            <w:tcW w:w="223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73FD29AB"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The Year of Care initiative.</w:t>
            </w:r>
          </w:p>
        </w:tc>
        <w:tc>
          <w:tcPr>
            <w:tcW w:w="2526"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5234694D"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HCPs, People with LTC</w:t>
            </w:r>
          </w:p>
        </w:tc>
        <w:tc>
          <w:tcPr>
            <w:tcW w:w="1693"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3FB88344"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Inner city</w:t>
            </w:r>
          </w:p>
        </w:tc>
        <w:tc>
          <w:tcPr>
            <w:tcW w:w="2584"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2490AECE"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PCC for people with LTC</w:t>
            </w:r>
          </w:p>
        </w:tc>
      </w:tr>
      <w:tr w:rsidR="002421FE" w:rsidRPr="00815AF3" w14:paraId="4BDB870F" w14:textId="77777777" w:rsidTr="00FB1DFE">
        <w:trPr>
          <w:trHeight w:val="525"/>
        </w:trPr>
        <w:tc>
          <w:tcPr>
            <w:tcW w:w="175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F0B38A8" w14:textId="77777777" w:rsidR="002421FE" w:rsidRPr="00815AF3" w:rsidRDefault="002421FE" w:rsidP="00FB1DFE">
            <w:pPr>
              <w:spacing w:after="0"/>
              <w:rPr>
                <w:rFonts w:eastAsia="Times New Roman"/>
                <w:color w:val="000000"/>
                <w:sz w:val="22"/>
                <w:szCs w:val="22"/>
              </w:rPr>
            </w:pPr>
            <w:proofErr w:type="spellStart"/>
            <w:r w:rsidRPr="00815AF3">
              <w:rPr>
                <w:rFonts w:eastAsia="Times New Roman"/>
                <w:color w:val="000000"/>
                <w:sz w:val="22"/>
                <w:szCs w:val="22"/>
              </w:rPr>
              <w:t>Gorin</w:t>
            </w:r>
            <w:proofErr w:type="spellEnd"/>
            <w:r w:rsidRPr="00815AF3">
              <w:rPr>
                <w:rFonts w:eastAsia="Times New Roman"/>
                <w:color w:val="000000"/>
                <w:sz w:val="22"/>
                <w:szCs w:val="22"/>
              </w:rPr>
              <w:t xml:space="preserve"> 2017 </w:t>
            </w:r>
            <w:r w:rsidRPr="00815AF3">
              <w:rPr>
                <w:rFonts w:eastAsia="Times New Roman"/>
                <w:color w:val="000000"/>
                <w:sz w:val="22"/>
                <w:szCs w:val="22"/>
              </w:rPr>
              <w:fldChar w:fldCharType="begin" w:fldLock="1"/>
            </w:r>
            <w:r>
              <w:rPr>
                <w:rFonts w:eastAsia="Times New Roman"/>
                <w:color w:val="000000"/>
                <w:sz w:val="22"/>
                <w:szCs w:val="22"/>
              </w:rPr>
              <w:instrText>ADDIN CSL_CITATION { "citationItems" : [ { "id" : "ITEM-1", "itemData" : { "DOI" : "10.1002/hast.688", "ISSN" : "1552-146X", "abstract" : "The shift away from paternalistic decision-making and toward patient-centered, shared decision-making has stemmed from the recognition that in order to practice medicine ethically, health care professionals must take seriously the values and preferences of their patients. At the same time, there is growing recognition that minor and seemingly irrelevant features of how choices are presented can substantially influence the decisions people make. Behavioral economists have identified striking ways in which trivial differences in the presentation of options can powerfully and predictably affect people's choices. Choice-affecting features of the decision environment that do not restrict the range of choices or significantly alter the incentives have come to be known as \u201cnudges.\u201dAlthough some have criticized conscious efforts to influence choice, we believe that clinical nudges may often be morally justified. The most straightforward justification for nudge interventions is that they help people bypass their cognitive limitations\u2014for example, the tendency to choose the first option presented even when that option is not the best for them\u2014thereby allowing people to make choices that best align with their rational preferences or deeply held values. However, we argue that this justification is problematic. We argue that, if physicians wish to use nudges to shape their patients\u2019 choices, the justification for doing so must appeal to an ethical and professional standard, not to patients\u2019 preferences. We demonstrate how a standard with which clinicians and bioethicists already are quite familiar\u2014the best-interest standard\u2014offers a robust justification for the use of nudges.", "author" : [ { "dropping-particle" : "", "family" : "Gorin", "given" : "Moti", "non-dropping-particle" : "", "parse-names" : false, "suffix" : "" }, { "dropping-particle" : "", "family" : "Joffe", "given" : "Steven", "non-dropping-particle" : "", "parse-names" : false, "suffix" : "" }, { "dropping-particle" : "", "family" : "Dickert", "given" : "Neal", "non-dropping-particle" : "", "parse-names" : false, "suffix" : "" }, { "dropping-particle" : "", "family" : "Halpern", "given" : "Scott", "non-dropping-particle" : "", "parse-names" : false, "suffix" : "" } ], "container-title" : "Hastings Center Report", "id" : "ITEM-1", "issue" : "2", "issued" : { "date-parts" : [ [ "2017" ] ] }, "note" : "Might be useful to explore the overlap between SDM and deprescribing/choosing wisely literature\n\nthis article summarises the issues faced by Pts &amp;amp; HCPs engaged in SDM. Very useful", "page" : "32-38", "title" : "Justifying Clinical Nudges", "type" : "article-journal", "volume" : "47" }, "uris" : [ "http://www.mendeley.com/documents/?uuid=dbc602d2-ac28-41f3-9f37-c668d468676c" ] } ], "mendeley" : { "formattedCitation" : "&lt;sup&gt;180&lt;/sup&gt;", "plainTextFormattedCitation" : "180", "previouslyFormattedCitation" : "&lt;sup&gt;180&lt;/sup&gt;" }, "properties" : { "noteIndex" : 0 }, "schema" : "https://github.com/citation-style-language/schema/raw/master/csl-citation.json" }</w:instrText>
            </w:r>
            <w:r w:rsidRPr="00815AF3">
              <w:rPr>
                <w:rFonts w:eastAsia="Times New Roman"/>
                <w:color w:val="000000"/>
                <w:sz w:val="22"/>
                <w:szCs w:val="22"/>
                <w:vertAlign w:val="superscript"/>
              </w:rPr>
              <w:fldChar w:fldCharType="separate"/>
            </w:r>
            <w:r w:rsidRPr="00D232B0">
              <w:rPr>
                <w:rFonts w:eastAsia="Times New Roman"/>
                <w:noProof/>
                <w:color w:val="000000"/>
                <w:sz w:val="22"/>
                <w:szCs w:val="22"/>
                <w:vertAlign w:val="superscript"/>
              </w:rPr>
              <w:t>180</w:t>
            </w:r>
            <w:r w:rsidRPr="00815AF3">
              <w:rPr>
                <w:rFonts w:eastAsia="Times New Roman"/>
                <w:color w:val="000000"/>
                <w:sz w:val="22"/>
                <w:szCs w:val="22"/>
              </w:rPr>
              <w:fldChar w:fldCharType="end"/>
            </w:r>
          </w:p>
        </w:tc>
        <w:tc>
          <w:tcPr>
            <w:tcW w:w="15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7C896F34"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Discussion</w:t>
            </w:r>
          </w:p>
        </w:tc>
        <w:tc>
          <w:tcPr>
            <w:tcW w:w="223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3F7C067E"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NA</w:t>
            </w:r>
          </w:p>
        </w:tc>
        <w:tc>
          <w:tcPr>
            <w:tcW w:w="2526"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1411D922"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Not applicable</w:t>
            </w:r>
          </w:p>
        </w:tc>
        <w:tc>
          <w:tcPr>
            <w:tcW w:w="1693"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0BC39A2A"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NA</w:t>
            </w:r>
          </w:p>
        </w:tc>
        <w:tc>
          <w:tcPr>
            <w:tcW w:w="2584"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69FDE232"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Clinical nudges</w:t>
            </w:r>
          </w:p>
        </w:tc>
      </w:tr>
      <w:tr w:rsidR="002421FE" w:rsidRPr="00815AF3" w14:paraId="58D685D3" w14:textId="77777777" w:rsidTr="00FB1DFE">
        <w:trPr>
          <w:trHeight w:val="525"/>
        </w:trPr>
        <w:tc>
          <w:tcPr>
            <w:tcW w:w="175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3FD91DB2"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 xml:space="preserve">Grim 2016 </w:t>
            </w:r>
            <w:r w:rsidRPr="00815AF3">
              <w:rPr>
                <w:rFonts w:eastAsia="Times New Roman"/>
                <w:color w:val="000000"/>
                <w:sz w:val="22"/>
                <w:szCs w:val="22"/>
              </w:rPr>
              <w:fldChar w:fldCharType="begin" w:fldLock="1"/>
            </w:r>
            <w:r>
              <w:rPr>
                <w:rFonts w:eastAsia="Times New Roman"/>
                <w:color w:val="000000"/>
                <w:sz w:val="22"/>
                <w:szCs w:val="22"/>
              </w:rPr>
              <w:instrText>ADDIN CSL_CITATION { "citationItems" : [ { "id" : "ITEM-1", "itemData" : { "DOI" : "10.3402/qhw.v11.30563", "ISSN" : "1748-2631 (Electronic)", "PMID" : "27167556", "author" : [ { "dropping-particle" : "", "family" : "Grim", "given" : "Katarina", "non-dropping-particle" : "", "parse-names" : false, "suffix" : "" }, { "dropping-particle" : "", "family" : "Rosenberg", "given" : "David", "non-dropping-particle" : "", "parse-names" : false, "suffix" : "" }, { "dropping-particle" : "", "family" : "Svedberg", "given" : "Petra", "non-dropping-particle" : "", "parse-names" : false, "suffix" : "" }, { "dropping-particle" : "", "family" : "Schon", "given" : "Ulla-Karin", "non-dropping-particle" : "", "parse-names" : false, "suffix" : "" } ], "id" : "ITEM-1", "issued" : { "date-parts" : [ [ "2016" ] ] }, "page" : "1-8", "title" : "Shared decision-making in mental health care A user perspective on decisional needs in community-based services", "type" : "article-journal", "volume" : "1" }, "uris" : [ "http://www.mendeley.com/documents/?uuid=cf07467c-e4d8-477f-ae6d-bcc1a8ff5fbb" ] } ], "mendeley" : { "formattedCitation" : "&lt;sup&gt;144&lt;/sup&gt;", "plainTextFormattedCitation" : "144", "previouslyFormattedCitation" : "&lt;sup&gt;144&lt;/sup&gt;" }, "properties" : { "noteIndex" : 0 }, "schema" : "https://github.com/citation-style-language/schema/raw/master/csl-citation.json" }</w:instrText>
            </w:r>
            <w:r w:rsidRPr="00815AF3">
              <w:rPr>
                <w:rFonts w:eastAsia="Times New Roman"/>
                <w:color w:val="000000"/>
                <w:sz w:val="22"/>
                <w:szCs w:val="22"/>
                <w:vertAlign w:val="superscript"/>
              </w:rPr>
              <w:fldChar w:fldCharType="separate"/>
            </w:r>
            <w:r w:rsidRPr="00D232B0">
              <w:rPr>
                <w:rFonts w:eastAsia="Times New Roman"/>
                <w:noProof/>
                <w:color w:val="000000"/>
                <w:sz w:val="22"/>
                <w:szCs w:val="22"/>
                <w:vertAlign w:val="superscript"/>
              </w:rPr>
              <w:t>144</w:t>
            </w:r>
            <w:r w:rsidRPr="00815AF3">
              <w:rPr>
                <w:rFonts w:eastAsia="Times New Roman"/>
                <w:color w:val="000000"/>
                <w:sz w:val="22"/>
                <w:szCs w:val="22"/>
              </w:rPr>
              <w:fldChar w:fldCharType="end"/>
            </w:r>
          </w:p>
        </w:tc>
        <w:tc>
          <w:tcPr>
            <w:tcW w:w="15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075507F0"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Qualitative</w:t>
            </w:r>
          </w:p>
        </w:tc>
        <w:tc>
          <w:tcPr>
            <w:tcW w:w="223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641E4698"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NA</w:t>
            </w:r>
          </w:p>
        </w:tc>
        <w:tc>
          <w:tcPr>
            <w:tcW w:w="2526"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78872F33"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People with mental health problems</w:t>
            </w:r>
          </w:p>
        </w:tc>
        <w:tc>
          <w:tcPr>
            <w:tcW w:w="1693"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752AACA3"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Community</w:t>
            </w:r>
          </w:p>
        </w:tc>
        <w:tc>
          <w:tcPr>
            <w:tcW w:w="2584"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012DE5D3"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Influences on SDM</w:t>
            </w:r>
          </w:p>
        </w:tc>
      </w:tr>
      <w:tr w:rsidR="002421FE" w:rsidRPr="00815AF3" w14:paraId="061EBC3D" w14:textId="77777777" w:rsidTr="00FB1DFE">
        <w:trPr>
          <w:trHeight w:val="525"/>
        </w:trPr>
        <w:tc>
          <w:tcPr>
            <w:tcW w:w="175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38D8D602"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 xml:space="preserve">Groen-van de Ven 2016 </w:t>
            </w:r>
            <w:r>
              <w:rPr>
                <w:rFonts w:eastAsia="Times New Roman"/>
                <w:color w:val="000000"/>
                <w:sz w:val="22"/>
                <w:szCs w:val="22"/>
              </w:rPr>
              <w:fldChar w:fldCharType="begin" w:fldLock="1"/>
            </w:r>
            <w:r>
              <w:rPr>
                <w:rFonts w:eastAsia="Times New Roman"/>
                <w:color w:val="000000"/>
                <w:sz w:val="22"/>
                <w:szCs w:val="22"/>
              </w:rPr>
              <w:instrText>ADDIN CSL_CITATION { "citationItems" : [ { "id" : "ITEM-1", "itemData" : { "DOI" : "10.1017/S1041610216001381", "ISBN" : "1041-6102", "ISSN" : "1041-6102", "PMID" : "27609338", "abstract" : "BACKGROUND: Decision making is an important part of managing one's life with dementia. Shared decision making is the preferred way of involving people in decisions. Our study aimed to describe the challenges of shared decision making in dementia care networks. METHODS: A multi-perspective qualitative study using face-to-face interviews with 113 respondents in 23 care networks in the Netherlands consisting of 23 people with dementia, 44 of their informal caregivers, and 46 of their professional caregivers. The interview guide addressed the decision topics, who were involved in the decision making and their contributions to the decision making. We used content analysis to delineate categories and themes. RESULTS: The themes and categories that emerged are: (1) adapting to a situation of diminishing independence, which includes the continuous changes in the care network, resulting in shifting decision-making roles and the need for anticipating future decisions; and (2) tensions in network interactions which result from different perspectives and interests and which require reaching agreement about what constitutes a problem by exchanging information in the care network. CONCLUSION: The challenges in dementia care networks relate to all dimensions of social health. They have implications for a model of shared decision making in dementia care networks. Such a model requires flexibility regarding changing capabilities to preserve the autonomy of the person with dementia. It needs working towards a shared view about what constitutes a problem in the situation. It asks for professionals to advocate for the involvement of people with dementia by helping them participate in ways that strengthen their remaining capacities.", "author" : [ { "dropping-particle" : "", "family" : "Groen-van de Ven", "given" : "Leontine", "non-dropping-particle" : "", "parse-names" : false, "suffix" : "" }, { "dropping-particle" : "", "family" : "Smits", "given" : "Carolien", "non-dropping-particle" : "", "parse-names" : false, "suffix" : "" }, { "dropping-particle" : "", "family" : "Span", "given" : "Marijke", "non-dropping-particle" : "", "parse-names" : false, "suffix" : "" }, { "dropping-particle" : "", "family" : "Jukema", "given" : "Jan", "non-dropping-particle" : "", "parse-names" : false, "suffix" : "" }, { "dropping-particle" : "", "family" : "Coppoolse", "given" : "Krista", "non-dropping-particle" : "", "parse-names" : false, "suffix" : "" }, { "dropping-particle" : "", "family" : "Lange", "given" : "Jacomine", "non-dropping-particle" : "de", "parse-names" : false, "suffix" : "" }, { "dropping-particle" : "", "family" : "Eefsting", "given" : "Jan", "non-dropping-particle" : "", "parse-names" : false, "suffix" : "" }, { "dropping-particle" : "", "family" : "Vernooij-Dassen", "given" : "Myrra", "non-dropping-particle" : "", "parse-names" : false, "suffix" : "" } ], "container-title" : "International Psychogeriatrics", "edition" : "2016/09/10", "id" : "ITEM-1", "issued" : { "date-parts" : [ [ "2016" ] ] }, "language" : "eng", "page" : "1-15", "title" : "The challenges of shared decision making in dementia care networks", "type" : "article-journal" }, "uris" : [ "http://www.mendeley.com/documents/?uuid=7960c4ff-712f-483c-b074-994bf607a264" ] } ], "mendeley" : { "formattedCitation" : "&lt;sup&gt;145&lt;/sup&gt;", "plainTextFormattedCitation" : "145", "previouslyFormattedCitation" : "&lt;sup&gt;145&lt;/sup&gt;" }, "properties" : { "noteIndex" : 0 }, "schema" : "https://github.com/citation-style-language/schema/raw/master/csl-citation.json" }</w:instrText>
            </w:r>
            <w:r>
              <w:rPr>
                <w:rFonts w:eastAsia="Times New Roman"/>
                <w:color w:val="000000"/>
                <w:sz w:val="22"/>
                <w:szCs w:val="22"/>
              </w:rPr>
              <w:fldChar w:fldCharType="separate"/>
            </w:r>
            <w:r w:rsidRPr="00D232B0">
              <w:rPr>
                <w:rFonts w:eastAsia="Times New Roman"/>
                <w:noProof/>
                <w:color w:val="000000"/>
                <w:sz w:val="22"/>
                <w:szCs w:val="22"/>
                <w:vertAlign w:val="superscript"/>
              </w:rPr>
              <w:t>145</w:t>
            </w:r>
            <w:r>
              <w:rPr>
                <w:rFonts w:eastAsia="Times New Roman"/>
                <w:color w:val="000000"/>
                <w:sz w:val="22"/>
                <w:szCs w:val="22"/>
              </w:rPr>
              <w:fldChar w:fldCharType="end"/>
            </w:r>
          </w:p>
        </w:tc>
        <w:tc>
          <w:tcPr>
            <w:tcW w:w="15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7196CE4F"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Qualitative</w:t>
            </w:r>
          </w:p>
        </w:tc>
        <w:tc>
          <w:tcPr>
            <w:tcW w:w="223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175A6C2"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NA</w:t>
            </w:r>
          </w:p>
        </w:tc>
        <w:tc>
          <w:tcPr>
            <w:tcW w:w="2526"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598B3645"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People with dementia, informal &amp; paid carers.</w:t>
            </w:r>
          </w:p>
        </w:tc>
        <w:tc>
          <w:tcPr>
            <w:tcW w:w="1693"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CADCE15"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Community</w:t>
            </w:r>
          </w:p>
        </w:tc>
        <w:tc>
          <w:tcPr>
            <w:tcW w:w="2584"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2C7CD60"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SDM for people with dementia</w:t>
            </w:r>
          </w:p>
        </w:tc>
      </w:tr>
      <w:tr w:rsidR="002421FE" w:rsidRPr="00815AF3" w14:paraId="72F1ECB0" w14:textId="77777777" w:rsidTr="00FB1DFE">
        <w:trPr>
          <w:trHeight w:val="525"/>
        </w:trPr>
        <w:tc>
          <w:tcPr>
            <w:tcW w:w="175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642813E6"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 xml:space="preserve">Hacking 2013 </w:t>
            </w:r>
            <w:r w:rsidRPr="00815AF3">
              <w:rPr>
                <w:rFonts w:eastAsia="Times New Roman"/>
                <w:color w:val="000000"/>
                <w:sz w:val="22"/>
                <w:szCs w:val="22"/>
              </w:rPr>
              <w:fldChar w:fldCharType="begin" w:fldLock="1"/>
            </w:r>
            <w:r>
              <w:rPr>
                <w:rFonts w:eastAsia="Times New Roman"/>
                <w:color w:val="000000"/>
                <w:sz w:val="22"/>
                <w:szCs w:val="22"/>
              </w:rPr>
              <w:instrText>ADDIN CSL_CITATION { "citationItems" : [ { "id" : "ITEM-1", "itemData" : { "DOI" : "10.1002/pon.3093", "ISBN" : "1057-9249 1099-1611", "ISSN" : "10579249", "PMID" : "22570252", "abstract" : "Objective Does decision navigation (DN) increase prostate cancer patients' confidence and certainty in treatment decisions, while reducing regret associated with the decisions made? Methods Two hundred eighty-nine newly diagnosed prostate cancer patients were eligible. 123 consented and were randomised to usual care (n = 60) or navigation (n = 63). The intervention involved a 'navigator' guiding the patient in creating a personal question list for a consultation and providing a CD and typed summary of the consultation to patients, the general practitioner and physician. The primary outcome was decisional self efficacy. Secondary outcomes included decisional conflict (DCS) and decisional regret (RS). Measures of mood (Hospital Anxiety and Depression Scale) and adjustment (Mental Adjustment to Cancer Scale) were included to detect potential adverse effects of the intervention. Results ANOVA showed a main effect for the group (F = 7.161, df 1, p = 0.009). Post hoc comparisons showed significantly higher decisional self efficacy in the navigated patients post-consultation and 6 months later. Decisional conflict was lower for navigated patients initially (t = 2.005, df = 105, p = 0.047), not at follow-up (t = 1.969, df = 109, p = 0.052). Regret scores were significantly lower in the navigation group compared to the controls 6 months later (t = -2.130, df = 100, p = 0.036). There was no impact of the intervention on mood or adjustment. Conclusion Compared to control patients, navigated patients were more confident in making decisions about cancer treatment, were more certain they had made the right decision after the consultation and had less regret about their decision 6 months later. Decision navigation was feasible, acceptable and effective for newly diagnosed prostate cancer patients in Scotland. Copyright 2012 John Wiley &amp; Sons, Ltd.", "author" : [ { "dropping-particle" : "", "family" : "Hacking", "given" : "Belinda", "non-dropping-particle" : "", "parse-names" : false, "suffix" : "" }, { "dropping-particle" : "", "family" : "Wallace", "given" : "Louise", "non-dropping-particle" : "", "parse-names" : false, "suffix" : "" }, { "dropping-particle" : "", "family" : "Scott", "given" : "Sarah", "non-dropping-particle" : "", "parse-names" : false, "suffix" : "" }, { "dropping-particle" : "", "family" : "Kosmala-Anderson", "given" : "Joanna", "non-dropping-particle" : "", "parse-names" : false, "suffix" : "" }, { "dropping-particle" : "", "family" : "Belkora", "given" : "Jeffrey", "non-dropping-particle" : "", "parse-names" : false, "suffix" : "" }, { "dropping-particle" : "", "family" : "McNeill", "given" : "Alan", "non-dropping-particle" : "", "parse-names" : false, "suffix" : "" } ], "container-title" : "Psycho-Oncology", "id" : "ITEM-1", "issue" : "5", "issued" : { "date-parts" : [ [ "2013" ] ] }, "note" : "Built on the work of Belkora &amp;amp; colleagues (US team) but implemented in Scotland", "page" : "1017-1024", "title" : "Testing the feasibility, acceptability and effectiveness of a 'decision navigation' intervention for early stage prostate cancer patients in Scotland - A randomised controlled trial", "type" : "article-journal", "volume" : "22" }, "uris" : [ "http://www.mendeley.com/documents/?uuid=841fdc24-9f17-42bc-86e9-3f021ade871e" ] } ], "mendeley" : { "formattedCitation" : "&lt;sup&gt;146&lt;/sup&gt;", "plainTextFormattedCitation" : "146", "previouslyFormattedCitation" : "&lt;sup&gt;146&lt;/sup&gt;" }, "properties" : { "noteIndex" : 0 }, "schema" : "https://github.com/citation-style-language/schema/raw/master/csl-citation.json" }</w:instrText>
            </w:r>
            <w:r w:rsidRPr="00815AF3">
              <w:rPr>
                <w:rFonts w:eastAsia="Times New Roman"/>
                <w:color w:val="000000"/>
                <w:sz w:val="22"/>
                <w:szCs w:val="22"/>
                <w:vertAlign w:val="superscript"/>
              </w:rPr>
              <w:fldChar w:fldCharType="separate"/>
            </w:r>
            <w:r w:rsidRPr="00D232B0">
              <w:rPr>
                <w:rFonts w:eastAsia="Times New Roman"/>
                <w:noProof/>
                <w:color w:val="000000"/>
                <w:sz w:val="22"/>
                <w:szCs w:val="22"/>
                <w:vertAlign w:val="superscript"/>
              </w:rPr>
              <w:t>146</w:t>
            </w:r>
            <w:r w:rsidRPr="00815AF3">
              <w:rPr>
                <w:rFonts w:eastAsia="Times New Roman"/>
                <w:color w:val="000000"/>
                <w:sz w:val="22"/>
                <w:szCs w:val="22"/>
              </w:rPr>
              <w:fldChar w:fldCharType="end"/>
            </w:r>
          </w:p>
        </w:tc>
        <w:tc>
          <w:tcPr>
            <w:tcW w:w="15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7090510B"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RCT</w:t>
            </w:r>
          </w:p>
        </w:tc>
        <w:tc>
          <w:tcPr>
            <w:tcW w:w="223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6B8201D0"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Pre-consultation coaching</w:t>
            </w:r>
          </w:p>
        </w:tc>
        <w:tc>
          <w:tcPr>
            <w:tcW w:w="2526"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758C7B46"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Men with prostate cancer</w:t>
            </w:r>
          </w:p>
        </w:tc>
        <w:tc>
          <w:tcPr>
            <w:tcW w:w="1693"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2962303B"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Community</w:t>
            </w:r>
          </w:p>
        </w:tc>
        <w:tc>
          <w:tcPr>
            <w:tcW w:w="2584"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36E10E64"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Coaching</w:t>
            </w:r>
          </w:p>
        </w:tc>
      </w:tr>
      <w:tr w:rsidR="002421FE" w:rsidRPr="00815AF3" w14:paraId="3DFDCF4D" w14:textId="77777777" w:rsidTr="00FB1DFE">
        <w:trPr>
          <w:trHeight w:val="300"/>
        </w:trPr>
        <w:tc>
          <w:tcPr>
            <w:tcW w:w="175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6121E63"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 xml:space="preserve">Hart et al 2016 </w:t>
            </w:r>
            <w:r w:rsidRPr="00815AF3">
              <w:rPr>
                <w:rFonts w:eastAsia="Times New Roman"/>
                <w:color w:val="000000"/>
                <w:sz w:val="22"/>
                <w:szCs w:val="22"/>
              </w:rPr>
              <w:fldChar w:fldCharType="begin" w:fldLock="1"/>
            </w:r>
            <w:r>
              <w:rPr>
                <w:rFonts w:eastAsia="Times New Roman"/>
                <w:color w:val="000000"/>
                <w:sz w:val="22"/>
                <w:szCs w:val="22"/>
              </w:rPr>
              <w:instrText>ADDIN CSL_CITATION { "citationItems" : [ { "id" : "ITEM-1", "itemData" : { "DOI" : "10.1164/rccm.201505-0882OC", "ISBN" : "3493581149", "ISSN" : "15354970", "PMID" : "26436758", "abstract" : "RATIONALE Shared decision making aims to match patient preferences with available management options and requires decision makers to form expectations for the future. Yet, it is unknown how patients with smoking-related thoracic diseases or their surrogates generate expectations or the content of these predictions. OBJECTIVES To document prevalent themes in patients' and potential surrogate decision makers' expectations when facing preference-sensitive choices. METHODS We conducted 44 scenario-based semi-structured interviews among a diverse group of outpatients with smoking-associated thoracic diseases and potential surrogates for whom one of three preference-sensitive decisions would be medically relevant. Using content analysis, we documented prevalent themes to understand how these individuals generate expectations and what they imagine. MEASUREMENTS AND MAIN RESULTS Patients and potential surrogates generally expressed expectations for future outcomes, but also acknowledged their limitations in doing so. When generating expectations, decision makers relied on past experiences, including those only loosely related; perceived familiarity with treatment options; and spirituality. The content of these expectations included effects on family, emotional predictions, and prognostication. For surrogates, a tension existed between hope-based and fact-based expectations. CONCLUSIONS Expectations that decision makers struggle to generate, or those that are formed from loosely-related past experiences or hope may lead to errors and inhibit patients or surrogates from making treatment choices that promote true preferences. Clinicians should explore how decision makers generate expectations and what those expectations are as a component of the shared decision making process. Future research should evaluate whether targeted guidance in forming expectations may improve outcomes important to patients.", "author" : [ { "dropping-particle" : "", "family" : "Hart", "given" : "Joanna L.", "non-dropping-particle" : "", "parse-names" : false, "suffix" : "" }, { "dropping-particle" : "", "family" : "Pflug", "given" : "Emily", "non-dropping-particle" : "", "parse-names" : false, "suffix" : "" }, { "dropping-particle" : "", "family" : "Madden", "given" : "Vanessa", "non-dropping-particle" : "", "parse-names" : false, "suffix" : "" }, { "dropping-particle" : "", "family" : "Halpern", "given" : "Scott D.", "non-dropping-particle" : "", "parse-names" : false, "suffix" : "" } ], "container-title" : "American Journal of Respiratory and Critical Care Medicine", "id" : "ITEM-1", "issue" : "3", "issued" : { "date-parts" : [ [ "2016" ] ] }, "page" : "321-329", "title" : "Thinking forward: Future-oriented thinking among patients with tobacco-associated thoracic diseases and their surrogates", "type" : "article-journal", "volume" : "193" }, "uris" : [ "http://www.mendeley.com/documents/?uuid=6a8de8e5-b024-451c-8204-e0b2c06e2eb2" ] } ], "mendeley" : { "formattedCitation" : "&lt;sup&gt;147&lt;/sup&gt;", "plainTextFormattedCitation" : "147", "previouslyFormattedCitation" : "&lt;sup&gt;147&lt;/sup&gt;" }, "properties" : { "noteIndex" : 0 }, "schema" : "https://github.com/citation-style-language/schema/raw/master/csl-citation.json" }</w:instrText>
            </w:r>
            <w:r w:rsidRPr="00815AF3">
              <w:rPr>
                <w:rFonts w:eastAsia="Times New Roman"/>
                <w:color w:val="000000"/>
                <w:sz w:val="22"/>
                <w:szCs w:val="22"/>
                <w:vertAlign w:val="superscript"/>
              </w:rPr>
              <w:fldChar w:fldCharType="separate"/>
            </w:r>
            <w:r w:rsidRPr="00D232B0">
              <w:rPr>
                <w:rFonts w:eastAsia="Times New Roman"/>
                <w:noProof/>
                <w:color w:val="000000"/>
                <w:sz w:val="22"/>
                <w:szCs w:val="22"/>
                <w:vertAlign w:val="superscript"/>
              </w:rPr>
              <w:t>147</w:t>
            </w:r>
            <w:r w:rsidRPr="00815AF3">
              <w:rPr>
                <w:rFonts w:eastAsia="Times New Roman"/>
                <w:color w:val="000000"/>
                <w:sz w:val="22"/>
                <w:szCs w:val="22"/>
              </w:rPr>
              <w:fldChar w:fldCharType="end"/>
            </w:r>
          </w:p>
        </w:tc>
        <w:tc>
          <w:tcPr>
            <w:tcW w:w="15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0249EF2"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Qualitative</w:t>
            </w:r>
          </w:p>
        </w:tc>
        <w:tc>
          <w:tcPr>
            <w:tcW w:w="223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57F281BB"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NA</w:t>
            </w:r>
          </w:p>
        </w:tc>
        <w:tc>
          <w:tcPr>
            <w:tcW w:w="2526"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0D67B848"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Older people</w:t>
            </w:r>
          </w:p>
        </w:tc>
        <w:tc>
          <w:tcPr>
            <w:tcW w:w="1693"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5F15515C"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Outpatient clinics</w:t>
            </w:r>
          </w:p>
        </w:tc>
        <w:tc>
          <w:tcPr>
            <w:tcW w:w="2584"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FDF20E5"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Use of PDA/tools</w:t>
            </w:r>
          </w:p>
        </w:tc>
      </w:tr>
    </w:tbl>
    <w:p w14:paraId="4D069C35" w14:textId="77777777" w:rsidR="002421FE" w:rsidRDefault="002421FE" w:rsidP="002421FE">
      <w:r>
        <w:br w:type="page"/>
      </w:r>
    </w:p>
    <w:tbl>
      <w:tblPr>
        <w:tblW w:w="12380" w:type="dxa"/>
        <w:tblInd w:w="-5" w:type="dxa"/>
        <w:tblCellMar>
          <w:top w:w="15" w:type="dxa"/>
          <w:bottom w:w="15" w:type="dxa"/>
        </w:tblCellMar>
        <w:tblLook w:val="04A0" w:firstRow="1" w:lastRow="0" w:firstColumn="1" w:lastColumn="0" w:noHBand="0" w:noVBand="1"/>
      </w:tblPr>
      <w:tblGrid>
        <w:gridCol w:w="1750"/>
        <w:gridCol w:w="1597"/>
        <w:gridCol w:w="2230"/>
        <w:gridCol w:w="2526"/>
        <w:gridCol w:w="1693"/>
        <w:gridCol w:w="2584"/>
      </w:tblGrid>
      <w:tr w:rsidR="002421FE" w:rsidRPr="00815AF3" w14:paraId="76B3C8D2" w14:textId="77777777" w:rsidTr="00FB1DFE">
        <w:trPr>
          <w:trHeight w:val="525"/>
        </w:trPr>
        <w:tc>
          <w:tcPr>
            <w:tcW w:w="1750" w:type="dxa"/>
            <w:tcBorders>
              <w:top w:val="single" w:sz="4" w:space="0" w:color="auto"/>
              <w:left w:val="single" w:sz="4" w:space="0" w:color="auto"/>
              <w:bottom w:val="single" w:sz="4" w:space="0" w:color="auto"/>
              <w:right w:val="single" w:sz="4" w:space="0" w:color="auto"/>
            </w:tcBorders>
            <w:shd w:val="clear" w:color="000000" w:fill="FFFFFF"/>
            <w:vAlign w:val="bottom"/>
          </w:tcPr>
          <w:p w14:paraId="11A371ED" w14:textId="77777777" w:rsidR="002421FE" w:rsidRDefault="002421FE" w:rsidP="00FB1DFE">
            <w:pPr>
              <w:spacing w:after="0"/>
              <w:rPr>
                <w:rFonts w:eastAsia="Times New Roman"/>
                <w:color w:val="000000"/>
                <w:sz w:val="22"/>
                <w:szCs w:val="22"/>
              </w:rPr>
            </w:pPr>
            <w:r w:rsidRPr="00815AF3">
              <w:rPr>
                <w:rFonts w:eastAsia="Times New Roman"/>
                <w:b/>
                <w:bCs/>
                <w:color w:val="000000"/>
                <w:sz w:val="22"/>
                <w:szCs w:val="22"/>
              </w:rPr>
              <w:lastRenderedPageBreak/>
              <w:t>Author and year</w:t>
            </w:r>
          </w:p>
        </w:tc>
        <w:tc>
          <w:tcPr>
            <w:tcW w:w="1597" w:type="dxa"/>
            <w:tcBorders>
              <w:top w:val="single" w:sz="4" w:space="0" w:color="auto"/>
              <w:left w:val="single" w:sz="4" w:space="0" w:color="auto"/>
              <w:bottom w:val="single" w:sz="4" w:space="0" w:color="auto"/>
              <w:right w:val="single" w:sz="4" w:space="0" w:color="auto"/>
            </w:tcBorders>
            <w:shd w:val="clear" w:color="000000" w:fill="FFFFFF"/>
            <w:vAlign w:val="bottom"/>
          </w:tcPr>
          <w:p w14:paraId="46564E50" w14:textId="77777777" w:rsidR="002421FE" w:rsidRPr="00815AF3" w:rsidRDefault="002421FE" w:rsidP="00FB1DFE">
            <w:pPr>
              <w:spacing w:after="0"/>
              <w:rPr>
                <w:rFonts w:eastAsia="Times New Roman"/>
                <w:color w:val="000000"/>
                <w:sz w:val="22"/>
                <w:szCs w:val="22"/>
              </w:rPr>
            </w:pPr>
            <w:r w:rsidRPr="00815AF3">
              <w:rPr>
                <w:rFonts w:eastAsia="Times New Roman"/>
                <w:b/>
                <w:bCs/>
                <w:color w:val="000000"/>
                <w:sz w:val="22"/>
                <w:szCs w:val="22"/>
              </w:rPr>
              <w:t>If research give type</w:t>
            </w:r>
          </w:p>
        </w:tc>
        <w:tc>
          <w:tcPr>
            <w:tcW w:w="2230" w:type="dxa"/>
            <w:tcBorders>
              <w:top w:val="single" w:sz="4" w:space="0" w:color="auto"/>
              <w:left w:val="single" w:sz="4" w:space="0" w:color="auto"/>
              <w:bottom w:val="single" w:sz="4" w:space="0" w:color="auto"/>
              <w:right w:val="single" w:sz="4" w:space="0" w:color="auto"/>
            </w:tcBorders>
            <w:shd w:val="clear" w:color="000000" w:fill="FFFFFF"/>
            <w:vAlign w:val="bottom"/>
          </w:tcPr>
          <w:p w14:paraId="78073C42" w14:textId="77777777" w:rsidR="002421FE" w:rsidRPr="00815AF3" w:rsidRDefault="002421FE" w:rsidP="00FB1DFE">
            <w:pPr>
              <w:spacing w:after="0"/>
              <w:rPr>
                <w:rFonts w:eastAsia="Times New Roman"/>
                <w:color w:val="000000"/>
                <w:sz w:val="22"/>
                <w:szCs w:val="22"/>
              </w:rPr>
            </w:pPr>
            <w:r w:rsidRPr="00815AF3">
              <w:rPr>
                <w:rFonts w:eastAsia="Times New Roman"/>
                <w:b/>
                <w:bCs/>
                <w:color w:val="000000"/>
                <w:sz w:val="22"/>
                <w:szCs w:val="22"/>
              </w:rPr>
              <w:t>Description of intervention</w:t>
            </w:r>
          </w:p>
        </w:tc>
        <w:tc>
          <w:tcPr>
            <w:tcW w:w="2526" w:type="dxa"/>
            <w:tcBorders>
              <w:top w:val="single" w:sz="4" w:space="0" w:color="auto"/>
              <w:left w:val="single" w:sz="4" w:space="0" w:color="auto"/>
              <w:bottom w:val="single" w:sz="4" w:space="0" w:color="auto"/>
              <w:right w:val="single" w:sz="4" w:space="0" w:color="auto"/>
            </w:tcBorders>
            <w:shd w:val="clear" w:color="000000" w:fill="FFFFFF"/>
            <w:vAlign w:val="bottom"/>
          </w:tcPr>
          <w:p w14:paraId="489FB114" w14:textId="77777777" w:rsidR="002421FE" w:rsidRPr="00815AF3" w:rsidRDefault="002421FE" w:rsidP="00FB1DFE">
            <w:pPr>
              <w:spacing w:after="0"/>
              <w:rPr>
                <w:rFonts w:eastAsia="Times New Roman"/>
                <w:color w:val="000000"/>
                <w:sz w:val="22"/>
                <w:szCs w:val="22"/>
              </w:rPr>
            </w:pPr>
            <w:r w:rsidRPr="00815AF3">
              <w:rPr>
                <w:rFonts w:eastAsia="Times New Roman"/>
                <w:b/>
                <w:bCs/>
                <w:color w:val="000000"/>
                <w:sz w:val="22"/>
                <w:szCs w:val="22"/>
              </w:rPr>
              <w:t>Participants</w:t>
            </w:r>
          </w:p>
        </w:tc>
        <w:tc>
          <w:tcPr>
            <w:tcW w:w="1693" w:type="dxa"/>
            <w:tcBorders>
              <w:top w:val="single" w:sz="4" w:space="0" w:color="auto"/>
              <w:left w:val="single" w:sz="4" w:space="0" w:color="auto"/>
              <w:bottom w:val="single" w:sz="4" w:space="0" w:color="auto"/>
              <w:right w:val="single" w:sz="4" w:space="0" w:color="auto"/>
            </w:tcBorders>
            <w:shd w:val="clear" w:color="000000" w:fill="FFFFFF"/>
            <w:vAlign w:val="bottom"/>
          </w:tcPr>
          <w:p w14:paraId="315924E8" w14:textId="77777777" w:rsidR="002421FE" w:rsidRPr="00815AF3" w:rsidRDefault="002421FE" w:rsidP="00FB1DFE">
            <w:pPr>
              <w:spacing w:after="0"/>
              <w:rPr>
                <w:rFonts w:eastAsia="Times New Roman"/>
                <w:color w:val="000000"/>
                <w:sz w:val="22"/>
                <w:szCs w:val="22"/>
              </w:rPr>
            </w:pPr>
            <w:r w:rsidRPr="00815AF3">
              <w:rPr>
                <w:rFonts w:eastAsia="Times New Roman"/>
                <w:b/>
                <w:bCs/>
                <w:color w:val="000000"/>
                <w:sz w:val="22"/>
                <w:szCs w:val="22"/>
              </w:rPr>
              <w:t>Setting</w:t>
            </w:r>
          </w:p>
        </w:tc>
        <w:tc>
          <w:tcPr>
            <w:tcW w:w="2584" w:type="dxa"/>
            <w:tcBorders>
              <w:top w:val="single" w:sz="4" w:space="0" w:color="auto"/>
              <w:left w:val="single" w:sz="4" w:space="0" w:color="auto"/>
              <w:bottom w:val="single" w:sz="4" w:space="0" w:color="auto"/>
              <w:right w:val="single" w:sz="4" w:space="0" w:color="auto"/>
            </w:tcBorders>
            <w:shd w:val="clear" w:color="000000" w:fill="FFFFFF"/>
            <w:vAlign w:val="bottom"/>
          </w:tcPr>
          <w:p w14:paraId="43E9AD8D" w14:textId="77777777" w:rsidR="002421FE" w:rsidRPr="00815AF3" w:rsidRDefault="002421FE" w:rsidP="00FB1DFE">
            <w:pPr>
              <w:spacing w:after="0"/>
              <w:rPr>
                <w:rFonts w:eastAsia="Times New Roman"/>
                <w:color w:val="000000"/>
                <w:sz w:val="22"/>
                <w:szCs w:val="22"/>
              </w:rPr>
            </w:pPr>
            <w:proofErr w:type="gramStart"/>
            <w:r w:rsidRPr="00815AF3">
              <w:rPr>
                <w:rFonts w:eastAsia="Times New Roman"/>
                <w:b/>
                <w:bCs/>
                <w:color w:val="000000"/>
                <w:sz w:val="22"/>
                <w:szCs w:val="22"/>
              </w:rPr>
              <w:t>Main focus</w:t>
            </w:r>
            <w:proofErr w:type="gramEnd"/>
          </w:p>
        </w:tc>
      </w:tr>
      <w:tr w:rsidR="002421FE" w:rsidRPr="00815AF3" w14:paraId="31F23041" w14:textId="77777777" w:rsidTr="00FB1DFE">
        <w:trPr>
          <w:trHeight w:val="525"/>
        </w:trPr>
        <w:tc>
          <w:tcPr>
            <w:tcW w:w="175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6A2C0EE2"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 xml:space="preserve">Health Foundation (also </w:t>
            </w:r>
            <w:proofErr w:type="spellStart"/>
            <w:r w:rsidRPr="00815AF3">
              <w:rPr>
                <w:rFonts w:eastAsia="Times New Roman"/>
                <w:color w:val="000000"/>
                <w:sz w:val="22"/>
                <w:szCs w:val="22"/>
              </w:rPr>
              <w:t>Baqir</w:t>
            </w:r>
            <w:proofErr w:type="spellEnd"/>
            <w:r w:rsidRPr="00815AF3">
              <w:rPr>
                <w:rFonts w:eastAsia="Times New Roman"/>
                <w:color w:val="000000"/>
                <w:sz w:val="22"/>
                <w:szCs w:val="22"/>
              </w:rPr>
              <w:t xml:space="preserve"> 2016) </w:t>
            </w:r>
            <w:r w:rsidRPr="00815AF3">
              <w:rPr>
                <w:rFonts w:eastAsia="Times New Roman"/>
                <w:color w:val="000000"/>
                <w:sz w:val="22"/>
                <w:szCs w:val="22"/>
              </w:rPr>
              <w:fldChar w:fldCharType="begin" w:fldLock="1"/>
            </w:r>
            <w:r>
              <w:rPr>
                <w:rFonts w:eastAsia="Times New Roman"/>
                <w:color w:val="000000"/>
                <w:sz w:val="22"/>
                <w:szCs w:val="22"/>
              </w:rPr>
              <w:instrText>ADDIN CSL_CITATION { "citationItems" : [ { "id" : "ITEM-1", "itemData" : { "abstract" : "Objectives The key objectives of this study were to quantify extent of prescribing, reasons for deprescribing, common therapeutic groups of medicines deprescribed and adverse events.Methods A retrospective analysis was carried out on a quality improvement project where 422 care home residents in 20 care homes received a medicines optimisation review with a pharmacist and other members of the healthcare team (general medical practitioner, care home nurse). Data on number, type and cost of medicines were collected. Statistical analysis was performed to test for differences between pharmacist-only review and the pharmacist plus general practitioner (GP), and to identify any correlation between the original number of medicines and the number of medicines stopped.Results Of the 422 patients reviewed, 298 (70.6%) had at least one medicine stopped with 704 medicines being stopped. This represented 19.5% of the medicines originally prescribed (3602 medicines). There was no statistically significant difference between pharmacist only and pharmacist plus GP in terms of stopping medicines. The main groups of medicines stopped were laxatives, skin products and bone protection. There was weak correlation between the original number of medicines prescribed and the number stopped.Conclusions This study has shown that medicines optimisation reviews can lead to a reduction in polypharmacy for care home residents through a deprescribing process. Patients&amp;#039; medicine regimens were simplified and optimised while making financial significant savings for the National Health Service.", "author" : [ { "dropping-particle" : "", "family" : "Baqir", "given" : "Wasim", "non-dropping-particle" : "", "parse-names" : false, "suffix" : "" }, { "dropping-particle" : "", "family" : "Hughes", "given" : "Julian", "non-dropping-particle" : "", "parse-names" : false, "suffix" : "" }, { "dropping-particle" : "", "family" : "Jones", "given" : "Tania", "non-dropping-particle" : "", "parse-names" : false, "suffix" : "" }, { "dropping-particle" : "", "family" : "Barrett", "given" : "Steven", "non-dropping-particle" : "", "parse-names" : false, "suffix" : "" }, { "dropping-particle" : "", "family" : "Desai", "given" : "Nisha", "non-dropping-particle" : "", "parse-names" : false, "suffix" : "" }, { "dropping-particle" : "", "family" : "Copeland", "given" : "Richard", "non-dropping-particle" : "", "parse-names" : false, "suffix" : "" }, { "dropping-particle" : "", "family" : "Campbell", "given" : "David", "non-dropping-particle" : "", "parse-names" : false, "suffix" : "" }, { "dropping-particle" : "", "family" : "Laverty", "given" : "Annie", "non-dropping-particle" : "", "parse-names" : false, "suffix" : "" } ], "container-title" : "European Journal of Hospital Pharmacy", "id" : "ITEM-1", "issue" : "1", "issued" : { "date-parts" : [ [ "2016", "12", "20" ] ] }, "page" : "30 LP - 33", "title" : "Impact of medication review, within a shared decision-making framework, on deprescribing in people living in care homes", "type" : "article-journal", "volume" : "24" }, "uris" : [ "http://www.mendeley.com/documents/?uuid=f67b832b-da51-4d42-b6a5-d1af4866c135" ] }, { "id" : "ITEM-2", "itemData" : { "URL" : "http://www.health.org.uk/node/10181", "accessed" : { "date-parts" : [ [ "2017", "7", "14" ] ] }, "author" : [ { "dropping-particle" : "", "family" : "Health Foundation", "given" : "", "non-dropping-particle" : "", "parse-names" : false, "suffix" : "" } ], "id" : "ITEM-2", "issued" : { "date-parts" : [ [ "0" ] ] }, "title" : "The Power of People", "type" : "webpage" }, "uris" : [ "http://www.mendeley.com/documents/?uuid=e9bd44a6-356b-4385-980b-638cd6dfc82c" ] } ], "mendeley" : { "formattedCitation" : "&lt;sup&gt;164,171&lt;/sup&gt;", "plainTextFormattedCitation" : "164,171", "previouslyFormattedCitation" : "&lt;sup&gt;164,171&lt;/sup&gt;" }, "properties" : { "noteIndex" : 0 }, "schema" : "https://github.com/citation-style-language/schema/raw/master/csl-citation.json" }</w:instrText>
            </w:r>
            <w:r w:rsidRPr="00815AF3">
              <w:rPr>
                <w:rFonts w:eastAsia="Times New Roman"/>
                <w:color w:val="000000"/>
                <w:sz w:val="22"/>
                <w:szCs w:val="22"/>
                <w:vertAlign w:val="superscript"/>
              </w:rPr>
              <w:fldChar w:fldCharType="separate"/>
            </w:r>
            <w:r w:rsidRPr="00D232B0">
              <w:rPr>
                <w:rFonts w:eastAsia="Times New Roman"/>
                <w:noProof/>
                <w:color w:val="000000"/>
                <w:sz w:val="22"/>
                <w:szCs w:val="22"/>
                <w:vertAlign w:val="superscript"/>
              </w:rPr>
              <w:t>164,171</w:t>
            </w:r>
            <w:r w:rsidRPr="00815AF3">
              <w:rPr>
                <w:rFonts w:eastAsia="Times New Roman"/>
                <w:color w:val="000000"/>
                <w:sz w:val="22"/>
                <w:szCs w:val="22"/>
              </w:rPr>
              <w:fldChar w:fldCharType="end"/>
            </w:r>
          </w:p>
        </w:tc>
        <w:tc>
          <w:tcPr>
            <w:tcW w:w="15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3743D1D6"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Case study</w:t>
            </w:r>
          </w:p>
        </w:tc>
        <w:tc>
          <w:tcPr>
            <w:tcW w:w="223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3FD5E17F"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Multidisciplinary SDM</w:t>
            </w:r>
          </w:p>
        </w:tc>
        <w:tc>
          <w:tcPr>
            <w:tcW w:w="2526"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0B38AE6A"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HSCPs, Resident and family members</w:t>
            </w:r>
          </w:p>
        </w:tc>
        <w:tc>
          <w:tcPr>
            <w:tcW w:w="1693"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1887D3DB"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Care home</w:t>
            </w:r>
          </w:p>
        </w:tc>
        <w:tc>
          <w:tcPr>
            <w:tcW w:w="2584"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2DD726A4"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Interprofessional SDM</w:t>
            </w:r>
          </w:p>
        </w:tc>
      </w:tr>
      <w:tr w:rsidR="002421FE" w:rsidRPr="00815AF3" w14:paraId="5B856CA4" w14:textId="77777777" w:rsidTr="00FB1DFE">
        <w:trPr>
          <w:trHeight w:val="525"/>
        </w:trPr>
        <w:tc>
          <w:tcPr>
            <w:tcW w:w="175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3331FCD0" w14:textId="77777777" w:rsidR="002421FE" w:rsidRPr="00815AF3" w:rsidRDefault="002421FE" w:rsidP="00FB1DFE">
            <w:pPr>
              <w:spacing w:after="0"/>
              <w:rPr>
                <w:rFonts w:eastAsia="Times New Roman"/>
                <w:color w:val="000000"/>
                <w:sz w:val="22"/>
                <w:szCs w:val="22"/>
              </w:rPr>
            </w:pPr>
            <w:proofErr w:type="spellStart"/>
            <w:r w:rsidRPr="00815AF3">
              <w:rPr>
                <w:rFonts w:eastAsia="Times New Roman"/>
                <w:color w:val="000000"/>
                <w:sz w:val="22"/>
                <w:szCs w:val="22"/>
              </w:rPr>
              <w:t>Herlitz</w:t>
            </w:r>
            <w:proofErr w:type="spellEnd"/>
            <w:r w:rsidRPr="00815AF3">
              <w:rPr>
                <w:rFonts w:eastAsia="Times New Roman"/>
                <w:color w:val="000000"/>
                <w:sz w:val="22"/>
                <w:szCs w:val="22"/>
              </w:rPr>
              <w:t xml:space="preserve"> 2016 </w:t>
            </w:r>
            <w:r w:rsidRPr="00815AF3">
              <w:rPr>
                <w:rFonts w:eastAsia="Times New Roman"/>
                <w:color w:val="000000"/>
                <w:sz w:val="22"/>
                <w:szCs w:val="22"/>
              </w:rPr>
              <w:fldChar w:fldCharType="begin" w:fldLock="1"/>
            </w:r>
            <w:r>
              <w:rPr>
                <w:rFonts w:eastAsia="Times New Roman"/>
                <w:color w:val="000000"/>
                <w:sz w:val="22"/>
                <w:szCs w:val="22"/>
              </w:rPr>
              <w:instrText>ADDIN CSL_CITATION { "citationItems" : [ { "id" : "ITEM-1", "itemData" : { "DOI" : "10.1080/10410236.2015.1025332", "ISSN" : "1041-0236", "author" : [ { "dropping-particle" : "", "family" : "Herlitz", "given" : "Anders", "non-dropping-particle" : "", "parse-names" : false, "suffix" : "" }, { "dropping-particle" : "", "family" : "Munthe", "given" : "Christian", "non-dropping-particle" : "", "parse-names" : false, "suffix" : "" }, { "dropping-particle" : "", "family" : "T\u00f6rner", "given" : "Marianne", "non-dropping-particle" : "", "parse-names" : false, "suffix" : "" }, { "dropping-particle" : "", "family" : "Forsander", "given" : "Gun", "non-dropping-particle" : "", "parse-names" : false, "suffix" : "" } ], "container-title" : "Health Communication", "id" : "ITEM-1", "issue" : "8", "issued" : { "date-parts" : [ [ "2016", "8", "2" ] ] }, "page" : "964-973", "title" : "The Counseling, Self-Care, Adherence Approach to Person-Centered Care and Shared Decision Making: Moral Psychology, Executive Autonomy, and Ethics in Multi-Dimensional Care Decisions", "type" : "article-journal", "volume" : "31" }, "uris" : [ "http://www.mendeley.com/documents/?uuid=0561a902-31ed-456d-8263-e462b1afee67" ] } ], "mendeley" : { "formattedCitation" : "&lt;sup&gt;148&lt;/sup&gt;", "plainTextFormattedCitation" : "148", "previouslyFormattedCitation" : "&lt;sup&gt;148&lt;/sup&gt;" }, "properties" : { "noteIndex" : 0 }, "schema" : "https://github.com/citation-style-language/schema/raw/master/csl-citation.json" }</w:instrText>
            </w:r>
            <w:r w:rsidRPr="00815AF3">
              <w:rPr>
                <w:rFonts w:eastAsia="Times New Roman"/>
                <w:color w:val="000000"/>
                <w:sz w:val="22"/>
                <w:szCs w:val="22"/>
                <w:vertAlign w:val="superscript"/>
              </w:rPr>
              <w:fldChar w:fldCharType="separate"/>
            </w:r>
            <w:r w:rsidRPr="00D232B0">
              <w:rPr>
                <w:rFonts w:eastAsia="Times New Roman"/>
                <w:noProof/>
                <w:color w:val="000000"/>
                <w:sz w:val="22"/>
                <w:szCs w:val="22"/>
                <w:vertAlign w:val="superscript"/>
              </w:rPr>
              <w:t>148</w:t>
            </w:r>
            <w:r w:rsidRPr="00815AF3">
              <w:rPr>
                <w:rFonts w:eastAsia="Times New Roman"/>
                <w:color w:val="000000"/>
                <w:sz w:val="22"/>
                <w:szCs w:val="22"/>
              </w:rPr>
              <w:fldChar w:fldCharType="end"/>
            </w:r>
          </w:p>
        </w:tc>
        <w:tc>
          <w:tcPr>
            <w:tcW w:w="15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1FBC912E"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Qualitative</w:t>
            </w:r>
          </w:p>
        </w:tc>
        <w:tc>
          <w:tcPr>
            <w:tcW w:w="223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201A4E7B"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NA</w:t>
            </w:r>
          </w:p>
        </w:tc>
        <w:tc>
          <w:tcPr>
            <w:tcW w:w="2526"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2C418413"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Adolescents with diabetes</w:t>
            </w:r>
          </w:p>
        </w:tc>
        <w:tc>
          <w:tcPr>
            <w:tcW w:w="1693"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68749A00"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Diabetes clinic</w:t>
            </w:r>
          </w:p>
        </w:tc>
        <w:tc>
          <w:tcPr>
            <w:tcW w:w="2584"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5C44EEAE"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Influences on SDM</w:t>
            </w:r>
          </w:p>
        </w:tc>
      </w:tr>
      <w:tr w:rsidR="002421FE" w:rsidRPr="00815AF3" w14:paraId="28CE865F" w14:textId="77777777" w:rsidTr="00FB1DFE">
        <w:trPr>
          <w:trHeight w:val="525"/>
        </w:trPr>
        <w:tc>
          <w:tcPr>
            <w:tcW w:w="175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28A5AAD8" w14:textId="77777777" w:rsidR="002421FE" w:rsidRPr="00815AF3" w:rsidRDefault="002421FE" w:rsidP="00FB1DFE">
            <w:pPr>
              <w:spacing w:after="0"/>
              <w:rPr>
                <w:rFonts w:eastAsia="Times New Roman"/>
                <w:color w:val="000000"/>
                <w:sz w:val="22"/>
                <w:szCs w:val="22"/>
              </w:rPr>
            </w:pPr>
            <w:proofErr w:type="spellStart"/>
            <w:r w:rsidRPr="00815AF3">
              <w:rPr>
                <w:rFonts w:eastAsia="Times New Roman"/>
                <w:color w:val="000000"/>
                <w:sz w:val="22"/>
                <w:szCs w:val="22"/>
              </w:rPr>
              <w:t>Holmside</w:t>
            </w:r>
            <w:proofErr w:type="spellEnd"/>
            <w:r w:rsidRPr="00815AF3">
              <w:rPr>
                <w:rFonts w:eastAsia="Times New Roman"/>
                <w:color w:val="000000"/>
                <w:sz w:val="22"/>
                <w:szCs w:val="22"/>
              </w:rPr>
              <w:t xml:space="preserve"> Medical Group 2014 </w:t>
            </w:r>
            <w:r w:rsidRPr="00815AF3">
              <w:rPr>
                <w:rFonts w:eastAsia="Times New Roman"/>
                <w:color w:val="000000"/>
                <w:sz w:val="22"/>
                <w:szCs w:val="22"/>
              </w:rPr>
              <w:fldChar w:fldCharType="begin" w:fldLock="1"/>
            </w:r>
            <w:r>
              <w:rPr>
                <w:rFonts w:eastAsia="Times New Roman"/>
                <w:color w:val="000000"/>
                <w:sz w:val="22"/>
                <w:szCs w:val="22"/>
              </w:rPr>
              <w:instrText>ADDIN CSL_CITATION { "citationItems" : [ { "id" : "ITEM-1", "itemData" : { "author" : [ { "dropping-particle" : "", "family" : "Holmside Medical Group", "given" : "", "non-dropping-particle" : "", "parse-names" : false, "suffix" : "" } ], "id" : "ITEM-1", "issued" : { "date-parts" : [ [ "2014" ] ] }, "number-of-pages" : "1-8", "publisher-place" : "Newcastle-upon-Tyne", "title" : "The Holmside story Person centred primary care: Care and support planning", "type" : "report" }, "uris" : [ "http://www.mendeley.com/documents/?uuid=5b2c692b-f6b2-4098-96ec-17ae2bda6648" ] } ], "mendeley" : { "formattedCitation" : "&lt;sup&gt;173&lt;/sup&gt;", "plainTextFormattedCitation" : "173", "previouslyFormattedCitation" : "&lt;sup&gt;173&lt;/sup&gt;" }, "properties" : { "noteIndex" : 0 }, "schema" : "https://github.com/citation-style-language/schema/raw/master/csl-citation.json" }</w:instrText>
            </w:r>
            <w:r w:rsidRPr="00815AF3">
              <w:rPr>
                <w:rFonts w:eastAsia="Times New Roman"/>
                <w:color w:val="000000"/>
                <w:sz w:val="22"/>
                <w:szCs w:val="22"/>
                <w:vertAlign w:val="superscript"/>
              </w:rPr>
              <w:fldChar w:fldCharType="separate"/>
            </w:r>
            <w:r w:rsidRPr="00D232B0">
              <w:rPr>
                <w:rFonts w:eastAsia="Times New Roman"/>
                <w:noProof/>
                <w:color w:val="000000"/>
                <w:sz w:val="22"/>
                <w:szCs w:val="22"/>
                <w:vertAlign w:val="superscript"/>
              </w:rPr>
              <w:t>173</w:t>
            </w:r>
            <w:r w:rsidRPr="00815AF3">
              <w:rPr>
                <w:rFonts w:eastAsia="Times New Roman"/>
                <w:color w:val="000000"/>
                <w:sz w:val="22"/>
                <w:szCs w:val="22"/>
              </w:rPr>
              <w:fldChar w:fldCharType="end"/>
            </w:r>
          </w:p>
        </w:tc>
        <w:tc>
          <w:tcPr>
            <w:tcW w:w="15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7697DD15"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Case study</w:t>
            </w:r>
          </w:p>
        </w:tc>
        <w:tc>
          <w:tcPr>
            <w:tcW w:w="223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3B096CCF"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Holistic care for people with LTC</w:t>
            </w:r>
          </w:p>
        </w:tc>
        <w:tc>
          <w:tcPr>
            <w:tcW w:w="2526"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73A0168A"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HCPs</w:t>
            </w:r>
          </w:p>
        </w:tc>
        <w:tc>
          <w:tcPr>
            <w:tcW w:w="1693"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5F8DA810"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Primary care</w:t>
            </w:r>
          </w:p>
        </w:tc>
        <w:tc>
          <w:tcPr>
            <w:tcW w:w="2584"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5875586F"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Service organisation</w:t>
            </w:r>
          </w:p>
        </w:tc>
      </w:tr>
      <w:tr w:rsidR="002421FE" w:rsidRPr="00815AF3" w14:paraId="7AE61F5D" w14:textId="77777777" w:rsidTr="00FB1DFE">
        <w:trPr>
          <w:trHeight w:val="525"/>
        </w:trPr>
        <w:tc>
          <w:tcPr>
            <w:tcW w:w="175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1605C182"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 xml:space="preserve">Jones 2011 </w:t>
            </w:r>
            <w:r w:rsidRPr="00815AF3">
              <w:rPr>
                <w:rFonts w:eastAsia="Times New Roman"/>
                <w:color w:val="000000"/>
                <w:sz w:val="22"/>
                <w:szCs w:val="22"/>
              </w:rPr>
              <w:fldChar w:fldCharType="begin" w:fldLock="1"/>
            </w:r>
            <w:r>
              <w:rPr>
                <w:rFonts w:eastAsia="Times New Roman"/>
                <w:color w:val="000000"/>
                <w:sz w:val="22"/>
                <w:szCs w:val="22"/>
              </w:rPr>
              <w:instrText>ADDIN CSL_CITATION { "citationItems" : [ { "id" : "ITEM-1", "itemData" : { "DOI" : "10.1007/s13142-011-0023-5", "ISSN" : "1869-6716 (Print)", "PMID" : "24073039", "abstract" : "Advances in shared decision making (SDM) have not successfully translated to practice. We describe our experience and lessons learned in translating an SDM process for primary care cardiovascular disease management. The SDM process operationalized recognized SDM elements using workflow modifications, a computerized patient questionnaire, an automated risk calculator to identify at-risk patients, a web-based tool for patients to choose interventions, automated feedback on the personalized benefits of choices, and a web-based tool for providers to view patient risk, patient choice, and expert advice. Although medication was typically the intervention resulting in the greatest risk reduction, the majority of patients preferred dietary and other lifestyle changes. Patients generally favored the opportunity to make and communicate choices. However, providers only viewed patient choice data in 20% of the encounters. Translation of the SDM process was successful for patients and the difference between patient choice and optimal risk reduction points to the importance of engaging in an SDM process. Lack of engagement by providers may be due to \"alert fatigue\" or to the failure of the SDM process to improve efficiency in the office visit.", "author" : [ { "dropping-particle" : "", "family" : "Jones", "given" : "J B", "non-dropping-particle" : "", "parse-names" : false, "suffix" : "" }, { "dropping-particle" : "", "family" : "Bruce", "given" : "Christa A", "non-dropping-particle" : "", "parse-names" : false, "suffix" : "" }, { "dropping-particle" : "", "family" : "Shah", "given" : "Nirav R", "non-dropping-particle" : "", "parse-names" : false, "suffix" : "" }, { "dropping-particle" : "", "family" : "Taylor", "given" : "William F", "non-dropping-particle" : "", "parse-names" : false, "suffix" : "" }, { "dropping-particle" : "", "family" : "Stewart", "given" : "Walter F", "non-dropping-particle" : "", "parse-names" : false, "suffix" : "" } ], "container-title" : "Translational behavioral medicine", "id" : "ITEM-1", "issue" : "1", "issued" : { "date-parts" : [ [ "2011", "3" ] ] }, "language" : "eng", "page" : "123-133", "publisher-place" : "United States", "title" : "Shared decision making: using health information technology to integrate patient choice into primary care.", "type" : "article-journal", "volume" : "1" }, "uris" : [ "http://www.mendeley.com/documents/?uuid=c7b97073-c142-4eea-be4d-fe28986515a5" ] } ], "mendeley" : { "formattedCitation" : "&lt;sup&gt;149&lt;/sup&gt;", "plainTextFormattedCitation" : "149", "previouslyFormattedCitation" : "&lt;sup&gt;149&lt;/sup&gt;" }, "properties" : { "noteIndex" : 0 }, "schema" : "https://github.com/citation-style-language/schema/raw/master/csl-citation.json" }</w:instrText>
            </w:r>
            <w:r w:rsidRPr="00815AF3">
              <w:rPr>
                <w:rFonts w:eastAsia="Times New Roman"/>
                <w:color w:val="000000"/>
                <w:sz w:val="22"/>
                <w:szCs w:val="22"/>
                <w:vertAlign w:val="superscript"/>
              </w:rPr>
              <w:fldChar w:fldCharType="separate"/>
            </w:r>
            <w:r w:rsidRPr="00D232B0">
              <w:rPr>
                <w:rFonts w:eastAsia="Times New Roman"/>
                <w:noProof/>
                <w:color w:val="000000"/>
                <w:sz w:val="22"/>
                <w:szCs w:val="22"/>
                <w:vertAlign w:val="superscript"/>
              </w:rPr>
              <w:t>149</w:t>
            </w:r>
            <w:r w:rsidRPr="00815AF3">
              <w:rPr>
                <w:rFonts w:eastAsia="Times New Roman"/>
                <w:color w:val="000000"/>
                <w:sz w:val="22"/>
                <w:szCs w:val="22"/>
              </w:rPr>
              <w:fldChar w:fldCharType="end"/>
            </w:r>
          </w:p>
        </w:tc>
        <w:tc>
          <w:tcPr>
            <w:tcW w:w="15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75DD4747"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Questionnaires</w:t>
            </w:r>
          </w:p>
        </w:tc>
        <w:tc>
          <w:tcPr>
            <w:tcW w:w="223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50471B1"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Tool for presenting risk</w:t>
            </w:r>
          </w:p>
        </w:tc>
        <w:tc>
          <w:tcPr>
            <w:tcW w:w="2526"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568A79BA"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HCPs, people at risk of CVD</w:t>
            </w:r>
          </w:p>
        </w:tc>
        <w:tc>
          <w:tcPr>
            <w:tcW w:w="1693"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196CBA07"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Clinics</w:t>
            </w:r>
          </w:p>
        </w:tc>
        <w:tc>
          <w:tcPr>
            <w:tcW w:w="2584"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7B294FC4"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Influences on SDM</w:t>
            </w:r>
          </w:p>
        </w:tc>
      </w:tr>
      <w:tr w:rsidR="002421FE" w:rsidRPr="00815AF3" w14:paraId="53148705" w14:textId="77777777" w:rsidTr="00FB1DFE">
        <w:trPr>
          <w:trHeight w:val="525"/>
        </w:trPr>
        <w:tc>
          <w:tcPr>
            <w:tcW w:w="175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694E3B14"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 xml:space="preserve">Joseph-Williams 2017 </w:t>
            </w:r>
            <w:r w:rsidRPr="00815AF3">
              <w:rPr>
                <w:rFonts w:eastAsia="Times New Roman"/>
                <w:color w:val="000000"/>
                <w:sz w:val="22"/>
                <w:szCs w:val="22"/>
              </w:rPr>
              <w:fldChar w:fldCharType="begin" w:fldLock="1"/>
            </w:r>
            <w:r>
              <w:rPr>
                <w:rFonts w:eastAsia="Times New Roman"/>
                <w:color w:val="000000"/>
                <w:sz w:val="22"/>
                <w:szCs w:val="22"/>
              </w:rPr>
              <w:instrText>ADDIN CSL_CITATION { "citationItems" : [ { "id" : "ITEM-1", "itemData" : { "DOI" : "10.1136/bmj.j1744", "ISSN" : "0959-8138", "PMID" : "28420639", "author" : [ { "dropping-particle" : "", "family" : "Joseph-Williams", "given" : "Natalie", "non-dropping-particle" : "", "parse-names" : false, "suffix" : "" }, { "dropping-particle" : "", "family" : "Lloyd", "given" : "Amy", "non-dropping-particle" : "", "parse-names" : false, "suffix" : "" }, { "dropping-particle" : "", "family" : "Edwards", "given" : "Adrian", "non-dropping-particle" : "", "parse-names" : false, "suffix" : "" }, { "dropping-particle" : "", "family" : "Stobbart", "given" : "Lynne", "non-dropping-particle" : "", "parse-names" : false, "suffix" : "" }, { "dropping-particle" : "", "family" : "Tomson", "given" : "David", "non-dropping-particle" : "", "parse-names" : false, "suffix" : "" }, { "dropping-particle" : "", "family" : "Macphail", "given" : "Sheila", "non-dropping-particle" : "", "parse-names" : false, "suffix" : "" }, { "dropping-particle" : "", "family" : "Dodd", "given" : "Carole", "non-dropping-particle" : "", "parse-names" : false, "suffix" : "" }, { "dropping-particle" : "", "family" : "Brain", "given" : "Kate", "non-dropping-particle" : "", "parse-names" : false, "suffix" : "" }, { "dropping-particle" : "", "family" : "Elwyn", "given" : "Glyn", "non-dropping-particle" : "", "parse-names" : false, "suffix" : "" }, { "dropping-particle" : "", "family" : "Thomson", "given" : "Richard", "non-dropping-particle" : "", "parse-names" : false, "suffix" : "" } ], "container-title" : "Bmj", "id" : "ITEM-1", "issued" : { "date-parts" : [ [ "2017" ] ] }, "page" : "j1744", "title" : "Implementing shared decision making in the NHS: lessons from the MAGIC programme", "type" : "article-journal", "volume" : "1744" }, "uris" : [ "http://www.mendeley.com/documents/?uuid=65f9728a-8467-4bbe-ba9b-2d237e1db6a0" ] } ], "mendeley" : { "formattedCitation" : "&lt;sup&gt;150&lt;/sup&gt;", "plainTextFormattedCitation" : "150", "previouslyFormattedCitation" : "&lt;sup&gt;150&lt;/sup&gt;" }, "properties" : { "noteIndex" : 0 }, "schema" : "https://github.com/citation-style-language/schema/raw/master/csl-citation.json" }</w:instrText>
            </w:r>
            <w:r w:rsidRPr="00815AF3">
              <w:rPr>
                <w:rFonts w:eastAsia="Times New Roman"/>
                <w:color w:val="000000"/>
                <w:sz w:val="22"/>
                <w:szCs w:val="22"/>
                <w:vertAlign w:val="superscript"/>
              </w:rPr>
              <w:fldChar w:fldCharType="separate"/>
            </w:r>
            <w:r w:rsidRPr="00D232B0">
              <w:rPr>
                <w:rFonts w:eastAsia="Times New Roman"/>
                <w:noProof/>
                <w:color w:val="000000"/>
                <w:sz w:val="22"/>
                <w:szCs w:val="22"/>
                <w:vertAlign w:val="superscript"/>
              </w:rPr>
              <w:t>150</w:t>
            </w:r>
            <w:r w:rsidRPr="00815AF3">
              <w:rPr>
                <w:rFonts w:eastAsia="Times New Roman"/>
                <w:color w:val="000000"/>
                <w:sz w:val="22"/>
                <w:szCs w:val="22"/>
              </w:rPr>
              <w:fldChar w:fldCharType="end"/>
            </w:r>
          </w:p>
        </w:tc>
        <w:tc>
          <w:tcPr>
            <w:tcW w:w="15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793D57B0"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Qualitative</w:t>
            </w:r>
          </w:p>
        </w:tc>
        <w:tc>
          <w:tcPr>
            <w:tcW w:w="223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159EA95"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SDM training</w:t>
            </w:r>
          </w:p>
        </w:tc>
        <w:tc>
          <w:tcPr>
            <w:tcW w:w="2526"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3189227B"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HCPs</w:t>
            </w:r>
          </w:p>
        </w:tc>
        <w:tc>
          <w:tcPr>
            <w:tcW w:w="1693"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74FCA60B"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Primary care</w:t>
            </w:r>
          </w:p>
        </w:tc>
        <w:tc>
          <w:tcPr>
            <w:tcW w:w="2584"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1B7ADA47"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Training for HCPs, implementation of SDM</w:t>
            </w:r>
          </w:p>
        </w:tc>
      </w:tr>
      <w:tr w:rsidR="002421FE" w:rsidRPr="00815AF3" w14:paraId="52EBE143" w14:textId="77777777" w:rsidTr="00FB1DFE">
        <w:trPr>
          <w:trHeight w:val="525"/>
        </w:trPr>
        <w:tc>
          <w:tcPr>
            <w:tcW w:w="175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558CB19E" w14:textId="77777777" w:rsidR="002421FE" w:rsidRPr="00815AF3" w:rsidRDefault="002421FE" w:rsidP="00FB1DFE">
            <w:pPr>
              <w:spacing w:after="0"/>
              <w:rPr>
                <w:rFonts w:eastAsia="Times New Roman"/>
                <w:color w:val="000000"/>
                <w:sz w:val="22"/>
                <w:szCs w:val="22"/>
              </w:rPr>
            </w:pPr>
            <w:proofErr w:type="spellStart"/>
            <w:r w:rsidRPr="00815AF3">
              <w:rPr>
                <w:rFonts w:eastAsia="Times New Roman"/>
                <w:color w:val="000000"/>
                <w:sz w:val="22"/>
                <w:szCs w:val="22"/>
              </w:rPr>
              <w:t>Körner</w:t>
            </w:r>
            <w:proofErr w:type="spellEnd"/>
            <w:r w:rsidRPr="00815AF3">
              <w:rPr>
                <w:rFonts w:eastAsia="Times New Roman"/>
                <w:color w:val="000000"/>
                <w:sz w:val="22"/>
                <w:szCs w:val="22"/>
              </w:rPr>
              <w:t xml:space="preserve"> 2013 </w:t>
            </w:r>
            <w:r w:rsidRPr="00815AF3">
              <w:rPr>
                <w:rFonts w:eastAsia="Times New Roman"/>
                <w:color w:val="000000"/>
                <w:sz w:val="22"/>
                <w:szCs w:val="22"/>
              </w:rPr>
              <w:fldChar w:fldCharType="begin" w:fldLock="1"/>
            </w:r>
            <w:r>
              <w:rPr>
                <w:rFonts w:eastAsia="Times New Roman"/>
                <w:color w:val="000000"/>
                <w:sz w:val="22"/>
                <w:szCs w:val="22"/>
              </w:rPr>
              <w:instrText>ADDIN CSL_CITATION { "citationItems" : [ { "id" : "ITEM-1", "itemData" : { "DOI" : "10.3109/13561820.2012.711786", "ISBN" : "1356-1820", "ISSN" : "1469-9567", "PMID" : "23151149", "abstract" : "For implementation of patient-centered treatment in interprofessional health care units, such as rehabilitation teams, external participation (interaction between patient and health care professionals) and internal participation (communication, coordination and cooperation in the interprofessional team) need to be considered. The aim of this study is to identify the preferences of patients and health care professionals concerning internal and external participation in rehabilitation clinics, in order to develop an interprofessional shared decision-making (SDM) training program for health care professionals to enhance both types of participation. Therefore, a cross-sectional mixed-methods study was implemented in four rehabilitation clinics. The study consists of two parts: focus groups with patients and a survey of experts (senior health care professionals from medicine, psychotherapy, physical therapy and nursing). More time, more respect from the health care professionals and the desire for more participation in decision-making processes were mentioned most frequently by patients (n = 36) in the focus groups. The health care professionals (n = 32) saw most deficits in internal participation, e.g. management of feedback, talking with difficult team members and moderate conflict discussion. The results of both assessments have been used to develop an interprofessional SDM training program for implementing internal and external participation in interprofessional teams in medical rehabilitation.", "author" : [ { "dropping-particle" : "", "family" : "K\u00f6rner", "given" : "Mirjam", "non-dropping-particle" : "", "parse-names" : false, "suffix" : "" }, { "dropping-particle" : "", "family" : "Ehrhardt", "given" : "Heike", "non-dropping-particle" : "", "parse-names" : false, "suffix" : "" }, { "dropping-particle" : "", "family" : "Steger", "given" : "Anne-Kathrin", "non-dropping-particle" : "", "parse-names" : false, "suffix" : "" } ], "container-title" : "Journal of interprofessional care", "id" : "ITEM-1", "issue" : "2", "issued" : { "date-parts" : [ [ "2013" ] ] }, "page" : "146-54", "title" : "Designing an interprofessional training program for shared decision making.", "type" : "article-journal", "volume" : "27" }, "uris" : [ "http://www.mendeley.com/documents/?uuid=43beeaff-05b2-4f6f-b441-16a46a8d662c" ] } ], "mendeley" : { "formattedCitation" : "&lt;sup&gt;151&lt;/sup&gt;", "plainTextFormattedCitation" : "151", "previouslyFormattedCitation" : "&lt;sup&gt;151&lt;/sup&gt;" }, "properties" : { "noteIndex" : 0 }, "schema" : "https://github.com/citation-style-language/schema/raw/master/csl-citation.json" }</w:instrText>
            </w:r>
            <w:r w:rsidRPr="00815AF3">
              <w:rPr>
                <w:rFonts w:eastAsia="Times New Roman"/>
                <w:color w:val="000000"/>
                <w:sz w:val="22"/>
                <w:szCs w:val="22"/>
                <w:vertAlign w:val="superscript"/>
              </w:rPr>
              <w:fldChar w:fldCharType="separate"/>
            </w:r>
            <w:r w:rsidRPr="00D232B0">
              <w:rPr>
                <w:rFonts w:eastAsia="Times New Roman"/>
                <w:noProof/>
                <w:color w:val="000000"/>
                <w:sz w:val="22"/>
                <w:szCs w:val="22"/>
                <w:vertAlign w:val="superscript"/>
              </w:rPr>
              <w:t>151</w:t>
            </w:r>
            <w:r w:rsidRPr="00815AF3">
              <w:rPr>
                <w:rFonts w:eastAsia="Times New Roman"/>
                <w:color w:val="000000"/>
                <w:sz w:val="22"/>
                <w:szCs w:val="22"/>
              </w:rPr>
              <w:fldChar w:fldCharType="end"/>
            </w:r>
          </w:p>
        </w:tc>
        <w:tc>
          <w:tcPr>
            <w:tcW w:w="15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1186DC55"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Qualitative</w:t>
            </w:r>
          </w:p>
        </w:tc>
        <w:tc>
          <w:tcPr>
            <w:tcW w:w="223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7DBF6BDD"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NA</w:t>
            </w:r>
          </w:p>
        </w:tc>
        <w:tc>
          <w:tcPr>
            <w:tcW w:w="2526"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3399E5F6"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HCPs (multidisciplinary)</w:t>
            </w:r>
          </w:p>
        </w:tc>
        <w:tc>
          <w:tcPr>
            <w:tcW w:w="1693"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3217DEC4"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Primary &amp; secondary care</w:t>
            </w:r>
          </w:p>
        </w:tc>
        <w:tc>
          <w:tcPr>
            <w:tcW w:w="2584"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58C9DB38"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Interprofessional SDM</w:t>
            </w:r>
          </w:p>
        </w:tc>
      </w:tr>
      <w:tr w:rsidR="002421FE" w:rsidRPr="00815AF3" w14:paraId="0CC8F4B2" w14:textId="77777777" w:rsidTr="00FB1DFE">
        <w:trPr>
          <w:trHeight w:val="525"/>
        </w:trPr>
        <w:tc>
          <w:tcPr>
            <w:tcW w:w="175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3E2DB316" w14:textId="77777777" w:rsidR="002421FE" w:rsidRPr="00815AF3" w:rsidRDefault="002421FE" w:rsidP="00FB1DFE">
            <w:pPr>
              <w:spacing w:after="0"/>
              <w:rPr>
                <w:rFonts w:eastAsia="Times New Roman"/>
                <w:color w:val="000000"/>
                <w:sz w:val="22"/>
                <w:szCs w:val="22"/>
              </w:rPr>
            </w:pPr>
            <w:proofErr w:type="spellStart"/>
            <w:r w:rsidRPr="00815AF3">
              <w:rPr>
                <w:rFonts w:eastAsia="Times New Roman"/>
                <w:color w:val="000000"/>
                <w:sz w:val="22"/>
                <w:szCs w:val="22"/>
              </w:rPr>
              <w:t>Kuluski</w:t>
            </w:r>
            <w:proofErr w:type="spellEnd"/>
            <w:r w:rsidRPr="00815AF3">
              <w:rPr>
                <w:rFonts w:eastAsia="Times New Roman"/>
                <w:color w:val="000000"/>
                <w:sz w:val="22"/>
                <w:szCs w:val="22"/>
              </w:rPr>
              <w:t xml:space="preserve"> 2013 </w:t>
            </w:r>
            <w:r w:rsidRPr="00815AF3">
              <w:rPr>
                <w:rFonts w:eastAsia="Times New Roman"/>
                <w:color w:val="000000"/>
                <w:sz w:val="22"/>
                <w:szCs w:val="22"/>
              </w:rPr>
              <w:fldChar w:fldCharType="begin" w:fldLock="1"/>
            </w:r>
            <w:r>
              <w:rPr>
                <w:rFonts w:eastAsia="Times New Roman"/>
                <w:color w:val="000000"/>
                <w:sz w:val="22"/>
                <w:szCs w:val="22"/>
              </w:rPr>
              <w:instrText>ADDIN CSL_CITATION { "citationItems" : [ { "id" : "ITEM-1", "itemData" : { "DOI" : "10.1186/1471-2296-14-133", "ISBN" : "1471-2296 (Electronic) 1471-2296 (Linking)", "ISSN" : "1471-2296", "PMID" : "24010523", "abstract" : "BACKGROUND: Goal setting is a recommended approach in clinical care that can help individuals with multi-morbidities and their caregivers manage chronic conditions. In this paper, the types of goals that were important for older persons with multi-morbidities were explored from the perspectives of patients, their caregivers and physicians. Comparisons of goals were made across each patient, caregiver and physician triad to determine alignment. METHODS: The study was a qualitative descriptive study facilitated through semi-structured one-on-one interviews. The study took place between May and October 2012 at a Family Health Team located in Ontario, Canada. The sample included 28 family medicine patients, their informal caregivers and family physicians. Socio-demographic data were analyzed via descriptive statistics in SPSS Version 17. Open ended questions pertaining to patient goals of care were analyzed thematically using NVivo9. Themes were derived on patient care goals for each of the participant groups (patients, caregivers and family physicians). Following this, alignment of goals across each of the triads was examined. Goal alignment was defined as concurrence on at least one goal by all three parties in a particular triad (i.e., patient, caregiver and family physician). RESULTS: Just over half of the patients were male (56%); they had an average age of 82.3 years and 4.61 health conditions. Most of the caregivers were female (82%); and 61% were a spouse of the care recipient. At the aggregate level, common goals expressed among patients, caregivers and family physicians were the maintenance of functional independence of patients and the management of their symptoms or functional challenges. Despite these common goals at the aggregate level, little alignment of goals was found when looking across patient-caregiver and physician triads. Lack of alignment tended to occur when patients had unstable or declining functional or cognitive health; when safety threats were noted; and when enhanced care services were required. CONCLUSIONS: The data suggest that goal divergence tends to occur when patients are less medically stable. While goal divergence may be expected due to the different roles and responsibilities of each of the players involved, these perspectives should be illuminated when building care plans. Further research is required to observe the extent to which goal setting occurs in family practice as well as how it can be embedded as a standard\u2026", "author" : [ { "dropping-particle" : "", "family" : "Kuluski", "given" : "K", "non-dropping-particle" : "", "parse-names" : false, "suffix" : "" }, { "dropping-particle" : "", "family" : "Gill", "given" : "A", "non-dropping-particle" : "", "parse-names" : false, "suffix" : "" }, { "dropping-particle" : "", "family" : "Naganathan", "given" : "G", "non-dropping-particle" : "", "parse-names" : false, "suffix" : "" }, { "dropping-particle" : "", "family" : "Upshur", "given" : "R", "non-dropping-particle" : "", "parse-names" : false, "suffix" : "" }, { "dropping-particle" : "", "family" : "Jaakkimainen", "given" : "R L", "non-dropping-particle" : "", "parse-names" : false, "suffix" : "" }, { "dropping-particle" : "", "family" : "Wodchis", "given" : "W P", "non-dropping-particle" : "", "parse-names" : false, "suffix" : "" } ], "container-title" : "BMC.Fam.Pract.", "id" : "ITEM-1", "issued" : { "date-parts" : [ [ "2013" ] ] }, "page" : "133-", "title" : "A qualitative descriptive study on the alignment of care goals between older persons with multi-morbidities, their family physicians and informal caregivers", "type" : "article-journal", "volume" : "14" }, "uris" : [ "http://www.mendeley.com/documents/?uuid=67f8f592-ba88-4632-8b6e-1fb9fa2f6249" ] } ], "mendeley" : { "formattedCitation" : "&lt;sup&gt;152&lt;/sup&gt;", "plainTextFormattedCitation" : "152", "previouslyFormattedCitation" : "&lt;sup&gt;152&lt;/sup&gt;" }, "properties" : { "noteIndex" : 0 }, "schema" : "https://github.com/citation-style-language/schema/raw/master/csl-citation.json" }</w:instrText>
            </w:r>
            <w:r w:rsidRPr="00815AF3">
              <w:rPr>
                <w:rFonts w:eastAsia="Times New Roman"/>
                <w:color w:val="000000"/>
                <w:sz w:val="22"/>
                <w:szCs w:val="22"/>
                <w:vertAlign w:val="superscript"/>
              </w:rPr>
              <w:fldChar w:fldCharType="separate"/>
            </w:r>
            <w:r w:rsidRPr="00D232B0">
              <w:rPr>
                <w:rFonts w:eastAsia="Times New Roman"/>
                <w:noProof/>
                <w:color w:val="000000"/>
                <w:sz w:val="22"/>
                <w:szCs w:val="22"/>
                <w:vertAlign w:val="superscript"/>
              </w:rPr>
              <w:t>152</w:t>
            </w:r>
            <w:r w:rsidRPr="00815AF3">
              <w:rPr>
                <w:rFonts w:eastAsia="Times New Roman"/>
                <w:color w:val="000000"/>
                <w:sz w:val="22"/>
                <w:szCs w:val="22"/>
              </w:rPr>
              <w:fldChar w:fldCharType="end"/>
            </w:r>
          </w:p>
        </w:tc>
        <w:tc>
          <w:tcPr>
            <w:tcW w:w="15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7A3C3478"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Qualitative</w:t>
            </w:r>
          </w:p>
        </w:tc>
        <w:tc>
          <w:tcPr>
            <w:tcW w:w="223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72B5EBDB"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NA</w:t>
            </w:r>
          </w:p>
        </w:tc>
        <w:tc>
          <w:tcPr>
            <w:tcW w:w="2526"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82631F6"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Older people (2 or more LTC)</w:t>
            </w:r>
          </w:p>
        </w:tc>
        <w:tc>
          <w:tcPr>
            <w:tcW w:w="1693"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7C577884" w14:textId="77777777" w:rsidR="002421FE" w:rsidRPr="00815AF3" w:rsidRDefault="002421FE" w:rsidP="00FB1DFE">
            <w:pPr>
              <w:spacing w:after="0"/>
              <w:rPr>
                <w:rFonts w:eastAsia="Times New Roman"/>
                <w:color w:val="000000"/>
                <w:sz w:val="22"/>
                <w:szCs w:val="22"/>
              </w:rPr>
            </w:pPr>
            <w:proofErr w:type="spellStart"/>
            <w:r w:rsidRPr="00815AF3">
              <w:rPr>
                <w:rFonts w:eastAsia="Times New Roman"/>
                <w:color w:val="000000"/>
                <w:sz w:val="22"/>
                <w:szCs w:val="22"/>
              </w:rPr>
              <w:t>Uraban</w:t>
            </w:r>
            <w:proofErr w:type="spellEnd"/>
            <w:r w:rsidRPr="00815AF3">
              <w:rPr>
                <w:rFonts w:eastAsia="Times New Roman"/>
                <w:color w:val="000000"/>
                <w:sz w:val="22"/>
                <w:szCs w:val="22"/>
              </w:rPr>
              <w:t xml:space="preserve"> community in Ontario, Canada</w:t>
            </w:r>
          </w:p>
        </w:tc>
        <w:tc>
          <w:tcPr>
            <w:tcW w:w="2584"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2B74B1A"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 xml:space="preserve">Identifying </w:t>
            </w:r>
            <w:proofErr w:type="spellStart"/>
            <w:r w:rsidRPr="00815AF3">
              <w:rPr>
                <w:rFonts w:eastAsia="Times New Roman"/>
                <w:color w:val="000000"/>
                <w:sz w:val="22"/>
                <w:szCs w:val="22"/>
              </w:rPr>
              <w:t>pt</w:t>
            </w:r>
            <w:proofErr w:type="spellEnd"/>
            <w:r w:rsidRPr="00815AF3">
              <w:rPr>
                <w:rFonts w:eastAsia="Times New Roman"/>
                <w:color w:val="000000"/>
                <w:sz w:val="22"/>
                <w:szCs w:val="22"/>
              </w:rPr>
              <w:t xml:space="preserve"> goals</w:t>
            </w:r>
          </w:p>
        </w:tc>
      </w:tr>
      <w:tr w:rsidR="002421FE" w:rsidRPr="00815AF3" w14:paraId="28D58447" w14:textId="77777777" w:rsidTr="00FB1DFE">
        <w:trPr>
          <w:trHeight w:val="300"/>
        </w:trPr>
        <w:tc>
          <w:tcPr>
            <w:tcW w:w="175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146018C0" w14:textId="77777777" w:rsidR="002421FE" w:rsidRPr="00815AF3" w:rsidRDefault="002421FE" w:rsidP="00FB1DFE">
            <w:pPr>
              <w:spacing w:after="0"/>
              <w:rPr>
                <w:rFonts w:eastAsia="Times New Roman"/>
                <w:color w:val="000000"/>
                <w:sz w:val="22"/>
                <w:szCs w:val="22"/>
              </w:rPr>
            </w:pPr>
            <w:proofErr w:type="spellStart"/>
            <w:r w:rsidRPr="00815AF3">
              <w:rPr>
                <w:rFonts w:eastAsia="Times New Roman"/>
                <w:color w:val="000000"/>
                <w:sz w:val="22"/>
                <w:szCs w:val="22"/>
              </w:rPr>
              <w:t>Ladin</w:t>
            </w:r>
            <w:proofErr w:type="spellEnd"/>
            <w:r w:rsidRPr="00815AF3">
              <w:rPr>
                <w:rFonts w:eastAsia="Times New Roman"/>
                <w:color w:val="000000"/>
                <w:sz w:val="22"/>
                <w:szCs w:val="22"/>
              </w:rPr>
              <w:t xml:space="preserve"> et al 2016 </w:t>
            </w:r>
            <w:r w:rsidRPr="00815AF3">
              <w:rPr>
                <w:rFonts w:eastAsia="Times New Roman"/>
                <w:color w:val="000000"/>
                <w:sz w:val="22"/>
                <w:szCs w:val="22"/>
              </w:rPr>
              <w:fldChar w:fldCharType="begin" w:fldLock="1"/>
            </w:r>
            <w:r>
              <w:rPr>
                <w:rFonts w:eastAsia="Times New Roman"/>
                <w:color w:val="000000"/>
                <w:sz w:val="22"/>
                <w:szCs w:val="22"/>
              </w:rPr>
              <w:instrText>ADDIN CSL_CITATION { "citationItems" : [ { "id" : "ITEM-1", "itemData" : { "DOI" : "10.1093/ndt/gfw307", "ISSN" : "1460-2385 (Electronic)", "PMID" : "27576590", "abstract" : "BACKGROUND: Although shared decision-making (SDM) can better align patient preferences with treatment, barriers remain incompletely understood and the impact on patient satisfaction is unknown. METHODS: This is a qualitative study with semistructured interviews. A purposive sample of prevalent dialysis patients &gt;/=65 years of age at two facilities in Greater Boston were selected for diversity in time from initiation, race, modality and vintage. A codebook was developed and interrater reliability was 89%. Codes were discussed and organized into themes. RESULTS: A total of 31 interviews with 23 in-center hemodialysis patients, 1 home hemodialysis patient and 7 peritoneal dialysis patients were completed. The mean age was 76 +/- 9 years. Two dominant themes (with related subthemes) emerged: decision-making experiences and satisfaction, and barriers to SDM. Subthemes included negative versus positive decision-making experiences, struggling for autonomy, being a 'good patient' and lack of choice. In spite of believing that dialysis initiation should be the patient's choice, no patients perceived that they had made a choice. Patients explained that this is due to the perception of imminent death or that the decision to start dialysis belonged to physicians. Clinicians and family frequently overrode patient preferences, with patient autonomy honored mostly to select dialysis modality. Poor decision-making experiences were associated with low treatment satisfaction. CONCLUSIONS: Despite recommendations for SDM, many older patients were unaware that dialysis initiation was voluntary, held mistaken beliefs about their prognosis and were not engaged in decision-making, resulting in poor satisfaction. Patients desired greater information, specifically focusing on the acuity of their choice, prognosis and goals of care.", "author" : [ { "dropping-particle" : "", "family" : "Ladin", "given" : "Keren", "non-dropping-particle" : "", "parse-names" : false, "suffix" : "" }, { "dropping-particle" : "", "family" : "Lin", "given" : "Naomi", "non-dropping-particle" : "", "parse-names" : false, "suffix" : "" }, { "dropping-particle" : "", "family" : "Hahn", "given" : "Emily", "non-dropping-particle" : "", "parse-names" : false, "suffix" : "" }, { "dropping-particle" : "", "family" : "Zhang", "given" : "Gregory", "non-dropping-particle" : "", "parse-names" : false, "suffix" : "" }, { "dropping-particle" : "", "family" : "Koch-Weser", "given" : "Susan", "non-dropping-particle" : "", "parse-names" : false, "suffix" : "" }, { "dropping-particle" : "", "family" : "Weiner", "given" : "Daniel E", "non-dropping-particle" : "", "parse-names" : false, "suffix" : "" } ], "container-title" : "Nephrology, dialysis, transplantation : official publication of the European Dialysis and Transplant Association - European Renal Association", "id" : "ITEM-1", "issue" : "0", "issued" : { "date-parts" : [ [ "2016", "8" ] ] }, "language" : "eng", "page" : "1-8", "publisher-place" : "England", "title" : "Engagement in decision-making and patient satisfaction: a qualitative study of older patients' perceptions of dialysis initiation and modality decisions.", "type" : "article-journal" }, "uris" : [ "http://www.mendeley.com/documents/?uuid=5c4ee348-3669-41c5-ada1-ebb7f58361a1" ] } ], "mendeley" : { "formattedCitation" : "&lt;sup&gt;153&lt;/sup&gt;", "plainTextFormattedCitation" : "153", "previouslyFormattedCitation" : "&lt;sup&gt;153&lt;/sup&gt;" }, "properties" : { "noteIndex" : 0 }, "schema" : "https://github.com/citation-style-language/schema/raw/master/csl-citation.json" }</w:instrText>
            </w:r>
            <w:r w:rsidRPr="00815AF3">
              <w:rPr>
                <w:rFonts w:eastAsia="Times New Roman"/>
                <w:color w:val="000000"/>
                <w:sz w:val="22"/>
                <w:szCs w:val="22"/>
                <w:vertAlign w:val="superscript"/>
              </w:rPr>
              <w:fldChar w:fldCharType="separate"/>
            </w:r>
            <w:r w:rsidRPr="00D232B0">
              <w:rPr>
                <w:rFonts w:eastAsia="Times New Roman"/>
                <w:noProof/>
                <w:color w:val="000000"/>
                <w:sz w:val="22"/>
                <w:szCs w:val="22"/>
                <w:vertAlign w:val="superscript"/>
              </w:rPr>
              <w:t>153</w:t>
            </w:r>
            <w:r w:rsidRPr="00815AF3">
              <w:rPr>
                <w:rFonts w:eastAsia="Times New Roman"/>
                <w:color w:val="000000"/>
                <w:sz w:val="22"/>
                <w:szCs w:val="22"/>
              </w:rPr>
              <w:fldChar w:fldCharType="end"/>
            </w:r>
          </w:p>
        </w:tc>
        <w:tc>
          <w:tcPr>
            <w:tcW w:w="15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5A2272F"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Qualitative</w:t>
            </w:r>
          </w:p>
        </w:tc>
        <w:tc>
          <w:tcPr>
            <w:tcW w:w="223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78C62112"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NA</w:t>
            </w:r>
          </w:p>
        </w:tc>
        <w:tc>
          <w:tcPr>
            <w:tcW w:w="2526"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63EF9810"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Older people</w:t>
            </w:r>
          </w:p>
        </w:tc>
        <w:tc>
          <w:tcPr>
            <w:tcW w:w="1693"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79A986A2"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Dialysis clinics</w:t>
            </w:r>
          </w:p>
        </w:tc>
        <w:tc>
          <w:tcPr>
            <w:tcW w:w="2584"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779EF979"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Interprofessional SDM</w:t>
            </w:r>
          </w:p>
        </w:tc>
      </w:tr>
      <w:tr w:rsidR="002421FE" w:rsidRPr="00815AF3" w14:paraId="5A41C273" w14:textId="77777777" w:rsidTr="00FB1DFE">
        <w:trPr>
          <w:trHeight w:val="525"/>
        </w:trPr>
        <w:tc>
          <w:tcPr>
            <w:tcW w:w="1750" w:type="dxa"/>
            <w:tcBorders>
              <w:top w:val="single" w:sz="4" w:space="0" w:color="auto"/>
              <w:left w:val="single" w:sz="4" w:space="0" w:color="auto"/>
              <w:bottom w:val="single" w:sz="4" w:space="0" w:color="auto"/>
              <w:right w:val="single" w:sz="4" w:space="0" w:color="auto"/>
            </w:tcBorders>
            <w:shd w:val="clear" w:color="000000" w:fill="FFFFFF"/>
            <w:vAlign w:val="bottom"/>
          </w:tcPr>
          <w:p w14:paraId="2240723C" w14:textId="77777777" w:rsidR="002421FE" w:rsidRPr="00815AF3" w:rsidRDefault="002421FE" w:rsidP="00FB1DFE">
            <w:pPr>
              <w:spacing w:after="0"/>
              <w:rPr>
                <w:rFonts w:eastAsia="Times New Roman"/>
                <w:color w:val="000000"/>
                <w:sz w:val="22"/>
                <w:szCs w:val="22"/>
              </w:rPr>
            </w:pPr>
            <w:r w:rsidRPr="00815AF3">
              <w:rPr>
                <w:rFonts w:eastAsia="Times New Roman"/>
                <w:b/>
                <w:bCs/>
                <w:color w:val="000000"/>
                <w:sz w:val="22"/>
                <w:szCs w:val="22"/>
              </w:rPr>
              <w:lastRenderedPageBreak/>
              <w:t>Author and year</w:t>
            </w:r>
          </w:p>
        </w:tc>
        <w:tc>
          <w:tcPr>
            <w:tcW w:w="1597" w:type="dxa"/>
            <w:tcBorders>
              <w:top w:val="single" w:sz="4" w:space="0" w:color="auto"/>
              <w:left w:val="single" w:sz="4" w:space="0" w:color="auto"/>
              <w:bottom w:val="single" w:sz="4" w:space="0" w:color="auto"/>
              <w:right w:val="single" w:sz="4" w:space="0" w:color="auto"/>
            </w:tcBorders>
            <w:shd w:val="clear" w:color="000000" w:fill="FFFFFF"/>
            <w:vAlign w:val="bottom"/>
          </w:tcPr>
          <w:p w14:paraId="1D6B247E" w14:textId="77777777" w:rsidR="002421FE" w:rsidRPr="00815AF3" w:rsidRDefault="002421FE" w:rsidP="00FB1DFE">
            <w:pPr>
              <w:spacing w:after="0"/>
              <w:rPr>
                <w:rFonts w:eastAsia="Times New Roman"/>
                <w:color w:val="000000"/>
                <w:sz w:val="22"/>
                <w:szCs w:val="22"/>
              </w:rPr>
            </w:pPr>
            <w:r w:rsidRPr="00815AF3">
              <w:rPr>
                <w:rFonts w:eastAsia="Times New Roman"/>
                <w:b/>
                <w:bCs/>
                <w:color w:val="000000"/>
                <w:sz w:val="22"/>
                <w:szCs w:val="22"/>
              </w:rPr>
              <w:t>If research give type</w:t>
            </w:r>
          </w:p>
        </w:tc>
        <w:tc>
          <w:tcPr>
            <w:tcW w:w="2230" w:type="dxa"/>
            <w:tcBorders>
              <w:top w:val="single" w:sz="4" w:space="0" w:color="auto"/>
              <w:left w:val="single" w:sz="4" w:space="0" w:color="auto"/>
              <w:bottom w:val="single" w:sz="4" w:space="0" w:color="auto"/>
              <w:right w:val="single" w:sz="4" w:space="0" w:color="auto"/>
            </w:tcBorders>
            <w:shd w:val="clear" w:color="000000" w:fill="FFFFFF"/>
            <w:vAlign w:val="bottom"/>
          </w:tcPr>
          <w:p w14:paraId="3263AE32" w14:textId="77777777" w:rsidR="002421FE" w:rsidRPr="00815AF3" w:rsidRDefault="002421FE" w:rsidP="00FB1DFE">
            <w:pPr>
              <w:spacing w:after="0"/>
              <w:rPr>
                <w:rFonts w:eastAsia="Times New Roman"/>
                <w:color w:val="000000"/>
                <w:sz w:val="22"/>
                <w:szCs w:val="22"/>
              </w:rPr>
            </w:pPr>
            <w:r w:rsidRPr="00815AF3">
              <w:rPr>
                <w:rFonts w:eastAsia="Times New Roman"/>
                <w:b/>
                <w:bCs/>
                <w:color w:val="000000"/>
                <w:sz w:val="22"/>
                <w:szCs w:val="22"/>
              </w:rPr>
              <w:t>Description of intervention</w:t>
            </w:r>
          </w:p>
        </w:tc>
        <w:tc>
          <w:tcPr>
            <w:tcW w:w="2526" w:type="dxa"/>
            <w:tcBorders>
              <w:top w:val="single" w:sz="4" w:space="0" w:color="auto"/>
              <w:left w:val="single" w:sz="4" w:space="0" w:color="auto"/>
              <w:bottom w:val="single" w:sz="4" w:space="0" w:color="auto"/>
              <w:right w:val="single" w:sz="4" w:space="0" w:color="auto"/>
            </w:tcBorders>
            <w:shd w:val="clear" w:color="000000" w:fill="FFFFFF"/>
            <w:vAlign w:val="bottom"/>
          </w:tcPr>
          <w:p w14:paraId="351E8563" w14:textId="77777777" w:rsidR="002421FE" w:rsidRPr="00815AF3" w:rsidRDefault="002421FE" w:rsidP="00FB1DFE">
            <w:pPr>
              <w:spacing w:after="0"/>
              <w:rPr>
                <w:rFonts w:eastAsia="Times New Roman"/>
                <w:color w:val="000000"/>
                <w:sz w:val="22"/>
                <w:szCs w:val="22"/>
              </w:rPr>
            </w:pPr>
            <w:r w:rsidRPr="00815AF3">
              <w:rPr>
                <w:rFonts w:eastAsia="Times New Roman"/>
                <w:b/>
                <w:bCs/>
                <w:color w:val="000000"/>
                <w:sz w:val="22"/>
                <w:szCs w:val="22"/>
              </w:rPr>
              <w:t>Participants</w:t>
            </w:r>
          </w:p>
        </w:tc>
        <w:tc>
          <w:tcPr>
            <w:tcW w:w="1693" w:type="dxa"/>
            <w:tcBorders>
              <w:top w:val="single" w:sz="4" w:space="0" w:color="auto"/>
              <w:left w:val="single" w:sz="4" w:space="0" w:color="auto"/>
              <w:bottom w:val="single" w:sz="4" w:space="0" w:color="auto"/>
              <w:right w:val="single" w:sz="4" w:space="0" w:color="auto"/>
            </w:tcBorders>
            <w:shd w:val="clear" w:color="000000" w:fill="FFFFFF"/>
            <w:vAlign w:val="bottom"/>
          </w:tcPr>
          <w:p w14:paraId="6EEFFCE8" w14:textId="77777777" w:rsidR="002421FE" w:rsidRPr="00815AF3" w:rsidRDefault="002421FE" w:rsidP="00FB1DFE">
            <w:pPr>
              <w:spacing w:after="0"/>
              <w:rPr>
                <w:rFonts w:eastAsia="Times New Roman"/>
                <w:color w:val="000000"/>
                <w:sz w:val="22"/>
                <w:szCs w:val="22"/>
              </w:rPr>
            </w:pPr>
            <w:r w:rsidRPr="00815AF3">
              <w:rPr>
                <w:rFonts w:eastAsia="Times New Roman"/>
                <w:b/>
                <w:bCs/>
                <w:color w:val="000000"/>
                <w:sz w:val="22"/>
                <w:szCs w:val="22"/>
              </w:rPr>
              <w:t>Setting</w:t>
            </w:r>
          </w:p>
        </w:tc>
        <w:tc>
          <w:tcPr>
            <w:tcW w:w="2584" w:type="dxa"/>
            <w:tcBorders>
              <w:top w:val="single" w:sz="4" w:space="0" w:color="auto"/>
              <w:left w:val="single" w:sz="4" w:space="0" w:color="auto"/>
              <w:bottom w:val="single" w:sz="4" w:space="0" w:color="auto"/>
              <w:right w:val="single" w:sz="4" w:space="0" w:color="auto"/>
            </w:tcBorders>
            <w:shd w:val="clear" w:color="000000" w:fill="FFFFFF"/>
            <w:vAlign w:val="bottom"/>
          </w:tcPr>
          <w:p w14:paraId="07C6373D" w14:textId="77777777" w:rsidR="002421FE" w:rsidRPr="00815AF3" w:rsidRDefault="002421FE" w:rsidP="00FB1DFE">
            <w:pPr>
              <w:spacing w:after="0"/>
              <w:rPr>
                <w:rFonts w:eastAsia="Times New Roman"/>
                <w:color w:val="000000"/>
                <w:sz w:val="22"/>
                <w:szCs w:val="22"/>
              </w:rPr>
            </w:pPr>
            <w:proofErr w:type="gramStart"/>
            <w:r w:rsidRPr="00815AF3">
              <w:rPr>
                <w:rFonts w:eastAsia="Times New Roman"/>
                <w:b/>
                <w:bCs/>
                <w:color w:val="000000"/>
                <w:sz w:val="22"/>
                <w:szCs w:val="22"/>
              </w:rPr>
              <w:t>Main focus</w:t>
            </w:r>
            <w:proofErr w:type="gramEnd"/>
          </w:p>
        </w:tc>
      </w:tr>
      <w:tr w:rsidR="002421FE" w:rsidRPr="00815AF3" w14:paraId="16E34448" w14:textId="77777777" w:rsidTr="00FB1DFE">
        <w:trPr>
          <w:trHeight w:val="525"/>
        </w:trPr>
        <w:tc>
          <w:tcPr>
            <w:tcW w:w="175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27CDA4D3" w14:textId="77777777" w:rsidR="002421FE" w:rsidRPr="00815AF3" w:rsidRDefault="002421FE" w:rsidP="00FB1DFE">
            <w:pPr>
              <w:spacing w:after="0"/>
              <w:rPr>
                <w:rFonts w:eastAsia="Times New Roman"/>
                <w:color w:val="000000"/>
                <w:sz w:val="22"/>
                <w:szCs w:val="22"/>
              </w:rPr>
            </w:pPr>
            <w:proofErr w:type="spellStart"/>
            <w:r w:rsidRPr="00815AF3">
              <w:rPr>
                <w:rFonts w:eastAsia="Times New Roman"/>
                <w:color w:val="000000"/>
                <w:sz w:val="22"/>
                <w:szCs w:val="22"/>
              </w:rPr>
              <w:t>Légaré</w:t>
            </w:r>
            <w:proofErr w:type="spellEnd"/>
            <w:r w:rsidRPr="00815AF3">
              <w:rPr>
                <w:rFonts w:eastAsia="Times New Roman"/>
                <w:color w:val="000000"/>
                <w:sz w:val="22"/>
                <w:szCs w:val="22"/>
              </w:rPr>
              <w:t xml:space="preserve"> 2011a </w:t>
            </w:r>
            <w:r w:rsidRPr="00815AF3">
              <w:rPr>
                <w:rFonts w:eastAsia="Times New Roman"/>
                <w:color w:val="000000"/>
                <w:sz w:val="22"/>
                <w:szCs w:val="22"/>
              </w:rPr>
              <w:fldChar w:fldCharType="begin" w:fldLock="1"/>
            </w:r>
            <w:r>
              <w:rPr>
                <w:rFonts w:eastAsia="Times New Roman"/>
                <w:color w:val="000000"/>
                <w:sz w:val="22"/>
                <w:szCs w:val="22"/>
              </w:rPr>
              <w:instrText>ADDIN CSL_CITATION { "citationItems" : [ { "id" : "ITEM-1", "itemData" : { "DOI" : "10.3109/13561820.2010.490502", "ISBN" : "1469-9567 (Electronic)\\r1356-1820 (Linking)", "ISSN" : "1356-1820", "PMID" : "20795835", "abstract" : "Most shared decision-making (SDM) models within healthcare have been limited to the patient-physician dyad. As a first step towards promoting an interprofessional approach to SDM in primary care, this article reports how an interprofessional and interdisciplinary group developed and achieved consensus on a new interprofessional SDM model. The key concepts within published reviews of SDM models and interprofessionalism were identified, analysed, and discussed by the group in order to reach consensus on the new interprofessional SDM (IP-SDM) model. The IP-SDM model comprises three levels: the individual (micro) level and two healthcare system (meso and macro) levels. At the individual level, the patient presents with a health condition that requires decision-making and follows a structured process to make an informed, value-based decision in concert with a team of healthcare professionals. The model acknowledges (at the meso level) the influence of individual team members' professional roles including the decision coach and organizational routines. At the macro level it acknowledges the influence of system level factors (i.e. health policies, professional organisations, and social context) on the meso and individual levels. Subsequently, the IP-SDM model will be validated with other stakeholders.", "author" : [ { "dropping-particle" : "", "family" : "Legare", "given" : "F", "non-dropping-particle" : "", "parse-names" : false, "suffix" : "" }, { "dropping-particle" : "", "family" : "Stacey", "given" : "D", "non-dropping-particle" : "", "parse-names" : false, "suffix" : "" }, { "dropping-particle" : "", "family" : "Pouliot", "given" : "S", "non-dropping-particle" : "", "parse-names" : false, "suffix" : "" }, { "dropping-particle" : "", "family" : "Gauvin", "given" : "F P", "non-dropping-particle" : "", "parse-names" : false, "suffix" : "" }, { "dropping-particle" : "", "family" : "Desroches", "given" : "S", "non-dropping-particle" : "", "parse-names" : false, "suffix" : "" }, { "dropping-particle" : "", "family" : "Kryworuchko", "given" : "J", "non-dropping-particle" : "", "parse-names" : false, "suffix" : "" }, { "dropping-particle" : "", "family" : "Dunn", "given" : "S", "non-dropping-particle" : "", "parse-names" : false, "suffix" : "" }, { "dropping-particle" : "", "family" : "Elwyn", "given" : "G", "non-dropping-particle" : "", "parse-names" : false, "suffix" : "" }, { "dropping-particle" : "", "family" : "Frosch", "given" : "D", "non-dropping-particle" : "", "parse-names" : false, "suffix" : "" }, { "dropping-particle" : "", "family" : "Gagnon", "given" : "M P", "non-dropping-particle" : "", "parse-names" : false, "suffix" : "" }, { "dropping-particle" : "", "family" : "Harrison", "given" : "M B", "non-dropping-particle" : "", "parse-names" : false, "suffix" : "" }, { "dropping-particle" : "", "family" : "Pluye", "given" : "P", "non-dropping-particle" : "", "parse-names" : false, "suffix" : "" }, { "dropping-particle" : "", "family" : "Graham", "given" : "I D", "non-dropping-particle" : "", "parse-names" : false, "suffix" : "" } ], "container-title" : "Journal of interprofessional care", "id" : "ITEM-1", "issue" : "1", "issued" : { "date-parts" : [ [ "2011" ] ] }, "page" : "18-25", "title" : "Interprofessionalism and shared decision-making in primary care: a stepwise approach towards a new model", "type" : "article-journal", "volume" : "25" }, "uris" : [ "http://www.mendeley.com/documents/?uuid=189bffed-458b-448f-8216-b0f3ab0e46fa" ] } ], "mendeley" : { "formattedCitation" : "&lt;sup&gt;96&lt;/sup&gt;", "plainTextFormattedCitation" : "96", "previouslyFormattedCitation" : "&lt;sup&gt;96&lt;/sup&gt;" }, "properties" : { "noteIndex" : 0 }, "schema" : "https://github.com/citation-style-language/schema/raw/master/csl-citation.json" }</w:instrText>
            </w:r>
            <w:r w:rsidRPr="00815AF3">
              <w:rPr>
                <w:rFonts w:eastAsia="Times New Roman"/>
                <w:color w:val="000000"/>
                <w:sz w:val="22"/>
                <w:szCs w:val="22"/>
                <w:vertAlign w:val="superscript"/>
              </w:rPr>
              <w:fldChar w:fldCharType="separate"/>
            </w:r>
            <w:r w:rsidRPr="00D232B0">
              <w:rPr>
                <w:rFonts w:eastAsia="Times New Roman"/>
                <w:noProof/>
                <w:color w:val="000000"/>
                <w:sz w:val="22"/>
                <w:szCs w:val="22"/>
                <w:vertAlign w:val="superscript"/>
              </w:rPr>
              <w:t>96</w:t>
            </w:r>
            <w:r w:rsidRPr="00815AF3">
              <w:rPr>
                <w:rFonts w:eastAsia="Times New Roman"/>
                <w:color w:val="000000"/>
                <w:sz w:val="22"/>
                <w:szCs w:val="22"/>
              </w:rPr>
              <w:fldChar w:fldCharType="end"/>
            </w:r>
          </w:p>
        </w:tc>
        <w:tc>
          <w:tcPr>
            <w:tcW w:w="15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1738ED79"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Qualitative</w:t>
            </w:r>
          </w:p>
        </w:tc>
        <w:tc>
          <w:tcPr>
            <w:tcW w:w="223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7DFB04FC"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NA</w:t>
            </w:r>
          </w:p>
        </w:tc>
        <w:tc>
          <w:tcPr>
            <w:tcW w:w="2526"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21FB2312"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HCPs (multidisciplinary)</w:t>
            </w:r>
          </w:p>
        </w:tc>
        <w:tc>
          <w:tcPr>
            <w:tcW w:w="1693"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3A7D3631"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Community</w:t>
            </w:r>
          </w:p>
        </w:tc>
        <w:tc>
          <w:tcPr>
            <w:tcW w:w="2584"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7094C8AB"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Influences on SDM, Relationships</w:t>
            </w:r>
          </w:p>
        </w:tc>
      </w:tr>
      <w:tr w:rsidR="002421FE" w:rsidRPr="00815AF3" w14:paraId="7B794FCC" w14:textId="77777777" w:rsidTr="00FB1DFE">
        <w:trPr>
          <w:trHeight w:val="300"/>
        </w:trPr>
        <w:tc>
          <w:tcPr>
            <w:tcW w:w="175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27BF30E2" w14:textId="77777777" w:rsidR="002421FE" w:rsidRPr="00815AF3" w:rsidRDefault="002421FE" w:rsidP="00FB1DFE">
            <w:pPr>
              <w:spacing w:after="0"/>
              <w:rPr>
                <w:rFonts w:eastAsia="Times New Roman"/>
                <w:color w:val="000000"/>
                <w:sz w:val="22"/>
                <w:szCs w:val="22"/>
              </w:rPr>
            </w:pPr>
            <w:proofErr w:type="spellStart"/>
            <w:r w:rsidRPr="00815AF3">
              <w:rPr>
                <w:rFonts w:eastAsia="Times New Roman"/>
                <w:color w:val="000000"/>
                <w:sz w:val="22"/>
                <w:szCs w:val="22"/>
              </w:rPr>
              <w:t>Légaré</w:t>
            </w:r>
            <w:proofErr w:type="spellEnd"/>
            <w:r w:rsidRPr="00815AF3">
              <w:rPr>
                <w:rFonts w:eastAsia="Times New Roman"/>
                <w:color w:val="000000"/>
                <w:sz w:val="22"/>
                <w:szCs w:val="22"/>
              </w:rPr>
              <w:t xml:space="preserve"> 2011b </w:t>
            </w:r>
            <w:r w:rsidRPr="00815AF3">
              <w:rPr>
                <w:rFonts w:eastAsia="Times New Roman"/>
                <w:color w:val="000000"/>
                <w:sz w:val="22"/>
                <w:szCs w:val="22"/>
              </w:rPr>
              <w:fldChar w:fldCharType="begin" w:fldLock="1"/>
            </w:r>
            <w:r>
              <w:rPr>
                <w:rFonts w:eastAsia="Times New Roman"/>
                <w:color w:val="000000"/>
                <w:sz w:val="22"/>
                <w:szCs w:val="22"/>
              </w:rPr>
              <w:instrText>ADDIN CSL_CITATION { "citationItems" : [ { "id" : "ITEM-1", "itemData" : { "DOI" : "10.1016/j.zefq.2011.04.011", "ISBN" : "1865-9217 (Print)\\r1865-9217 (Linking)", "ISSN" : "18659217", "PMID" : "21620316", "abstract" : "Canada's approach to shared decision making (SDM) is as disparate as its healthcare system; a conglomerate of 14 public plans at various administrative levels. SDM initiatives are taking place in different pockets of the country and are in different stages of development. The most advanced provincial initiative is occurring in Saskatchewan, where in 2010 the provincial government prepare to introduce patient decision aids into certain surgical specialties. With regard to decision support tools for patients, perhaps the most active entity is the Patient Decision Aids Research Group in Ottawa, Ontario. This group maintains a public inventory of decision aids ranked according to International Patient Decision Aid Standards and has developed the generic Ottawa Personal Decision Guide, as well as a toolkit for integrating decision aids in clinical practice. All of these tools are publicly available free of charge. Professional interest in SDM in Canada is not yet widespread, but Canada's principal health research funding agency is sponsoring several important SDM projects. Researchers from institutions across the country are promoting SDM through continuing professional development programs and other interventions in fields as varied as primary care, dietary medicine and workplace rehabilitation. Still, the future of SDM in Canada remains uncertain. Canada's provincially based structure obliges promoters to work with each province separately, and the recent growth of private healthcare risks dissipating efforts to implement SDM.", "author" : [ { "dropping-particle" : "", "family" : "L\u00e9gar\u00e9", "given" : "France", "non-dropping-particle" : "", "parse-names" : false, "suffix" : "" }, { "dropping-particle" : "", "family" : "Stacey", "given" : "Dawn", "non-dropping-particle" : "", "parse-names" : false, "suffix" : "" }, { "dropping-particle" : "", "family" : "Forest", "given" : "Pierre Gerlier", "non-dropping-particle" : "", "parse-names" : false, "suffix" : "" }, { "dropping-particle" : "", "family" : "Coutu", "given" : "Marie France", "non-dropping-particle" : "", "parse-names" : false, "suffix" : "" } ], "container-title" : "Zeitschrift fur Evidenz, Fortbildung und Qualitat im Gesundheitswesen", "id" : "ITEM-1", "issue" : "4", "issued" : { "date-parts" : [ [ "2011" ] ] }, "page" : "245-253", "title" : "Moving SDM forward in Canada: Milestones, public involvement, and barriers that remain", "type" : "article-journal", "volume" : "105" }, "uris" : [ "http://www.mendeley.com/documents/?uuid=13962fb5-2a14-40e9-98d6-305740065ee6" ] } ], "mendeley" : { "formattedCitation" : "&lt;sup&gt;181&lt;/sup&gt;", "plainTextFormattedCitation" : "181", "previouslyFormattedCitation" : "&lt;sup&gt;181&lt;/sup&gt;" }, "properties" : { "noteIndex" : 0 }, "schema" : "https://github.com/citation-style-language/schema/raw/master/csl-citation.json" }</w:instrText>
            </w:r>
            <w:r w:rsidRPr="00815AF3">
              <w:rPr>
                <w:rFonts w:eastAsia="Times New Roman"/>
                <w:color w:val="000000"/>
                <w:sz w:val="22"/>
                <w:szCs w:val="22"/>
                <w:vertAlign w:val="superscript"/>
              </w:rPr>
              <w:fldChar w:fldCharType="separate"/>
            </w:r>
            <w:r w:rsidRPr="00DC220A">
              <w:rPr>
                <w:rFonts w:eastAsia="Times New Roman"/>
                <w:noProof/>
                <w:color w:val="000000"/>
                <w:sz w:val="22"/>
                <w:szCs w:val="22"/>
                <w:vertAlign w:val="superscript"/>
              </w:rPr>
              <w:t>181</w:t>
            </w:r>
            <w:r w:rsidRPr="00815AF3">
              <w:rPr>
                <w:rFonts w:eastAsia="Times New Roman"/>
                <w:color w:val="000000"/>
                <w:sz w:val="22"/>
                <w:szCs w:val="22"/>
              </w:rPr>
              <w:fldChar w:fldCharType="end"/>
            </w:r>
          </w:p>
        </w:tc>
        <w:tc>
          <w:tcPr>
            <w:tcW w:w="15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6CC326D0"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Qualitative</w:t>
            </w:r>
          </w:p>
        </w:tc>
        <w:tc>
          <w:tcPr>
            <w:tcW w:w="223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15B4FC2A"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NA</w:t>
            </w:r>
          </w:p>
        </w:tc>
        <w:tc>
          <w:tcPr>
            <w:tcW w:w="2526"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5B3AA1CF"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General population</w:t>
            </w:r>
          </w:p>
        </w:tc>
        <w:tc>
          <w:tcPr>
            <w:tcW w:w="1693"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735E7822"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Community</w:t>
            </w:r>
          </w:p>
        </w:tc>
        <w:tc>
          <w:tcPr>
            <w:tcW w:w="2584"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0A33ACD0"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Interprofessional SDM</w:t>
            </w:r>
          </w:p>
        </w:tc>
      </w:tr>
      <w:tr w:rsidR="002421FE" w:rsidRPr="00815AF3" w14:paraId="186E4022" w14:textId="77777777" w:rsidTr="00FB1DFE">
        <w:trPr>
          <w:trHeight w:val="300"/>
        </w:trPr>
        <w:tc>
          <w:tcPr>
            <w:tcW w:w="175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77F733B3" w14:textId="77777777" w:rsidR="002421FE" w:rsidRPr="00815AF3" w:rsidRDefault="002421FE" w:rsidP="00FB1DFE">
            <w:pPr>
              <w:spacing w:after="0"/>
              <w:rPr>
                <w:rFonts w:eastAsia="Times New Roman"/>
                <w:color w:val="000000"/>
                <w:sz w:val="22"/>
                <w:szCs w:val="22"/>
              </w:rPr>
            </w:pPr>
            <w:proofErr w:type="spellStart"/>
            <w:r w:rsidRPr="00815AF3">
              <w:rPr>
                <w:rFonts w:eastAsia="Times New Roman"/>
                <w:color w:val="000000"/>
                <w:sz w:val="22"/>
                <w:szCs w:val="22"/>
              </w:rPr>
              <w:t>Lown</w:t>
            </w:r>
            <w:proofErr w:type="spellEnd"/>
            <w:r w:rsidRPr="00815AF3">
              <w:rPr>
                <w:rFonts w:eastAsia="Times New Roman"/>
                <w:color w:val="000000"/>
                <w:sz w:val="22"/>
                <w:szCs w:val="22"/>
              </w:rPr>
              <w:t xml:space="preserve"> 2011 </w:t>
            </w:r>
            <w:r w:rsidRPr="00815AF3">
              <w:rPr>
                <w:rFonts w:eastAsia="Times New Roman"/>
                <w:color w:val="000000"/>
                <w:sz w:val="22"/>
                <w:szCs w:val="22"/>
              </w:rPr>
              <w:fldChar w:fldCharType="begin" w:fldLock="1"/>
            </w:r>
            <w:r>
              <w:rPr>
                <w:rFonts w:eastAsia="Times New Roman"/>
                <w:color w:val="000000"/>
                <w:sz w:val="22"/>
                <w:szCs w:val="22"/>
              </w:rPr>
              <w:instrText>ADDIN CSL_CITATION { "citationItems" : [ { "id" : "ITEM-1", "itemData" : { "DOI" : "10.3109/13561820.2011.583563", "ISBN" : "1469-9567 (Electronic)\\r1356-1820 (Linking)", "ISSN" : "1356-1820", "PMID" : "21657852", "abstract" : "Healthcare professionals and organizations, policy makers, and the public are calling for safe and effective care that is centered on patients' needs, values, and preferences. The goals of interprofessional shared decision making and decision support are to help patients and professionals agree on choices that are effective, health promoting, realistic, and consonant with patients' and professionals' values and preferences. This requires collaboration among professionals and with patients and their family caregivers. Continuing professional development is urgently needed to help healthcare professionals acquire the knowledge, skills, and attitudes necessary to create and sustain a culture of collaboration. We describe a model that can be used to design, implement, and evaluate continuing education curricula in interprofessional shared decision making and decision support. This model aligns curricular goals, objectives, educational strategies, and evaluation instruments and strategies with desired learning and organizational outcomes. Educational leaders and researchers can institutionalize such curricula by linking them with quality improvement and patient safety initiatives.", "author" : [ { "dropping-particle" : "", "family" : "Lown", "given" : "B A", "non-dropping-particle" : "", "parse-names" : false, "suffix" : "" }, { "dropping-particle" : "", "family" : "Kryworuchko", "given" : "J", "non-dropping-particle" : "", "parse-names" : false, "suffix" : "" }, { "dropping-particle" : "", "family" : "Bieber", "given" : "C", "non-dropping-particle" : "", "parse-names" : false, "suffix" : "" }, { "dropping-particle" : "", "family" : "Lillie", "given" : "D M", "non-dropping-particle" : "", "parse-names" : false, "suffix" : "" }, { "dropping-particle" : "", "family" : "Kelly", "given" : "C", "non-dropping-particle" : "", "parse-names" : false, "suffix" : "" }, { "dropping-particle" : "", "family" : "Berger", "given" : "B", "non-dropping-particle" : "", "parse-names" : false, "suffix" : "" }, { "dropping-particle" : "", "family" : "Loh", "given" : "A", "non-dropping-particle" : "", "parse-names" : false, "suffix" : "" } ], "container-title" : "Journal of interprofessional care", "id" : "ITEM-1", "issue" : "6", "issued" : { "date-parts" : [ [ "2011" ] ] }, "page" : "401-408", "title" : "Continuing professional development for interprofessional teams supporting patients in healthcare decision making", "type" : "article-journal", "volume" : "25" }, "uris" : [ "http://www.mendeley.com/documents/?uuid=e8c2d012-dde8-4732-a9fc-170f8feb681d" ] } ], "mendeley" : { "formattedCitation" : "&lt;sup&gt;172&lt;/sup&gt;", "plainTextFormattedCitation" : "172", "previouslyFormattedCitation" : "&lt;sup&gt;172&lt;/sup&gt;" }, "properties" : { "noteIndex" : 0 }, "schema" : "https://github.com/citation-style-language/schema/raw/master/csl-citation.json" }</w:instrText>
            </w:r>
            <w:r w:rsidRPr="00815AF3">
              <w:rPr>
                <w:rFonts w:eastAsia="Times New Roman"/>
                <w:color w:val="000000"/>
                <w:sz w:val="22"/>
                <w:szCs w:val="22"/>
                <w:vertAlign w:val="superscript"/>
              </w:rPr>
              <w:fldChar w:fldCharType="separate"/>
            </w:r>
            <w:r w:rsidRPr="00D232B0">
              <w:rPr>
                <w:rFonts w:eastAsia="Times New Roman"/>
                <w:noProof/>
                <w:color w:val="000000"/>
                <w:sz w:val="22"/>
                <w:szCs w:val="22"/>
                <w:vertAlign w:val="superscript"/>
              </w:rPr>
              <w:t>172</w:t>
            </w:r>
            <w:r w:rsidRPr="00815AF3">
              <w:rPr>
                <w:rFonts w:eastAsia="Times New Roman"/>
                <w:color w:val="000000"/>
                <w:sz w:val="22"/>
                <w:szCs w:val="22"/>
              </w:rPr>
              <w:fldChar w:fldCharType="end"/>
            </w:r>
          </w:p>
        </w:tc>
        <w:tc>
          <w:tcPr>
            <w:tcW w:w="15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61875E20"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Development of a model</w:t>
            </w:r>
          </w:p>
        </w:tc>
        <w:tc>
          <w:tcPr>
            <w:tcW w:w="223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2132D475"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NA</w:t>
            </w:r>
          </w:p>
        </w:tc>
        <w:tc>
          <w:tcPr>
            <w:tcW w:w="2526"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360D5662"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HCPs</w:t>
            </w:r>
          </w:p>
        </w:tc>
        <w:tc>
          <w:tcPr>
            <w:tcW w:w="1693"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38B7CB30"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Community or acute settings</w:t>
            </w:r>
          </w:p>
        </w:tc>
        <w:tc>
          <w:tcPr>
            <w:tcW w:w="2584"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7DFAC541"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Training for HCPs</w:t>
            </w:r>
          </w:p>
        </w:tc>
      </w:tr>
      <w:tr w:rsidR="002421FE" w:rsidRPr="00815AF3" w14:paraId="49E37EC7" w14:textId="77777777" w:rsidTr="00FB1DFE">
        <w:trPr>
          <w:trHeight w:val="525"/>
        </w:trPr>
        <w:tc>
          <w:tcPr>
            <w:tcW w:w="175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589F1305"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 xml:space="preserve">Mercer 2016 </w:t>
            </w:r>
            <w:r w:rsidRPr="00815AF3">
              <w:rPr>
                <w:rFonts w:eastAsia="Times New Roman"/>
                <w:color w:val="000000"/>
                <w:sz w:val="22"/>
                <w:szCs w:val="22"/>
              </w:rPr>
              <w:fldChar w:fldCharType="begin" w:fldLock="1"/>
            </w:r>
            <w:r>
              <w:rPr>
                <w:rFonts w:eastAsia="Times New Roman"/>
                <w:color w:val="000000"/>
                <w:sz w:val="22"/>
                <w:szCs w:val="22"/>
              </w:rPr>
              <w:instrText>ADDIN CSL_CITATION { "citationItems" : [ { "id" : "ITEM-1", "itemData" : { "DOI" : "10.1177/1742395316644304", "ISBN" : "1745-9206 (Electronic)\\r1742-3953 (Linking)", "ISSN" : "1745-9206", "PMID" : "27068113", "abstract" : "OBJECTIVES To develop and optimise a primary care-based complex intervention (CARE Plus) to enhance the quality of life of patients with multimorbidity in the deprived areas. METHODS Six co-design discussion groups involving 32 participants were held separately with multimorbid patients from the deprived areas, voluntary organisations, general practitioners and practice nurses working in the deprived areas. This was followed by piloting in two practices and further optimisation based on interviews with 11 general practitioners, 2 practice nurses and 6 participating multimorbid patients. RESULTS Participants endorsed the need for longer consultations, relational continuity and a holistic approach. All felt that training and support of the health care staff was important. Most participants welcomed the idea of additional self-management support, though some practitioners were dubious about whether patients would use it. The pilot study led to changes including a revised care plan, the inclusion of mindfulness-based stress reduction techniques in the support of practitioners and patients, and the stream-lining of the written self-management support material for patients. DISCUSSION We have co-designed and optimised an augmented primary care intervention involving a whole-system approach to enhance quality of life in multimorbid patients living in the deprived areas. CARE Plus will next be tested in a phase 2 cluster randomised controlled trial.", "author" : [ { "dropping-particle" : "", "family" : "Mercer", "given" : "Stewart William", "non-dropping-particle" : "", "parse-names" : false, "suffix" : "" }, { "dropping-particle" : "", "family" : "O'Brien", "given" : "Rosaleen", "non-dropping-particle" : "", "parse-names" : false, "suffix" : "" }, { "dropping-particle" : "", "family" : "Fitzpatrick", "given" : "Bridie", "non-dropping-particle" : "", "parse-names" : false, "suffix" : "" }, { "dropping-particle" : "", "family" : "Higgins", "given" : "Maria", "non-dropping-particle" : "", "parse-names" : false, "suffix" : "" }, { "dropping-particle" : "", "family" : "Guthrie", "given" : "Bruce", "non-dropping-particle" : "", "parse-names" : false, "suffix" : "" }, { "dropping-particle" : "", "family" : "Watt", "given" : "Graham", "non-dropping-particle" : "", "parse-names" : false, "suffix" : "" }, { "dropping-particle" : "", "family" : "Wyke", "given" : "Sally", "non-dropping-particle" : "", "parse-names" : false, "suffix" : "" } ], "container-title" : "Chronic illness", "id" : "ITEM-1", "issue" : "3", "issued" : { "date-parts" : [ [ "2016" ] ] }, "page" : "165-81", "title" : "The development and optimisation of a primary care-based whole system complex intervention (CARE Plus) for patients with multimorbidity living in areas of high socioeconomic deprivation", "type" : "article-journal", "volume" : "12" }, "uris" : [ "http://www.mendeley.com/documents/?uuid=1def0c18-bfd9-4129-9e5d-67666baed663" ] } ], "mendeley" : { "formattedCitation" : "&lt;sup&gt;154&lt;/sup&gt;", "plainTextFormattedCitation" : "154", "previouslyFormattedCitation" : "&lt;sup&gt;154&lt;/sup&gt;" }, "properties" : { "noteIndex" : 0 }, "schema" : "https://github.com/citation-style-language/schema/raw/master/csl-citation.json" }</w:instrText>
            </w:r>
            <w:r w:rsidRPr="00815AF3">
              <w:rPr>
                <w:rFonts w:eastAsia="Times New Roman"/>
                <w:color w:val="000000"/>
                <w:sz w:val="22"/>
                <w:szCs w:val="22"/>
                <w:vertAlign w:val="superscript"/>
              </w:rPr>
              <w:fldChar w:fldCharType="separate"/>
            </w:r>
            <w:r w:rsidRPr="00D232B0">
              <w:rPr>
                <w:rFonts w:eastAsia="Times New Roman"/>
                <w:noProof/>
                <w:color w:val="000000"/>
                <w:sz w:val="22"/>
                <w:szCs w:val="22"/>
                <w:vertAlign w:val="superscript"/>
              </w:rPr>
              <w:t>154</w:t>
            </w:r>
            <w:r w:rsidRPr="00815AF3">
              <w:rPr>
                <w:rFonts w:eastAsia="Times New Roman"/>
                <w:color w:val="000000"/>
                <w:sz w:val="22"/>
                <w:szCs w:val="22"/>
              </w:rPr>
              <w:fldChar w:fldCharType="end"/>
            </w:r>
          </w:p>
        </w:tc>
        <w:tc>
          <w:tcPr>
            <w:tcW w:w="15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69A98945"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Qualitative</w:t>
            </w:r>
          </w:p>
        </w:tc>
        <w:tc>
          <w:tcPr>
            <w:tcW w:w="223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28040FD5"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Tool for providing PCC</w:t>
            </w:r>
          </w:p>
        </w:tc>
        <w:tc>
          <w:tcPr>
            <w:tcW w:w="2526"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3EE02A35"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Adults aged &gt;30 years with multimorbidity.</w:t>
            </w:r>
          </w:p>
        </w:tc>
        <w:tc>
          <w:tcPr>
            <w:tcW w:w="1693"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38C00633"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Community</w:t>
            </w:r>
          </w:p>
        </w:tc>
        <w:tc>
          <w:tcPr>
            <w:tcW w:w="2584"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39BAAF4A"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PCC</w:t>
            </w:r>
          </w:p>
        </w:tc>
      </w:tr>
      <w:tr w:rsidR="002421FE" w:rsidRPr="00815AF3" w14:paraId="42B57DA8" w14:textId="77777777" w:rsidTr="00FB1DFE">
        <w:trPr>
          <w:trHeight w:val="525"/>
        </w:trPr>
        <w:tc>
          <w:tcPr>
            <w:tcW w:w="175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37836A6A"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 xml:space="preserve">Naik et al 2016 </w:t>
            </w:r>
            <w:r w:rsidRPr="00815AF3">
              <w:rPr>
                <w:rFonts w:eastAsia="Times New Roman"/>
                <w:color w:val="000000"/>
                <w:sz w:val="22"/>
                <w:szCs w:val="22"/>
              </w:rPr>
              <w:fldChar w:fldCharType="begin" w:fldLock="1"/>
            </w:r>
            <w:r>
              <w:rPr>
                <w:rFonts w:eastAsia="Times New Roman"/>
                <w:color w:val="000000"/>
                <w:sz w:val="22"/>
                <w:szCs w:val="22"/>
              </w:rPr>
              <w:instrText>ADDIN CSL_CITATION { "citationItems" : [ { "id" : "ITEM-1", "itemData" : { "DOI" : "10.1111/jgs.14027", "ISSN" : "1532-5415 (Electronic)", "PMID" : "27000335", "abstract" : "OBJECTIVES: To identify a taxonomy of health-related values that frame goals of care of older, multimorbid adults who recently faced cancer diagnosis and treatment. DESIGN: Qualitative analysis of data from a longitudinal cohort study of multimorbid cancer survivors. SETTING: Cancer registries from regional Department of Veterans Affairs networks in New England and southeast Texas. PARTICIPANTS: Multimorbid adults who completed interviews 12 months after diagnosis of head and neck, colorectal, gastric, or esophageal cancer and after cancer treatment (N = 146). MEASUREMENTS: An interdisciplinary team conducted thematic analyses of participants' intuitive responses to two questions: Now that you have had cancer and may face ongoing decisions about medical care in the future, what would you want your family, friends, and doctors to know about you, in terms of what is most important to you in your life? If your cancer were to recur, is there anything you'd want to be sure your loved ones knew about you and your goals of care? RESULTS: Analysis revealed five distinct health-related values that guide how multimorbid cancer survivors conceptualize specific health care goals and medical decisions: self-sufficiency, life enjoyment, connectedness and legacy, balancing quality and length of life, and engagement in care. Participants typically endorsed more than one value as important. CONCLUSION: Older multimorbid adults who recently faced life-threatening cancer endorsed a multidimensional taxonomy of health-related values. These health-related values guide how they frame their goals for care and treatment preferences. Eliciting individuals' sense of their values during clinical encounters may improve their experiences with health care and more effectively align treatments with goals of care.", "author" : [ { "dropping-particle" : "", "family" : "Naik", "given" : "Aanand D", "non-dropping-particle" : "", "parse-names" : false, "suffix" : "" }, { "dropping-particle" : "", "family" : "Martin", "given" : "Lindsey A", "non-dropping-particle" : "", "parse-names" : false, "suffix" : "" }, { "dropping-particle" : "", "family" : "Moye", "given" : "Jennifer", "non-dropping-particle" : "", "parse-names" : false, "suffix" : "" }, { "dropping-particle" : "", "family" : "Karel", "given" : "Michele J", "non-dropping-particle" : "", "parse-names" : false, "suffix" : "" } ], "container-title" : "Journal of the American Geriatrics Society", "id" : "ITEM-1", "issue" : "3", "issued" : { "date-parts" : [ [ "2016", "3" ] ] }, "language" : "eng", "page" : "625-631", "publisher-place" : "United States", "title" : "Health Values and Treatment Goals of Older, Multimorbid Adults Facing Life-Threatening Illness.", "type" : "article-journal", "volume" : "64" }, "uris" : [ "http://www.mendeley.com/documents/?uuid=3e1871ab-5753-4da5-acfc-5e238c119e6c" ] } ], "mendeley" : { "formattedCitation" : "&lt;sup&gt;182&lt;/sup&gt;", "plainTextFormattedCitation" : "182", "previouslyFormattedCitation" : "&lt;sup&gt;182&lt;/sup&gt;" }, "properties" : { "noteIndex" : 0 }, "schema" : "https://github.com/citation-style-language/schema/raw/master/csl-citation.json" }</w:instrText>
            </w:r>
            <w:r w:rsidRPr="00815AF3">
              <w:rPr>
                <w:rFonts w:eastAsia="Times New Roman"/>
                <w:color w:val="000000"/>
                <w:sz w:val="22"/>
                <w:szCs w:val="22"/>
                <w:vertAlign w:val="superscript"/>
              </w:rPr>
              <w:fldChar w:fldCharType="separate"/>
            </w:r>
            <w:r w:rsidRPr="00DC220A">
              <w:rPr>
                <w:rFonts w:eastAsia="Times New Roman"/>
                <w:noProof/>
                <w:color w:val="000000"/>
                <w:sz w:val="22"/>
                <w:szCs w:val="22"/>
                <w:vertAlign w:val="superscript"/>
              </w:rPr>
              <w:t>182</w:t>
            </w:r>
            <w:r w:rsidRPr="00815AF3">
              <w:rPr>
                <w:rFonts w:eastAsia="Times New Roman"/>
                <w:color w:val="000000"/>
                <w:sz w:val="22"/>
                <w:szCs w:val="22"/>
              </w:rPr>
              <w:fldChar w:fldCharType="end"/>
            </w:r>
          </w:p>
        </w:tc>
        <w:tc>
          <w:tcPr>
            <w:tcW w:w="15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7964158"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Observational</w:t>
            </w:r>
          </w:p>
        </w:tc>
        <w:tc>
          <w:tcPr>
            <w:tcW w:w="223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6A55A8D4"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NA</w:t>
            </w:r>
          </w:p>
        </w:tc>
        <w:tc>
          <w:tcPr>
            <w:tcW w:w="2526"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733AC160"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 xml:space="preserve">Cancer survivors with </w:t>
            </w:r>
            <w:proofErr w:type="spellStart"/>
            <w:r w:rsidRPr="00815AF3">
              <w:rPr>
                <w:rFonts w:eastAsia="Times New Roman"/>
                <w:color w:val="000000"/>
                <w:sz w:val="22"/>
                <w:szCs w:val="22"/>
              </w:rPr>
              <w:t>multimorbidities</w:t>
            </w:r>
            <w:proofErr w:type="spellEnd"/>
          </w:p>
        </w:tc>
        <w:tc>
          <w:tcPr>
            <w:tcW w:w="1693"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30198373"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Unsure</w:t>
            </w:r>
          </w:p>
        </w:tc>
        <w:tc>
          <w:tcPr>
            <w:tcW w:w="2584"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5DD4AB1E"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Pt/carer views or preferences</w:t>
            </w:r>
          </w:p>
        </w:tc>
      </w:tr>
      <w:tr w:rsidR="002421FE" w:rsidRPr="00815AF3" w14:paraId="7CA9839D" w14:textId="77777777" w:rsidTr="00FB1DFE">
        <w:trPr>
          <w:trHeight w:val="300"/>
        </w:trPr>
        <w:tc>
          <w:tcPr>
            <w:tcW w:w="175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7A2751D"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 xml:space="preserve">Nunes 2009 </w:t>
            </w:r>
            <w:r w:rsidRPr="00815AF3">
              <w:rPr>
                <w:rFonts w:eastAsia="Times New Roman"/>
                <w:color w:val="000000"/>
                <w:sz w:val="22"/>
                <w:szCs w:val="22"/>
              </w:rPr>
              <w:fldChar w:fldCharType="begin" w:fldLock="1"/>
            </w:r>
            <w:r>
              <w:rPr>
                <w:rFonts w:eastAsia="Times New Roman"/>
                <w:color w:val="000000"/>
                <w:sz w:val="22"/>
                <w:szCs w:val="22"/>
              </w:rPr>
              <w:instrText>ADDIN CSL_CITATION { "citationItems" : [ { "id" : "ITEM-1", "itemData" : { "DOI" : "msc", "ISBN" : "76", "PMID" : "21834197", "abstract" : "Preface The prescription of medicines is a core element of the delivery of modern health care. Medicines are widely used not only to relieve symptoms and cure conditions but to prevent ill health in the future. Medical advances, combined with an ageing population, have resulted in many patients taking multiple medicines in complex regimes. There is an increasing number and diversity of healthcare professionals involving in prescribing, dispensing or reviewing medicines. Prescribing was once the preserve of the medical profession but prescribing rights are now available to other health professionals either as independent or supplementary prescribers. Medicine-taking is a complex human behaviour and patients evaluate medicines, and the risks and benefits of medicines using the resources available to them. Unwanted and unused medicines reflect inadequate communication between professionals and patients - about health problems and how they might be treated, and about patients\u2019 ongoing assessment and experience of treatments. This guideline will be of help to all healthcare professionals by providing guidance on how to involve patients in the decision to prescribe medicines and on how to support patients in their subsequent use of medicines. The recommendations include advice to healthcare professionals to ensure there are robust mechanisms to ensure communication between the many professionals who may be involved in each patient\u2019s care. The guideline has been developed using standard NICE methodology. Patient involvement and adherence are central to medicine \u2013taking yet these areas are less well researched than medicines themselves. The guideline development process has highlighted the areas in which evidence is lacking and the Guideline Development Group has indicated those areas they consider high priority for research at the end of the guideline. Developing recommendations from the evidence might have been difficult if not for the commitment and expertise of the Guideline Development Group. I am viii extremely grateful to them for the good humour and skill they brought to their task", "author" : [ { "dropping-particle" : "", "family" : "Nunes", "given" : "V.", "non-dropping-particle" : "", "parse-names" : false, "suffix" : "" }, { "dropping-particle" : "", "family" : "Neilson", "given" : "J.", "non-dropping-particle" : "", "parse-names" : false, "suffix" : "" }, { "dropping-particle" : "", "family" : "O\u2019Flynn", "given" : "N.", "non-dropping-particle" : "", "parse-names" : false, "suffix" : "" }, { "dropping-particle" : "", "family" : "Calvert", "given" : "N.", "non-dropping-particle" : "", "parse-names" : false, "suffix" : "" }, { "dropping-particle" : "", "family" : "Kuntze", "given" : "S.", "non-dropping-particle" : "", "parse-names" : false, "suffix" : "" }, { "dropping-particle" : "", "family" : "Smithson", "given" : "H.", "non-dropping-particle" : "", "parse-names" : false, "suffix" : "" }, { "dropping-particle" : "", "family" : "Benson", "given" : "J.", "non-dropping-particle" : "", "parse-names" : false, "suffix" : "" }, { "dropping-particle" : "", "family" : "Blair", "given" : "J.", "non-dropping-particle" : "", "parse-names" : false, "suffix" : "" }, { "dropping-particle" : "", "family" : "A", "given" : "Bowser", "non-dropping-particle" : "", "parse-names" : false, "suffix" : "" }, { "dropping-particle" : "", "family" : "Clyne", "given" : "W.", "non-dropping-particle" : "", "parse-names" : false, "suffix" : "" }, { "dropping-particle" : "", "family" : "Crome", "given" : "P.", "non-dropping-particle" : "", "parse-names" : false, "suffix" : "" }, { "dropping-particle" : "", "family" : "Haddad", "given" : "P.", "non-dropping-particle" : "", "parse-names" : false, "suffix" : "" }, { "dropping-particle" : "", "family" : "Hemingway", "given" : "S.", "non-dropping-particle" : "", "parse-names" : false, "suffix" : "" }, { "dropping-particle" : "", "family" : "Horne", "given" : "R.", "non-dropping-particle" : "", "parse-names" : false, "suffix" : "" }, { "dropping-particle" : "", "family" : "Johnson", "given" : "S.", "non-dropping-particle" : "", "parse-names" : false, "suffix" : "" }, { "dropping-particle" : "", "family" : "Kelly", "given" : "S.", "non-dropping-particle" : "", "parse-names" : false, "suffix" : "" }, { "dropping-particle" : "", "family" : "Packham", "given" : "B.", "non-dropping-particle" : "", "parse-names" : false, "suffix" : "" }, { "dropping-particle" : "", "family" : "Patel", "given" : "M.", "non-dropping-particle" : "", "parse-names" : false, "suffix" : "" }, { "dropping-particle" : "", "family" : "Steel", "given" : "J.", "non-dropping-particle" : "", "parse-names" : false, "suffix" : "" } ], "id" : "ITEM-1", "issue" : "January", "issued" : { "date-parts" : [ [ "2009" ] ] }, "note" : "NOTE: This document is the text for NICE guidance CG76 also attached to this record.", "number-of-pages" : "1-364", "publisher-place" : "London", "title" : "Medicines Adherence : involving patients in decisions about prescribed medicines and supporting adherence Full Guideline January 2009 National Collaborating Centre for Primary", "type" : "report" }, "uris" : [ "http://www.mendeley.com/documents/?uuid=ccccedf2-131a-4e41-a2ec-9e648d7fbba0" ] } ], "mendeley" : { "formattedCitation" : "&lt;sup&gt;170&lt;/sup&gt;", "plainTextFormattedCitation" : "170", "previouslyFormattedCitation" : "&lt;sup&gt;170&lt;/sup&gt;" }, "properties" : { "noteIndex" : 0 }, "schema" : "https://github.com/citation-style-language/schema/raw/master/csl-citation.json" }</w:instrText>
            </w:r>
            <w:r w:rsidRPr="00815AF3">
              <w:rPr>
                <w:rFonts w:eastAsia="Times New Roman"/>
                <w:color w:val="000000"/>
                <w:sz w:val="22"/>
                <w:szCs w:val="22"/>
                <w:vertAlign w:val="superscript"/>
              </w:rPr>
              <w:fldChar w:fldCharType="separate"/>
            </w:r>
            <w:r w:rsidRPr="00D232B0">
              <w:rPr>
                <w:rFonts w:eastAsia="Times New Roman"/>
                <w:noProof/>
                <w:color w:val="000000"/>
                <w:sz w:val="22"/>
                <w:szCs w:val="22"/>
                <w:vertAlign w:val="superscript"/>
              </w:rPr>
              <w:t>170</w:t>
            </w:r>
            <w:r w:rsidRPr="00815AF3">
              <w:rPr>
                <w:rFonts w:eastAsia="Times New Roman"/>
                <w:color w:val="000000"/>
                <w:sz w:val="22"/>
                <w:szCs w:val="22"/>
              </w:rPr>
              <w:fldChar w:fldCharType="end"/>
            </w:r>
          </w:p>
        </w:tc>
        <w:tc>
          <w:tcPr>
            <w:tcW w:w="15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3E73C6A2"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Guideline</w:t>
            </w:r>
          </w:p>
        </w:tc>
        <w:tc>
          <w:tcPr>
            <w:tcW w:w="223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7A97FA4F"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NA</w:t>
            </w:r>
          </w:p>
        </w:tc>
        <w:tc>
          <w:tcPr>
            <w:tcW w:w="2526"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336A9126"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Not applicable</w:t>
            </w:r>
          </w:p>
        </w:tc>
        <w:tc>
          <w:tcPr>
            <w:tcW w:w="1693"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1A4F40BD"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NA</w:t>
            </w:r>
          </w:p>
        </w:tc>
        <w:tc>
          <w:tcPr>
            <w:tcW w:w="2584"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6D7355A5"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Medicines adherence</w:t>
            </w:r>
          </w:p>
        </w:tc>
      </w:tr>
      <w:tr w:rsidR="002421FE" w:rsidRPr="00815AF3" w14:paraId="1C7B3BA6" w14:textId="77777777" w:rsidTr="00FB1DFE">
        <w:trPr>
          <w:trHeight w:val="300"/>
        </w:trPr>
        <w:tc>
          <w:tcPr>
            <w:tcW w:w="175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0E2B14CD" w14:textId="77777777" w:rsidR="002421FE" w:rsidRPr="00815AF3" w:rsidRDefault="002421FE" w:rsidP="00FB1DFE">
            <w:pPr>
              <w:spacing w:after="0"/>
              <w:rPr>
                <w:rFonts w:eastAsia="Times New Roman"/>
                <w:color w:val="000000"/>
                <w:sz w:val="22"/>
                <w:szCs w:val="22"/>
              </w:rPr>
            </w:pPr>
            <w:proofErr w:type="spellStart"/>
            <w:r w:rsidRPr="00815AF3">
              <w:rPr>
                <w:rFonts w:eastAsia="Times New Roman"/>
                <w:color w:val="000000"/>
                <w:sz w:val="22"/>
                <w:szCs w:val="22"/>
              </w:rPr>
              <w:t>Politi</w:t>
            </w:r>
            <w:proofErr w:type="spellEnd"/>
            <w:r w:rsidRPr="00815AF3">
              <w:rPr>
                <w:rFonts w:eastAsia="Times New Roman"/>
                <w:color w:val="000000"/>
                <w:sz w:val="22"/>
                <w:szCs w:val="22"/>
              </w:rPr>
              <w:t xml:space="preserve"> 2011 </w:t>
            </w:r>
            <w:r w:rsidRPr="00815AF3">
              <w:rPr>
                <w:rFonts w:eastAsia="Times New Roman"/>
                <w:color w:val="000000"/>
                <w:sz w:val="22"/>
                <w:szCs w:val="22"/>
              </w:rPr>
              <w:fldChar w:fldCharType="begin" w:fldLock="1"/>
            </w:r>
            <w:r>
              <w:rPr>
                <w:rFonts w:eastAsia="Times New Roman"/>
                <w:color w:val="000000"/>
                <w:sz w:val="22"/>
                <w:szCs w:val="22"/>
              </w:rPr>
              <w:instrText>ADDIN CSL_CITATION { "citationItems" : [ { "id" : "ITEM-1", "itemData" : { "DOI" : "10.1111/j.1365-2753.2010.01549.x", "ISBN" : "1365-2753 (Electronic)\\r1356-1294 (Linking)", "ISSN" : "13561294", "PMID" : "20831668", "abstract" : "RATIONALE: Quality medical decision making requires that clinicians and patients incorporate the best available clinical evidence with the patients' values and preferences to develop a mutually agreed upon treatment plan. The interactive process involved in medical decision making is complex and requires patients and clinicians to use both cognitive and communicative skills to reach a shared understanding of the decision. AIMS AND OBJECTIVES: The purpose of this paper is to present a communication model to help better understand quality medical decision making, and how patient-centered, collaborative communication enhances the decision-making process. METHODS: We present research on shared mind and cognitive and communicative skills to highlight how they can facilitate the management of uncertainty during the interactive process involved in medical decision making. We provide simple examples about how to frame messages to achieve shared mind and foster uncertainty tolerance. CONCLUSIONS: Strategies such as providing clear explanations, checking for understanding, eliciting the patient's values, concerns, needs, finding common ground, reaching consensus on a treatment plan, and establishing a mutually acceptable follow-up plan can facilitate collaborative decision making. Future research should explore ways to implement collaborative decision-making processes in existing health care systems.", "author" : [ { "dropping-particle" : "", "family" : "Politi", "given" : "Mary C.", "non-dropping-particle" : "", "parse-names" : false, "suffix" : "" }, { "dropping-particle" : "", "family" : "Street", "given" : "Richard L.", "non-dropping-particle" : "", "parse-names" : false, "suffix" : "" } ], "container-title" : "Journal of Evaluation in Clinical Practice", "id" : "ITEM-1", "issue" : "4", "issued" : { "date-parts" : [ [ "2011" ] ] }, "page" : "579-584", "title" : "The importance of communication in collaborative decision making: Facilitating shared mind and the management of uncertainty", "type" : "article-journal", "volume" : "17" }, "uris" : [ "http://www.mendeley.com/documents/?uuid=42334311-bafe-4088-96c2-9881fb9d9e09" ] } ], "mendeley" : { "formattedCitation" : "&lt;sup&gt;155&lt;/sup&gt;", "plainTextFormattedCitation" : "155", "previouslyFormattedCitation" : "&lt;sup&gt;155&lt;/sup&gt;" }, "properties" : { "noteIndex" : 0 }, "schema" : "https://github.com/citation-style-language/schema/raw/master/csl-citation.json" }</w:instrText>
            </w:r>
            <w:r w:rsidRPr="00815AF3">
              <w:rPr>
                <w:rFonts w:eastAsia="Times New Roman"/>
                <w:color w:val="000000"/>
                <w:sz w:val="22"/>
                <w:szCs w:val="22"/>
                <w:vertAlign w:val="superscript"/>
              </w:rPr>
              <w:fldChar w:fldCharType="separate"/>
            </w:r>
            <w:r w:rsidRPr="00D232B0">
              <w:rPr>
                <w:rFonts w:eastAsia="Times New Roman"/>
                <w:noProof/>
                <w:color w:val="000000"/>
                <w:sz w:val="22"/>
                <w:szCs w:val="22"/>
                <w:vertAlign w:val="superscript"/>
              </w:rPr>
              <w:t>155</w:t>
            </w:r>
            <w:r w:rsidRPr="00815AF3">
              <w:rPr>
                <w:rFonts w:eastAsia="Times New Roman"/>
                <w:color w:val="000000"/>
                <w:sz w:val="22"/>
                <w:szCs w:val="22"/>
              </w:rPr>
              <w:fldChar w:fldCharType="end"/>
            </w:r>
          </w:p>
        </w:tc>
        <w:tc>
          <w:tcPr>
            <w:tcW w:w="15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25C9AC34"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Development of a model</w:t>
            </w:r>
          </w:p>
        </w:tc>
        <w:tc>
          <w:tcPr>
            <w:tcW w:w="223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4E0156A"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NA</w:t>
            </w:r>
          </w:p>
        </w:tc>
        <w:tc>
          <w:tcPr>
            <w:tcW w:w="2526"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63A26B22"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Not applicable</w:t>
            </w:r>
          </w:p>
        </w:tc>
        <w:tc>
          <w:tcPr>
            <w:tcW w:w="1693"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68F4D935"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NA</w:t>
            </w:r>
          </w:p>
        </w:tc>
        <w:tc>
          <w:tcPr>
            <w:tcW w:w="2584"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143DA8A3"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Collaborative decision making</w:t>
            </w:r>
          </w:p>
        </w:tc>
      </w:tr>
      <w:tr w:rsidR="002421FE" w:rsidRPr="00815AF3" w14:paraId="14E36FAE" w14:textId="77777777" w:rsidTr="00FB1DFE">
        <w:trPr>
          <w:trHeight w:val="300"/>
        </w:trPr>
        <w:tc>
          <w:tcPr>
            <w:tcW w:w="175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3EAC1F41"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 xml:space="preserve">Robben 2012 </w:t>
            </w:r>
            <w:r w:rsidRPr="00815AF3">
              <w:rPr>
                <w:rFonts w:eastAsia="Times New Roman"/>
                <w:color w:val="000000"/>
                <w:sz w:val="22"/>
                <w:szCs w:val="22"/>
              </w:rPr>
              <w:fldChar w:fldCharType="begin" w:fldLock="1"/>
            </w:r>
            <w:r>
              <w:rPr>
                <w:rFonts w:eastAsia="Times New Roman"/>
                <w:color w:val="000000"/>
                <w:sz w:val="22"/>
                <w:szCs w:val="22"/>
              </w:rPr>
              <w:instrText>ADDIN CSL_CITATION { "citationItems" : [ { "id" : "ITEM-1", "itemData" : { "DOI" : "10.1093/fampra/cms033", "ISBN" : "0263-2136", "PMID" : "22532402", "abstract" : "BACKGROUND: Patient involvement in clinical decision making is increasingly advocated. Although older patients may be more reluctant to become involved, most do appreciate being informed. However, knowledge about their experiences with and preferences for receiving information is limited, and even less is known about these topics for frail older people. OBJECTIVE: To explore the experiences of frail older people and informal caregivers with receiving information from health care professionals as well as their preferences for receiving information. METHODS: We conducted semi-structured interviews with frail older people (n = 11, 65-90 years) and informal caregivers (n = 11, 55-87 years). Interviews were transcribed verbatim and analysed using a grounded theory approach. RESULTS: Frail older people and informal caregivers varied in their information needs and discussed both positive and negative experiences with receiving information. They preferred receiving verbal information from their physician during the consultation; yet would appreciate receiving brief, clearly written information leaflets in addition. They employed several strategies to enhance the information provided, i.e. advocacy, preparing for a consultation and searching their own information. Contextual factors for receiving information, such as having enough time and having a good relationship with professionals involved, were considered of great importance. CONCLUSIONS: Participants described a wide range of experiences with and preferences for receiving information. However, even if the information provided would meet all their preferences, this would be of limited significance if not provided within the context of an ongoing trusting relationship with a professional, such as a GP or practice nurse, who genuinely cared for them.", "author" : [ { "dropping-particle" : "", "family" : "Robben", "given" : "S", "non-dropping-particle" : "", "parse-names" : false, "suffix" : "" }, { "dropping-particle" : "", "family" : "Kempen", "given" : "J", "non-dropping-particle" : "van", "parse-names" : false, "suffix" : "" }, { "dropping-particle" : "", "family" : "Heinen", "given" : "M", "non-dropping-particle" : "", "parse-names" : false, "suffix" : "" }, { "dropping-particle" : "", "family" : "Zuidema", "given" : "S", "non-dropping-particle" : "", "parse-names" : false, "suffix" : "" }, { "dropping-particle" : "", "family" : "Olde Rikkert", "given" : "M", "non-dropping-particle" : "", "parse-names" : false, "suffix" : "" }, { "dropping-particle" : "", "family" : "Schers", "given" : "H", "non-dropping-particle" : "", "parse-names" : false, "suffix" : "" }, { "dropping-particle" : "", "family" : "Melis", "given" : "R", "non-dropping-particle" : "", "parse-names" : false, "suffix" : "" } ], "container-title" : "Fam Pract", "edition" : "2012/04/26", "id" : "ITEM-1", "issue" : "6", "issued" : { "date-parts" : [ [ "2012" ] ] }, "language" : "eng", "note" : "1460-2229\nRobben, Sarah\nvan Kempen, Janneke\nHeinen, Maud\nZuidema, Sytse\nOlde Rikkert, Marcel\nSchers, Henk\nMelis, Rene\nJournal Article\nEngland\nFam Pract. 2012 Dec;29(6):742-7. doi: 10.1093/fampra/cms033. Epub 2012 Apr 24.", "page" : "742-747", "title" : "Preferences for receiving information among frail older adults and their informal caregivers: a qualitative study", "type" : "article-journal", "volume" : "29" }, "uris" : [ "http://www.mendeley.com/documents/?uuid=060c9a62-cef1-4975-847f-40c19f494cf8" ] } ], "mendeley" : { "formattedCitation" : "&lt;sup&gt;156&lt;/sup&gt;", "plainTextFormattedCitation" : "156", "previouslyFormattedCitation" : "&lt;sup&gt;156&lt;/sup&gt;" }, "properties" : { "noteIndex" : 0 }, "schema" : "https://github.com/citation-style-language/schema/raw/master/csl-citation.json" }</w:instrText>
            </w:r>
            <w:r w:rsidRPr="00815AF3">
              <w:rPr>
                <w:rFonts w:eastAsia="Times New Roman"/>
                <w:color w:val="000000"/>
                <w:sz w:val="22"/>
                <w:szCs w:val="22"/>
                <w:vertAlign w:val="superscript"/>
              </w:rPr>
              <w:fldChar w:fldCharType="separate"/>
            </w:r>
            <w:r w:rsidRPr="00D232B0">
              <w:rPr>
                <w:rFonts w:eastAsia="Times New Roman"/>
                <w:noProof/>
                <w:color w:val="000000"/>
                <w:sz w:val="22"/>
                <w:szCs w:val="22"/>
                <w:vertAlign w:val="superscript"/>
              </w:rPr>
              <w:t>156</w:t>
            </w:r>
            <w:r w:rsidRPr="00815AF3">
              <w:rPr>
                <w:rFonts w:eastAsia="Times New Roman"/>
                <w:color w:val="000000"/>
                <w:sz w:val="22"/>
                <w:szCs w:val="22"/>
              </w:rPr>
              <w:fldChar w:fldCharType="end"/>
            </w:r>
          </w:p>
        </w:tc>
        <w:tc>
          <w:tcPr>
            <w:tcW w:w="15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6C37D32F"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Qualitative</w:t>
            </w:r>
          </w:p>
        </w:tc>
        <w:tc>
          <w:tcPr>
            <w:tcW w:w="223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34AD925C"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NA</w:t>
            </w:r>
          </w:p>
        </w:tc>
        <w:tc>
          <w:tcPr>
            <w:tcW w:w="2526"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01D496A3"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Frail older people</w:t>
            </w:r>
          </w:p>
        </w:tc>
        <w:tc>
          <w:tcPr>
            <w:tcW w:w="1693"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53A39C11"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Community</w:t>
            </w:r>
          </w:p>
        </w:tc>
        <w:tc>
          <w:tcPr>
            <w:tcW w:w="2584"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6A72280"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PDA</w:t>
            </w:r>
          </w:p>
        </w:tc>
      </w:tr>
      <w:tr w:rsidR="002421FE" w:rsidRPr="00815AF3" w14:paraId="0DF72B3A" w14:textId="77777777" w:rsidTr="00FB1DFE">
        <w:trPr>
          <w:trHeight w:val="300"/>
        </w:trPr>
        <w:tc>
          <w:tcPr>
            <w:tcW w:w="175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74401E41" w14:textId="77777777" w:rsidR="002421FE" w:rsidRPr="00815AF3" w:rsidRDefault="002421FE" w:rsidP="00FB1DFE">
            <w:pPr>
              <w:spacing w:after="0"/>
              <w:rPr>
                <w:rFonts w:eastAsia="Times New Roman"/>
                <w:color w:val="000000"/>
                <w:sz w:val="22"/>
                <w:szCs w:val="22"/>
              </w:rPr>
            </w:pPr>
            <w:proofErr w:type="spellStart"/>
            <w:r w:rsidRPr="00815AF3">
              <w:rPr>
                <w:rFonts w:eastAsia="Times New Roman"/>
                <w:color w:val="000000"/>
                <w:sz w:val="22"/>
                <w:szCs w:val="22"/>
              </w:rPr>
              <w:t>Ruggiano</w:t>
            </w:r>
            <w:proofErr w:type="spellEnd"/>
            <w:r w:rsidRPr="00815AF3">
              <w:rPr>
                <w:rFonts w:eastAsia="Times New Roman"/>
                <w:color w:val="000000"/>
                <w:sz w:val="22"/>
                <w:szCs w:val="22"/>
              </w:rPr>
              <w:t xml:space="preserve"> 2016 </w:t>
            </w:r>
            <w:r w:rsidRPr="00815AF3">
              <w:rPr>
                <w:rFonts w:eastAsia="Times New Roman"/>
                <w:color w:val="000000"/>
                <w:sz w:val="22"/>
                <w:szCs w:val="22"/>
              </w:rPr>
              <w:fldChar w:fldCharType="begin" w:fldLock="1"/>
            </w:r>
            <w:r>
              <w:rPr>
                <w:rFonts w:eastAsia="Times New Roman"/>
                <w:color w:val="000000"/>
                <w:sz w:val="22"/>
                <w:szCs w:val="22"/>
              </w:rPr>
              <w:instrText>ADDIN CSL_CITATION { "citationItems" : [ { "id" : "ITEM-1", "itemData" : { "DOI" : "10.1177/0733464814527513", "ISBN" : "0733-4648", "PMID" : "24752757", "abstract" : "Health self-advocacy is associated with positive health outcomes, though existing research indicates that older adults may be at a disadvantage when self-advocating within the health care and disability support systems. This study examined perceptions of older adults' health self-advocacy behaviors and the context under which they self-advocate for their chronic conditions. The study involved in-depth interviews with 37 older adults with chronic illnesses and disabilities and 9 geriatric case managers in South and Central Florida. Data were systematically analyzed for themes. Thematic findings revealed that concerns over quality of life is the most common motivator for older adults to engage in health self-advocacy and that self-advocacy involves gathering information to prepare for decision-making and confronting providers about the information gathered. The findings suggest that providers may help facilitate self-determination by framing health communication within the context of quality of life.", "author" : [ { "dropping-particle" : "", "family" : "Ruggiano", "given" : "N", "non-dropping-particle" : "", "parse-names" : false, "suffix" : "" }, { "dropping-particle" : "", "family" : "Whiteman", "given" : "K", "non-dropping-particle" : "", "parse-names" : false, "suffix" : "" }, { "dropping-particle" : "", "family" : "Shtompel", "given" : "N", "non-dropping-particle" : "", "parse-names" : false, "suffix" : "" } ], "container-title" : "J Appl Gerontol", "edition" : "2014/04/23", "id" : "ITEM-1", "issue" : "4", "issued" : { "date-parts" : [ [ "2016" ] ] }, "language" : "eng", "note" : "1552-4523\nRuggiano, Nicole\nWhiteman, Karen\nShtompel, Natalia\nJournal Article\nResearch Support, Non-U.S. Gov't\nUnited States\nJ Appl Gerontol. 2016 Apr;35(4):401-20. doi: 10.1177/0733464814527513. Epub 2014 Apr 21.", "page" : "401-420", "title" : "\"If I Don't Like the Way I Feel With a Certain Drug, I'll Tell Them.\": Older Adults' Experiences With Self-Determination and Health Self-Advocacy", "type" : "article-journal", "volume" : "35" }, "uris" : [ "http://www.mendeley.com/documents/?uuid=22807bab-9bd6-4f7f-b211-280bed0271c0" ] } ], "mendeley" : { "formattedCitation" : "&lt;sup&gt;157&lt;/sup&gt;", "plainTextFormattedCitation" : "157", "previouslyFormattedCitation" : "&lt;sup&gt;157&lt;/sup&gt;" }, "properties" : { "noteIndex" : 0 }, "schema" : "https://github.com/citation-style-language/schema/raw/master/csl-citation.json" }</w:instrText>
            </w:r>
            <w:r w:rsidRPr="00815AF3">
              <w:rPr>
                <w:rFonts w:eastAsia="Times New Roman"/>
                <w:color w:val="000000"/>
                <w:sz w:val="22"/>
                <w:szCs w:val="22"/>
                <w:vertAlign w:val="superscript"/>
              </w:rPr>
              <w:fldChar w:fldCharType="separate"/>
            </w:r>
            <w:r w:rsidRPr="00D232B0">
              <w:rPr>
                <w:rFonts w:eastAsia="Times New Roman"/>
                <w:noProof/>
                <w:color w:val="000000"/>
                <w:sz w:val="22"/>
                <w:szCs w:val="22"/>
                <w:vertAlign w:val="superscript"/>
              </w:rPr>
              <w:t>157</w:t>
            </w:r>
            <w:r w:rsidRPr="00815AF3">
              <w:rPr>
                <w:rFonts w:eastAsia="Times New Roman"/>
                <w:color w:val="000000"/>
                <w:sz w:val="22"/>
                <w:szCs w:val="22"/>
              </w:rPr>
              <w:fldChar w:fldCharType="end"/>
            </w:r>
          </w:p>
        </w:tc>
        <w:tc>
          <w:tcPr>
            <w:tcW w:w="15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5AD59EB8"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Qualitative</w:t>
            </w:r>
          </w:p>
        </w:tc>
        <w:tc>
          <w:tcPr>
            <w:tcW w:w="223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5036E377"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NA</w:t>
            </w:r>
          </w:p>
        </w:tc>
        <w:tc>
          <w:tcPr>
            <w:tcW w:w="2526"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64C13846"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Older people</w:t>
            </w:r>
          </w:p>
        </w:tc>
        <w:tc>
          <w:tcPr>
            <w:tcW w:w="1693"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6398D2C8"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Community</w:t>
            </w:r>
          </w:p>
        </w:tc>
        <w:tc>
          <w:tcPr>
            <w:tcW w:w="2584"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78DB3E6F"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HCPs views on SDM</w:t>
            </w:r>
          </w:p>
        </w:tc>
      </w:tr>
      <w:tr w:rsidR="002421FE" w:rsidRPr="00815AF3" w14:paraId="30813ADE" w14:textId="77777777" w:rsidTr="00FB1DFE">
        <w:trPr>
          <w:trHeight w:val="288"/>
        </w:trPr>
        <w:tc>
          <w:tcPr>
            <w:tcW w:w="175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5E421022"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 xml:space="preserve">Sanders 2016 </w:t>
            </w:r>
            <w:r w:rsidRPr="00815AF3">
              <w:rPr>
                <w:rFonts w:eastAsia="Times New Roman"/>
                <w:color w:val="000000"/>
                <w:sz w:val="22"/>
                <w:szCs w:val="22"/>
              </w:rPr>
              <w:fldChar w:fldCharType="begin" w:fldLock="1"/>
            </w:r>
            <w:r>
              <w:rPr>
                <w:rFonts w:eastAsia="Times New Roman"/>
                <w:color w:val="000000"/>
                <w:sz w:val="22"/>
                <w:szCs w:val="22"/>
              </w:rPr>
              <w:instrText>ADDIN CSL_CITATION { "citationItems" : [ { "id" : "ITEM-1", "itemData" : { "DOI" : "10.1016/j.pec.2016.10.002", "ISSN" : "1873-5134 (Electronic)", "PMID" : "27780647", "abstract" : "OBJECTIVE: We conducted a clustered randomised controlled trial to study the effects of shared decision making (SDM) on patient recovery. This study aims to determine whether GPs trained in SDM and reinforcing patients' treatment expectations showed more trained behaviour during their consultations than untrained GPs. METHODS: We compared 86 consultations conducted by 23 trained GPs with 89 consultations completed by 19 untrained GPs. The primary outcomes were SDM, as measured by the OPTION scale, and positive reinforcement, as measured by global observation. Secondary outcomes were the level of autonomy in decision making and the duration of the consultation. RESULTS: Intervention consultations scored significantly higher on most elements of the OPTION scale, and on the autonomy scale; however, they were three minutes longer in duration, and the mean OPTION score of the intervention group remained below average. CONCLUSION: Training GPs resulted in more SDM behaviour and more autonomy for the patient; however, this increase is not attributable to the adoption of a patient perspective. Furthermore, while we aimed to demonstrate that SDM facilitates the reinforcement of patients' positive expectations, the measurement of this behaviour was not reliable. PRACTICE IMPLICATIONS: In supporting SDM, professionals should give greater attention to patients' treatment expectations.", "author" : [ { "dropping-particle" : "", "family" : "Sanders", "given" : "A R J", "non-dropping-particle" : "", "parse-names" : false, "suffix" : "" }, { "dropping-particle" : "", "family" : "Bensing", "given" : "J M", "non-dropping-particle" : "", "parse-names" : false, "suffix" : "" }, { "dropping-particle" : "", "family" : "Essed", "given" : "M A L U", "non-dropping-particle" : "", "parse-names" : false, "suffix" : "" }, { "dropping-particle" : "", "family" : "Magnee", "given" : "T", "non-dropping-particle" : "", "parse-names" : false, "suffix" : "" }, { "dropping-particle" : "", "family" : "Wit", "given" : "N J", "non-dropping-particle" : "de", "parse-names" : false, "suffix" : "" }, { "dropping-particle" : "", "family" : "Verhaak", "given" : "P F M", "non-dropping-particle" : "", "parse-names" : false, "suffix" : "" } ], "container-title" : "Patient education and counseling", "id" : "ITEM-1", "issued" : { "date-parts" : [ [ "2016", "10" ] ] }, "language" : "eng", "publisher-place" : "Ireland", "title" : "Does training general practitioners result in more shared decision making during consultations?", "type" : "article-journal" }, "uris" : [ "http://www.mendeley.com/documents/?uuid=b3cd71bf-64c6-4740-8133-b566cfe6995d" ] } ], "mendeley" : { "formattedCitation" : "&lt;sup&gt;183&lt;/sup&gt;", "plainTextFormattedCitation" : "183", "previouslyFormattedCitation" : "&lt;sup&gt;183&lt;/sup&gt;" }, "properties" : { "noteIndex" : 0 }, "schema" : "https://github.com/citation-style-language/schema/raw/master/csl-citation.json" }</w:instrText>
            </w:r>
            <w:r w:rsidRPr="00815AF3">
              <w:rPr>
                <w:rFonts w:eastAsia="Times New Roman"/>
                <w:color w:val="000000"/>
                <w:sz w:val="22"/>
                <w:szCs w:val="22"/>
                <w:vertAlign w:val="superscript"/>
              </w:rPr>
              <w:fldChar w:fldCharType="separate"/>
            </w:r>
            <w:r w:rsidRPr="00DC220A">
              <w:rPr>
                <w:rFonts w:eastAsia="Times New Roman"/>
                <w:noProof/>
                <w:color w:val="000000"/>
                <w:sz w:val="22"/>
                <w:szCs w:val="22"/>
                <w:vertAlign w:val="superscript"/>
              </w:rPr>
              <w:t>183</w:t>
            </w:r>
            <w:r w:rsidRPr="00815AF3">
              <w:rPr>
                <w:rFonts w:eastAsia="Times New Roman"/>
                <w:color w:val="000000"/>
                <w:sz w:val="22"/>
                <w:szCs w:val="22"/>
              </w:rPr>
              <w:fldChar w:fldCharType="end"/>
            </w:r>
          </w:p>
        </w:tc>
        <w:tc>
          <w:tcPr>
            <w:tcW w:w="15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2771CDCE"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RCT</w:t>
            </w:r>
          </w:p>
        </w:tc>
        <w:tc>
          <w:tcPr>
            <w:tcW w:w="223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53F12F6D"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Training in SDM</w:t>
            </w:r>
          </w:p>
        </w:tc>
        <w:tc>
          <w:tcPr>
            <w:tcW w:w="2526"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66B54F66"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GPs</w:t>
            </w:r>
          </w:p>
        </w:tc>
        <w:tc>
          <w:tcPr>
            <w:tcW w:w="1693"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54B3DDFC"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Primary care</w:t>
            </w:r>
          </w:p>
        </w:tc>
        <w:tc>
          <w:tcPr>
            <w:tcW w:w="2584"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1357F5E6"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Training in SDM</w:t>
            </w:r>
          </w:p>
        </w:tc>
      </w:tr>
      <w:tr w:rsidR="002421FE" w:rsidRPr="00815AF3" w14:paraId="0B3F00D7" w14:textId="77777777" w:rsidTr="00FB1DFE">
        <w:trPr>
          <w:trHeight w:val="525"/>
        </w:trPr>
        <w:tc>
          <w:tcPr>
            <w:tcW w:w="175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68BC26F8"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 xml:space="preserve">Schaller 2015 &amp; Schaller 2016 </w:t>
            </w:r>
            <w:r w:rsidRPr="00815AF3">
              <w:rPr>
                <w:rFonts w:eastAsia="Times New Roman"/>
                <w:color w:val="000000"/>
                <w:sz w:val="22"/>
                <w:szCs w:val="22"/>
              </w:rPr>
              <w:fldChar w:fldCharType="begin" w:fldLock="1"/>
            </w:r>
            <w:r>
              <w:rPr>
                <w:rFonts w:eastAsia="Times New Roman"/>
                <w:color w:val="000000"/>
                <w:sz w:val="22"/>
                <w:szCs w:val="22"/>
              </w:rPr>
              <w:instrText>ADDIN CSL_CITATION { "citationItems" : [ { "id" : "ITEM-1", "itemData" : { "DOI" : "10.1186/s12911-015-0182-2", "ISBN" : "1472-6947 (Electronic) 1472-6947 (Linking)", "PMID" : "26215731", "abstract" : "BACKGROUND: The European eHealthMonitor project (eHM) developed a user-sensitive and interactive web portal for dementia care: the eHM Dementia Portal (eHM-DP). It aims to provide targeted and personalized support for informal caregivers of people with dementia in a home-based care setting. The objective of the pilot study was to obtain feedback on the eHM-DP from two user perspectives (caregivers and medical professionals), focusing on caregiver empowerment, decision aid, and the perceived benefits of the eHM-DP. METHODS: The study on the eHM-DP was conducted from March 2014 to June 2014. The methodological approach followed a user-participatory design with a total number of 42 participants. The study included caregivers of people with dementia and medical professionals (MPs) from the metropolitan region of Erlangen-Nurnberg (Bavaria, Germany). Study participants were interviewed face-to-face with semi-structured, written interviews. RESULTS: Caregivers indicated a high degree of perceived support by the eHM-DP and of provided decision aid. In total, 89 % of caregivers and 54 % of MPs would use the eHM-DP if access were provided. The primary benefits participants perceived were the acquisition of individualized information, computerized interaction between caregivers and MPs, empowerment in health-related decisions and comprehensive insights into the progress of the disease. Major recommendations for improving the eHM-DP encompassed: an active search functionality based on predefined terms, the implementation of a chatroom for caregivers, an upload function and alerts for MPs, as well as the overall design. CONCLUSIONS: Our study is the first to have provided new insights and results on an interactive and needs-oriented web portal, endeavouring towards empowerment and assistance in decision making for caregivers as well as MPs within the realm of caring for patients with dementia. The acceptance and willingness to use the eHM-DP emphasizes the potential of eHealth services for community-based dementia care settings.", "author" : [ { "dropping-particle" : "", "family" : "Schaller", "given" : "S", "non-dropping-particle" : "", "parse-names" : false, "suffix" : "" }, { "dropping-particle" : "", "family" : "Marinova-Schmidt", "given" : "V", "non-dropping-particle" : "", "parse-names" : false, "suffix" : "" }, { "dropping-particle" : "", "family" : "Gobin", "given" : "J", "non-dropping-particle" : "", "parse-names" : false, "suffix" : "" }, { "dropping-particle" : "", "family" : "Criegee-Rieck", "given" : "M", "non-dropping-particle" : "", "parse-names" : false, "suffix" : "" }, { "dropping-particle" : "", "family" : "Griebel", "given" : "L", "non-dropping-particle" : "", "parse-names" : false, "suffix" : "" }, { "dropping-particle" : "", "family" : "Engel", "given" : "S", "non-dropping-particle" : "", "parse-names" : false, "suffix" : "" }, { "dropping-particle" : "", "family" : "Stein", "given" : "V", "non-dropping-particle" : "", "parse-names" : false, "suffix" : "" }, { "dropping-particle" : "", "family" : "Graessel", "given" : "E", "non-dropping-particle" : "", "parse-names" : false, "suffix" : "" }, { "dropping-particle" : "", "family" : "Kolominsky-Rabas", "given" : "P L", "non-dropping-particle" : "", "parse-names" : false, "suffix" : "" } ], "container-title" : "BMC Med Inform Decis Mak", "id" : "ITEM-1", "issue" : "1", "issued" : { "date-parts" : [ [ "2015" ] ] }, "page" : "58", "title" : "Tailored e-Health services for the dementia care setting: a pilot study of 'eHealthMonitor'", "type" : "article-journal", "volume" : "15" }, "uris" : [ "http://www.mendeley.com/documents/?uuid=20b57a03-8d6d-4452-8bcb-86c8db7f5500" ] }, { "id" : "ITEM-2", "itemData" : { "DOI" : "10.2196/resprot.4354", "ISBN" : "1929-0748 (Electronic) 1929-0748 (Linking)", "PMID" : "27050401", "abstract" : "BACKGROUND: The European eHealthMonitor project (eHM) developed a user-sensitive and interactive Web portal for the dementia care setting called the eHM Dementia Portal (eHM-DP). It aims to provide targeted support for informal caregivers of persons with dementia and professionals. OBJECTIVE: The objective of this study was to assess the usefulness and impact of the eHM-DP service in the dementia care setting from two user perspectives: informal caregivers and professionals. METHODS: The evaluation study was conducted from June to September 2014 and followed a before-after, user-participatory, mixed-method design with questionnaires and interviews. The used intervention was the eHM-DP: an interactive Web portal for informal caregivers and professionals that was tested for a 12-week period. Primary outcomes for caregivers included empowerment, quality of life, caregiver burden, decision aid, as well as perceived usefulness and benefits of the eHM-DP. Primary outcomes for professionals involved decision aid, perceived usefulness, and benefits of the eHM-DP. RESULTS: A total of 25 informal caregivers and 6 professionals used the eHM-DP over the 12-week study period. Both professionals and informal caregivers indicated perceived benefits and support by the eHM-DP. In total, 65% (16/25) of informal caregivers would use the eHM-DP if they had access to it. Major perceived benefits were individualized information acquisition, improved interaction between informal caregivers and professionals, access to support from home, and empowerment in health-related decisions (PrepDM Score: 67.9). Professionals highlighted the improved treatment and care over the disease course (83%, 5/6) and improved health care access for people living in rural areas (67%, 4/6). However, there was no improvement in caregiver burden (Burden Scale for Family Caregivers) and quality of life (EuroQol-5D-5L) over the study period. CONCLUSIONS: Our study provides insight into the different user perspectives on an eHealth support service in the dementia treatment and care setting. These results are of importance for future developments and the uptake of eHealth solutions in the dementia domain and reinforce the importance of early user involvement. Turning to the primary target of the eHM-DP service, our findings suggest that the eHM-DP service proved to be a valuable post-diagnostic support service, in particular for the home-based care setting. Further research on a larger scale is needed to\u2026", "author" : [ { "dropping-particle" : "", "family" : "Schaller", "given" : "S", "non-dropping-particle" : "", "parse-names" : false, "suffix" : "" }, { "dropping-particle" : "", "family" : "Marinova-Schmidt", "given" : "V", "non-dropping-particle" : "", "parse-names" : false, "suffix" : "" }, { "dropping-particle" : "", "family" : "Setzer", "given" : "M", "non-dropping-particle" : "", "parse-names" : false, "suffix" : "" }, { "dropping-particle" : "", "family" : "Kondylakis", "given" : "H", "non-dropping-particle" : "", "parse-names" : false, "suffix" : "" }, { "dropping-particle" : "", "family" : "Griebel", "given" : "L", "non-dropping-particle" : "", "parse-names" : false, "suffix" : "" }, { "dropping-particle" : "", "family" : "Sedlmayr", "given" : "M", "non-dropping-particle" : "", "parse-names" : false, "suffix" : "" }, { "dropping-particle" : "", "family" : "Graessel", "given" : "E", "non-dropping-particle" : "", "parse-names" : false, "suffix" : "" }, { "dropping-particle" : "", "family" : "Maler", "given" : "J M", "non-dropping-particle" : "", "parse-names" : false, "suffix" : "" }, { "dropping-particle" : "", "family" : "Kirn", "given" : "S", "non-dropping-particle" : "", "parse-names" : false, "suffix" : "" }, { "dropping-particle" : "", "family" : "Kolominsky-Rabas", "given" : "P L", "non-dropping-particle" : "", "parse-names" : false, "suffix" : "" } ], "container-title" : "JMIR Res Protoc", "id" : "ITEM-2", "issue" : "2", "issued" : { "date-parts" : [ [ "2016" ] ] }, "note" : "Schaller, Sandra\nMarinova-Schmidt, Velislava\nSetzer, Manuela\nKondylakis, Haridimos\nGriebel, Lena\nSedlmayr, Martin\nGraessel, Elmar\nMaler, Juan Manuel\nKirn, Stefan\nKolominsky-Rabas, Peter L\neng\nCanada\n2016/04/07 06:00\nJMIR Res Protoc. 2016 Apr 5;5(2):e47. doi: 10.2196/resprot.4354.", "page" : "e47", "title" : "Usefulness of a Tailored eHealth Service for Informal Caregivers and Professionals in the Dementia Treatment and Care Setting: The eHealthMonitor Dementia Portal", "type" : "article-journal", "volume" : "5" }, "uris" : [ "http://www.mendeley.com/documents/?uuid=e531a0b5-47a0-4c8a-93bf-d4ff53afa689" ] } ], "mendeley" : { "formattedCitation" : "&lt;sup&gt;159,184&lt;/sup&gt;", "plainTextFormattedCitation" : "159,184", "previouslyFormattedCitation" : "&lt;sup&gt;159,184&lt;/sup&gt;" }, "properties" : { "noteIndex" : 0 }, "schema" : "https://github.com/citation-style-language/schema/raw/master/csl-citation.json" }</w:instrText>
            </w:r>
            <w:r w:rsidRPr="00815AF3">
              <w:rPr>
                <w:rFonts w:eastAsia="Times New Roman"/>
                <w:color w:val="000000"/>
                <w:sz w:val="22"/>
                <w:szCs w:val="22"/>
                <w:vertAlign w:val="superscript"/>
              </w:rPr>
              <w:fldChar w:fldCharType="separate"/>
            </w:r>
            <w:r w:rsidRPr="00D232B0">
              <w:rPr>
                <w:rFonts w:eastAsia="Times New Roman"/>
                <w:noProof/>
                <w:color w:val="000000"/>
                <w:sz w:val="22"/>
                <w:szCs w:val="22"/>
                <w:vertAlign w:val="superscript"/>
              </w:rPr>
              <w:t>159,184</w:t>
            </w:r>
            <w:r w:rsidRPr="00815AF3">
              <w:rPr>
                <w:rFonts w:eastAsia="Times New Roman"/>
                <w:color w:val="000000"/>
                <w:sz w:val="22"/>
                <w:szCs w:val="22"/>
              </w:rPr>
              <w:fldChar w:fldCharType="end"/>
            </w:r>
          </w:p>
        </w:tc>
        <w:tc>
          <w:tcPr>
            <w:tcW w:w="15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152FED82"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Before/after</w:t>
            </w:r>
          </w:p>
        </w:tc>
        <w:tc>
          <w:tcPr>
            <w:tcW w:w="223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6AB75FE7"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e health portal</w:t>
            </w:r>
          </w:p>
        </w:tc>
        <w:tc>
          <w:tcPr>
            <w:tcW w:w="2526"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17E70C4B"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Family caregivers</w:t>
            </w:r>
          </w:p>
        </w:tc>
        <w:tc>
          <w:tcPr>
            <w:tcW w:w="1693"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15CF57E4"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Memory clinic in secondary care</w:t>
            </w:r>
          </w:p>
        </w:tc>
        <w:tc>
          <w:tcPr>
            <w:tcW w:w="2584"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E6B739C"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Pt/carer views or preferences</w:t>
            </w:r>
          </w:p>
        </w:tc>
      </w:tr>
      <w:tr w:rsidR="002421FE" w:rsidRPr="00815AF3" w14:paraId="53D1F60C" w14:textId="77777777" w:rsidTr="00FB1DFE">
        <w:trPr>
          <w:trHeight w:val="300"/>
        </w:trPr>
        <w:tc>
          <w:tcPr>
            <w:tcW w:w="1750" w:type="dxa"/>
            <w:tcBorders>
              <w:top w:val="single" w:sz="4" w:space="0" w:color="auto"/>
              <w:left w:val="single" w:sz="4" w:space="0" w:color="auto"/>
              <w:bottom w:val="single" w:sz="4" w:space="0" w:color="auto"/>
              <w:right w:val="single" w:sz="4" w:space="0" w:color="auto"/>
            </w:tcBorders>
            <w:shd w:val="clear" w:color="000000" w:fill="FFFFFF"/>
            <w:vAlign w:val="bottom"/>
          </w:tcPr>
          <w:p w14:paraId="0B0FF16E" w14:textId="77777777" w:rsidR="002421FE" w:rsidRPr="00815AF3" w:rsidRDefault="002421FE" w:rsidP="00FB1DFE">
            <w:pPr>
              <w:spacing w:after="0"/>
              <w:rPr>
                <w:rFonts w:eastAsia="Times New Roman"/>
                <w:color w:val="000000"/>
                <w:sz w:val="22"/>
                <w:szCs w:val="22"/>
              </w:rPr>
            </w:pPr>
            <w:r w:rsidRPr="00815AF3">
              <w:rPr>
                <w:rFonts w:eastAsia="Times New Roman"/>
                <w:b/>
                <w:bCs/>
                <w:color w:val="000000"/>
                <w:sz w:val="22"/>
                <w:szCs w:val="22"/>
              </w:rPr>
              <w:lastRenderedPageBreak/>
              <w:t>Author and year</w:t>
            </w:r>
          </w:p>
        </w:tc>
        <w:tc>
          <w:tcPr>
            <w:tcW w:w="1597" w:type="dxa"/>
            <w:tcBorders>
              <w:top w:val="single" w:sz="4" w:space="0" w:color="auto"/>
              <w:left w:val="single" w:sz="4" w:space="0" w:color="auto"/>
              <w:bottom w:val="single" w:sz="4" w:space="0" w:color="auto"/>
              <w:right w:val="single" w:sz="4" w:space="0" w:color="auto"/>
            </w:tcBorders>
            <w:shd w:val="clear" w:color="000000" w:fill="FFFFFF"/>
            <w:vAlign w:val="bottom"/>
          </w:tcPr>
          <w:p w14:paraId="7DADBAB6" w14:textId="77777777" w:rsidR="002421FE" w:rsidRPr="00815AF3" w:rsidRDefault="002421FE" w:rsidP="00FB1DFE">
            <w:pPr>
              <w:spacing w:after="0"/>
              <w:rPr>
                <w:rFonts w:eastAsia="Times New Roman"/>
                <w:color w:val="000000"/>
                <w:sz w:val="22"/>
                <w:szCs w:val="22"/>
              </w:rPr>
            </w:pPr>
            <w:r w:rsidRPr="00815AF3">
              <w:rPr>
                <w:rFonts w:eastAsia="Times New Roman"/>
                <w:b/>
                <w:bCs/>
                <w:color w:val="000000"/>
                <w:sz w:val="22"/>
                <w:szCs w:val="22"/>
              </w:rPr>
              <w:t>If research give type</w:t>
            </w:r>
          </w:p>
        </w:tc>
        <w:tc>
          <w:tcPr>
            <w:tcW w:w="2230" w:type="dxa"/>
            <w:tcBorders>
              <w:top w:val="single" w:sz="4" w:space="0" w:color="auto"/>
              <w:left w:val="single" w:sz="4" w:space="0" w:color="auto"/>
              <w:bottom w:val="single" w:sz="4" w:space="0" w:color="auto"/>
              <w:right w:val="single" w:sz="4" w:space="0" w:color="auto"/>
            </w:tcBorders>
            <w:shd w:val="clear" w:color="000000" w:fill="FFFFFF"/>
            <w:vAlign w:val="bottom"/>
          </w:tcPr>
          <w:p w14:paraId="0CE0C956" w14:textId="77777777" w:rsidR="002421FE" w:rsidRPr="00815AF3" w:rsidRDefault="002421FE" w:rsidP="00FB1DFE">
            <w:pPr>
              <w:spacing w:after="0"/>
              <w:rPr>
                <w:rFonts w:eastAsia="Times New Roman"/>
                <w:color w:val="000000"/>
                <w:sz w:val="22"/>
                <w:szCs w:val="22"/>
              </w:rPr>
            </w:pPr>
            <w:r w:rsidRPr="00815AF3">
              <w:rPr>
                <w:rFonts w:eastAsia="Times New Roman"/>
                <w:b/>
                <w:bCs/>
                <w:color w:val="000000"/>
                <w:sz w:val="22"/>
                <w:szCs w:val="22"/>
              </w:rPr>
              <w:t>Description of intervention</w:t>
            </w:r>
          </w:p>
        </w:tc>
        <w:tc>
          <w:tcPr>
            <w:tcW w:w="2526" w:type="dxa"/>
            <w:tcBorders>
              <w:top w:val="single" w:sz="4" w:space="0" w:color="auto"/>
              <w:left w:val="single" w:sz="4" w:space="0" w:color="auto"/>
              <w:bottom w:val="single" w:sz="4" w:space="0" w:color="auto"/>
              <w:right w:val="single" w:sz="4" w:space="0" w:color="auto"/>
            </w:tcBorders>
            <w:shd w:val="clear" w:color="000000" w:fill="FFFFFF"/>
            <w:vAlign w:val="bottom"/>
          </w:tcPr>
          <w:p w14:paraId="2698AD67" w14:textId="77777777" w:rsidR="002421FE" w:rsidRPr="00815AF3" w:rsidRDefault="002421FE" w:rsidP="00FB1DFE">
            <w:pPr>
              <w:spacing w:after="0"/>
              <w:rPr>
                <w:rFonts w:eastAsia="Times New Roman"/>
                <w:color w:val="000000"/>
                <w:sz w:val="22"/>
                <w:szCs w:val="22"/>
              </w:rPr>
            </w:pPr>
            <w:r w:rsidRPr="00815AF3">
              <w:rPr>
                <w:rFonts w:eastAsia="Times New Roman"/>
                <w:b/>
                <w:bCs/>
                <w:color w:val="000000"/>
                <w:sz w:val="22"/>
                <w:szCs w:val="22"/>
              </w:rPr>
              <w:t>Participants</w:t>
            </w:r>
          </w:p>
        </w:tc>
        <w:tc>
          <w:tcPr>
            <w:tcW w:w="1693" w:type="dxa"/>
            <w:tcBorders>
              <w:top w:val="single" w:sz="4" w:space="0" w:color="auto"/>
              <w:left w:val="single" w:sz="4" w:space="0" w:color="auto"/>
              <w:bottom w:val="single" w:sz="4" w:space="0" w:color="auto"/>
              <w:right w:val="single" w:sz="4" w:space="0" w:color="auto"/>
            </w:tcBorders>
            <w:shd w:val="clear" w:color="000000" w:fill="FFFFFF"/>
            <w:vAlign w:val="bottom"/>
          </w:tcPr>
          <w:p w14:paraId="4A4114FF" w14:textId="77777777" w:rsidR="002421FE" w:rsidRPr="00815AF3" w:rsidRDefault="002421FE" w:rsidP="00FB1DFE">
            <w:pPr>
              <w:spacing w:after="0"/>
              <w:rPr>
                <w:rFonts w:eastAsia="Times New Roman"/>
                <w:color w:val="000000"/>
                <w:sz w:val="22"/>
                <w:szCs w:val="22"/>
              </w:rPr>
            </w:pPr>
            <w:r w:rsidRPr="00815AF3">
              <w:rPr>
                <w:rFonts w:eastAsia="Times New Roman"/>
                <w:b/>
                <w:bCs/>
                <w:color w:val="000000"/>
                <w:sz w:val="22"/>
                <w:szCs w:val="22"/>
              </w:rPr>
              <w:t>Setting</w:t>
            </w:r>
          </w:p>
        </w:tc>
        <w:tc>
          <w:tcPr>
            <w:tcW w:w="2584" w:type="dxa"/>
            <w:tcBorders>
              <w:top w:val="single" w:sz="4" w:space="0" w:color="auto"/>
              <w:left w:val="single" w:sz="4" w:space="0" w:color="auto"/>
              <w:bottom w:val="single" w:sz="4" w:space="0" w:color="auto"/>
              <w:right w:val="single" w:sz="4" w:space="0" w:color="auto"/>
            </w:tcBorders>
            <w:shd w:val="clear" w:color="000000" w:fill="FFFFFF"/>
            <w:vAlign w:val="bottom"/>
          </w:tcPr>
          <w:p w14:paraId="3DCF468A" w14:textId="77777777" w:rsidR="002421FE" w:rsidRPr="00815AF3" w:rsidRDefault="002421FE" w:rsidP="00FB1DFE">
            <w:pPr>
              <w:spacing w:after="0"/>
              <w:rPr>
                <w:rFonts w:eastAsia="Times New Roman"/>
                <w:color w:val="000000"/>
                <w:sz w:val="22"/>
                <w:szCs w:val="22"/>
              </w:rPr>
            </w:pPr>
            <w:proofErr w:type="gramStart"/>
            <w:r w:rsidRPr="00815AF3">
              <w:rPr>
                <w:rFonts w:eastAsia="Times New Roman"/>
                <w:b/>
                <w:bCs/>
                <w:color w:val="000000"/>
                <w:sz w:val="22"/>
                <w:szCs w:val="22"/>
              </w:rPr>
              <w:t>Main focus</w:t>
            </w:r>
            <w:proofErr w:type="gramEnd"/>
          </w:p>
        </w:tc>
      </w:tr>
      <w:tr w:rsidR="002421FE" w:rsidRPr="00815AF3" w14:paraId="1F3398DA" w14:textId="77777777" w:rsidTr="00FB1DFE">
        <w:trPr>
          <w:trHeight w:val="300"/>
        </w:trPr>
        <w:tc>
          <w:tcPr>
            <w:tcW w:w="175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38D90300" w14:textId="77777777" w:rsidR="002421FE" w:rsidRPr="00815AF3" w:rsidRDefault="002421FE" w:rsidP="00FB1DFE">
            <w:pPr>
              <w:spacing w:after="0"/>
              <w:rPr>
                <w:rFonts w:eastAsia="Times New Roman"/>
                <w:color w:val="000000"/>
                <w:sz w:val="22"/>
                <w:szCs w:val="22"/>
              </w:rPr>
            </w:pPr>
            <w:proofErr w:type="spellStart"/>
            <w:r w:rsidRPr="00815AF3">
              <w:rPr>
                <w:rFonts w:eastAsia="Times New Roman"/>
                <w:color w:val="000000"/>
                <w:sz w:val="22"/>
                <w:szCs w:val="22"/>
              </w:rPr>
              <w:t>Schuling</w:t>
            </w:r>
            <w:proofErr w:type="spellEnd"/>
            <w:r w:rsidRPr="00815AF3">
              <w:rPr>
                <w:rFonts w:eastAsia="Times New Roman"/>
                <w:color w:val="000000"/>
                <w:sz w:val="22"/>
                <w:szCs w:val="22"/>
              </w:rPr>
              <w:t xml:space="preserve"> et al 2012 </w:t>
            </w:r>
            <w:r w:rsidRPr="00815AF3">
              <w:rPr>
                <w:rFonts w:eastAsia="Times New Roman"/>
                <w:color w:val="000000"/>
                <w:sz w:val="22"/>
                <w:szCs w:val="22"/>
              </w:rPr>
              <w:fldChar w:fldCharType="begin" w:fldLock="1"/>
            </w:r>
            <w:r>
              <w:rPr>
                <w:rFonts w:eastAsia="Times New Roman"/>
                <w:color w:val="000000"/>
                <w:sz w:val="22"/>
                <w:szCs w:val="22"/>
              </w:rPr>
              <w:instrText>ADDIN CSL_CITATION { "citationItems" : [ { "id" : "ITEM-1", "itemData" : { "DOI" : "10.1186/1471-2296-13-56", "ISSN" : "1471-2296 (Electronic)", "PMID" : "22697490", "abstract" : "BACKGROUND: Elderly patients with multimorbidity who are treated according to guidelines use a large number of drugs. This number of drugs increases the risk of adverse drug events (ADEs). Stopping medication may relieve these effects, and thereby improve the patient's wellbeing. To facilitate management of polypharmacy expert-driven instruments have been developed, sofar with little effect on the patient's quality of life. Recently, much attention has been paid to shared decision-making in general practice, mainly focusing on patient preferences. This study explores how experienced GPs feel about deprescribing medication in older patients with multimorbidity and to what extent they involve patients in these decisions. METHODS: Focusgroups of GPs were used to develop a conceptual framework for understanding and categorizing the GP's view on the subject. Audiotapes were transcribed verbatim and studied by the first and second author. They selected independently relevant textfragments. In a next step they labeled these fragments and sorted them. From these labelled and sorted fragments central themes were extracted. RESULTS: GPs discern symptomatic medication and preventive medication; deprescribing the latter category is seen as more difficult by the GPs due to lack of benefit/risk information for these patients.Factors influencing GPs'deprescribing were beliefs concerning patients (patients have no problem with polypharmacy; patients may interpret a proposal to stop preventive medication as a sign of having been given up on; and confronting the patient with a discussion of life expectancy vs quality of life is 'not done'), guidelines for treatment (GPs feel compelled to prescribe by the present guidelines) and organization of healthcare (collaboration with prescribing medical specialists and dispensing pharmacists. CONCLUSIONS: The GPs' beliefs concerning elderly patients are a barrier to explore patient preferences when reviewing preventive medication. GPs would welcome decision support when dealing with several guidelines for one patient. Explicit rules for collaborating with medical specialists in this field are required. Training in shared decision making could help GPs to elicit patient preferences.", "author" : [ { "dropping-particle" : "", "family" : "Schuling", "given" : "Jan", "non-dropping-particle" : "", "parse-names" : false, "suffix" : "" }, { "dropping-particle" : "", "family" : "Gebben", "given" : "Henkjan", "non-dropping-particle" : "", "parse-names" : false, "suffix" : "" }, { "dropping-particle" : "", "family" : "Veehof", "given" : "Leonardus Johannes Gerardus", "non-dropping-particle" : "", "parse-names" : false, "suffix" : "" }, { "dropping-particle" : "", "family" : "Haaijer-Ruskamp", "given" : "Flora Marcia", "non-dropping-particle" : "", "parse-names" : false, "suffix" : "" } ], "container-title" : "BMC family practice", "id" : "ITEM-1", "issued" : { "date-parts" : [ [ "2012", "7" ] ] }, "language" : "eng", "page" : "56", "publisher-place" : "England", "title" : "Deprescribing medication in very elderly patients with multimorbidity: the view of Dutch GPs. A qualitative study.", "type" : "article-journal", "volume" : "13" }, "uris" : [ "http://www.mendeley.com/documents/?uuid=8f1c880c-b35e-4ba2-b5af-880380685e97" ] } ], "mendeley" : { "formattedCitation" : "&lt;sup&gt;163&lt;/sup&gt;", "plainTextFormattedCitation" : "163", "previouslyFormattedCitation" : "&lt;sup&gt;163&lt;/sup&gt;" }, "properties" : { "noteIndex" : 0 }, "schema" : "https://github.com/citation-style-language/schema/raw/master/csl-citation.json" }</w:instrText>
            </w:r>
            <w:r w:rsidRPr="00815AF3">
              <w:rPr>
                <w:rFonts w:eastAsia="Times New Roman"/>
                <w:color w:val="000000"/>
                <w:sz w:val="22"/>
                <w:szCs w:val="22"/>
                <w:vertAlign w:val="superscript"/>
              </w:rPr>
              <w:fldChar w:fldCharType="separate"/>
            </w:r>
            <w:r w:rsidRPr="00D232B0">
              <w:rPr>
                <w:rFonts w:eastAsia="Times New Roman"/>
                <w:noProof/>
                <w:color w:val="000000"/>
                <w:sz w:val="22"/>
                <w:szCs w:val="22"/>
                <w:vertAlign w:val="superscript"/>
              </w:rPr>
              <w:t>163</w:t>
            </w:r>
            <w:r w:rsidRPr="00815AF3">
              <w:rPr>
                <w:rFonts w:eastAsia="Times New Roman"/>
                <w:color w:val="000000"/>
                <w:sz w:val="22"/>
                <w:szCs w:val="22"/>
              </w:rPr>
              <w:fldChar w:fldCharType="end"/>
            </w:r>
          </w:p>
        </w:tc>
        <w:tc>
          <w:tcPr>
            <w:tcW w:w="15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7854EC44"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Qualitative</w:t>
            </w:r>
          </w:p>
        </w:tc>
        <w:tc>
          <w:tcPr>
            <w:tcW w:w="223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6CF8E1AA"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NA</w:t>
            </w:r>
          </w:p>
        </w:tc>
        <w:tc>
          <w:tcPr>
            <w:tcW w:w="2526"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22F6256E"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HCPs</w:t>
            </w:r>
          </w:p>
        </w:tc>
        <w:tc>
          <w:tcPr>
            <w:tcW w:w="1693"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5806AB60"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Primary care</w:t>
            </w:r>
          </w:p>
        </w:tc>
        <w:tc>
          <w:tcPr>
            <w:tcW w:w="2584"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12E9677B"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Patient engagement</w:t>
            </w:r>
          </w:p>
        </w:tc>
      </w:tr>
      <w:tr w:rsidR="002421FE" w:rsidRPr="00815AF3" w14:paraId="23111289" w14:textId="77777777" w:rsidTr="00FB1DFE">
        <w:trPr>
          <w:trHeight w:val="300"/>
        </w:trPr>
        <w:tc>
          <w:tcPr>
            <w:tcW w:w="175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197B9B65"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 xml:space="preserve">Shay 2014 </w:t>
            </w:r>
            <w:r w:rsidRPr="00815AF3">
              <w:rPr>
                <w:rFonts w:eastAsia="Times New Roman"/>
                <w:color w:val="000000"/>
                <w:sz w:val="22"/>
                <w:szCs w:val="22"/>
              </w:rPr>
              <w:fldChar w:fldCharType="begin" w:fldLock="1"/>
            </w:r>
            <w:r>
              <w:rPr>
                <w:rFonts w:eastAsia="Times New Roman"/>
                <w:color w:val="000000"/>
                <w:sz w:val="22"/>
                <w:szCs w:val="22"/>
              </w:rPr>
              <w:instrText>ADDIN CSL_CITATION { "citationItems" : [ { "id" : "ITEM-1", "itemData" : { "DOI" : "10.1016/j.pec.2014.07.017", "abstract" : "Objective: This study aims to develop a conceptual model of patient-defined SDM, and understand what leads patients to label a specific, decision-making process as shared. Methods: Qualitative interviews were conducted with 23 primary care patients following a recent appointment. Patients were asked about the meaning of SDM and about specific decisions that they labeled as shared. Interviews were coded using qualitative content analysis. Results: Patients' conceptual definition of SDM included four components of an interactive exchange prior to making the decision: both doctor and patient share information, both are open-minded and respectful, patient self-advocacy, and a personalized physician recommendation. Additionally, a long-term trusting relationship helps foster SDM. In contrast, when asked about a specific decision labeled as shared, patients described a range of interactions with the only commonality being that the two parties came to a mutually agreed-upon decision. Conclusion: There is no one-size-fits all process that leads patients to label a decision as shared. Rather, the outcome of \"agreement\" may be more important than the actual decision-making process for patients to label a decision as shared. Practice implications: Studies are needed to better understand how longitudinal communication between patient and physicians and patient self-advocacy behaviors affect patient perceptions of SDM. \u00a9 2014.", "author" : [ { "dropping-particle" : "", "family" : "Shay", "given" : "L A", "non-dropping-particle" : "", "parse-names" : false, "suffix" : "" }, { "dropping-particle" : "", "family" : "Lafata", "given" : "J E", "non-dropping-particle" : "", "parse-names" : false, "suffix" : "" } ], "container-title" : "Patient Educ Couns", "id" : "ITEM-1", "issue" : "3", "issued" : { "date-parts" : [ [ "2014" ] ] }, "note" : "Cited By :8\nExport Date: 12 December 2016", "page" : "295-301", "title" : "Understanding patient perceptions of shared decision making", "type" : "article-journal", "volume" : "96" }, "uris" : [ "http://www.mendeley.com/documents/?uuid=8d32d0e7-41de-4c39-81dd-6430f819d306" ] } ], "mendeley" : { "formattedCitation" : "&lt;sup&gt;161&lt;/sup&gt;", "plainTextFormattedCitation" : "161", "previouslyFormattedCitation" : "&lt;sup&gt;161&lt;/sup&gt;" }, "properties" : { "noteIndex" : 0 }, "schema" : "https://github.com/citation-style-language/schema/raw/master/csl-citation.json" }</w:instrText>
            </w:r>
            <w:r w:rsidRPr="00815AF3">
              <w:rPr>
                <w:rFonts w:eastAsia="Times New Roman"/>
                <w:color w:val="000000"/>
                <w:sz w:val="22"/>
                <w:szCs w:val="22"/>
                <w:vertAlign w:val="superscript"/>
              </w:rPr>
              <w:fldChar w:fldCharType="separate"/>
            </w:r>
            <w:r w:rsidRPr="00D232B0">
              <w:rPr>
                <w:rFonts w:eastAsia="Times New Roman"/>
                <w:noProof/>
                <w:color w:val="000000"/>
                <w:sz w:val="22"/>
                <w:szCs w:val="22"/>
                <w:vertAlign w:val="superscript"/>
              </w:rPr>
              <w:t>161</w:t>
            </w:r>
            <w:r w:rsidRPr="00815AF3">
              <w:rPr>
                <w:rFonts w:eastAsia="Times New Roman"/>
                <w:color w:val="000000"/>
                <w:sz w:val="22"/>
                <w:szCs w:val="22"/>
              </w:rPr>
              <w:fldChar w:fldCharType="end"/>
            </w:r>
          </w:p>
        </w:tc>
        <w:tc>
          <w:tcPr>
            <w:tcW w:w="15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36052E02"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Qualitative</w:t>
            </w:r>
          </w:p>
        </w:tc>
        <w:tc>
          <w:tcPr>
            <w:tcW w:w="223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7FC2E507"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NA</w:t>
            </w:r>
          </w:p>
        </w:tc>
        <w:tc>
          <w:tcPr>
            <w:tcW w:w="2526"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72D949BB"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General population</w:t>
            </w:r>
          </w:p>
        </w:tc>
        <w:tc>
          <w:tcPr>
            <w:tcW w:w="1693"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14EE8572"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Community</w:t>
            </w:r>
          </w:p>
        </w:tc>
        <w:tc>
          <w:tcPr>
            <w:tcW w:w="2584"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1D82194B"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 xml:space="preserve">Identifying </w:t>
            </w:r>
            <w:proofErr w:type="spellStart"/>
            <w:r w:rsidRPr="00815AF3">
              <w:rPr>
                <w:rFonts w:eastAsia="Times New Roman"/>
                <w:color w:val="000000"/>
                <w:sz w:val="22"/>
                <w:szCs w:val="22"/>
              </w:rPr>
              <w:t>pt</w:t>
            </w:r>
            <w:proofErr w:type="spellEnd"/>
            <w:r w:rsidRPr="00815AF3">
              <w:rPr>
                <w:rFonts w:eastAsia="Times New Roman"/>
                <w:color w:val="000000"/>
                <w:sz w:val="22"/>
                <w:szCs w:val="22"/>
              </w:rPr>
              <w:t xml:space="preserve"> goals</w:t>
            </w:r>
          </w:p>
        </w:tc>
      </w:tr>
      <w:tr w:rsidR="002421FE" w:rsidRPr="00815AF3" w14:paraId="1F644E61" w14:textId="77777777" w:rsidTr="00FB1DFE">
        <w:trPr>
          <w:trHeight w:val="780"/>
        </w:trPr>
        <w:tc>
          <w:tcPr>
            <w:tcW w:w="175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6100E5C3"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 xml:space="preserve">Sheaff 2017 </w:t>
            </w:r>
            <w:r w:rsidRPr="00815AF3">
              <w:rPr>
                <w:rFonts w:eastAsia="Times New Roman"/>
                <w:color w:val="000000"/>
                <w:sz w:val="22"/>
                <w:szCs w:val="22"/>
              </w:rPr>
              <w:fldChar w:fldCharType="begin" w:fldLock="1"/>
            </w:r>
            <w:r>
              <w:rPr>
                <w:rFonts w:eastAsia="Times New Roman"/>
                <w:color w:val="000000"/>
                <w:sz w:val="22"/>
                <w:szCs w:val="22"/>
              </w:rPr>
              <w:instrText>ADDIN CSL_CITATION { "citationItems" : [ { "id" : "ITEM-1", "itemData" : { "DOI" : "10.1111/1467-9566.12553", "ISSN" : "01419889", "PMID" : "28349619", "author" : [ { "dropping-particle" : "", "family" : "Sheaff", "given" : "Rod", "non-dropping-particle" : "", "parse-names" : false, "suffix" : "" }, { "dropping-particle" : "", "family" : "Halliday", "given" : "Joyce", "non-dropping-particle" : "", "parse-names" : false, "suffix" : "" }, { "dropping-particle" : "", "family" : "Byng", "given" : "Richard", "non-dropping-particle" : "", "parse-names" : false, "suffix" : "" }, { "dropping-particle" : "", "family" : "\u00d8vretveit", "given" : "John", "non-dropping-particle" : "", "parse-names" : false, "suffix" : "" }, { "dropping-particle" : "", "family" : "Exworthy", "given" : "Mark", "non-dropping-particle" : "", "parse-names" : false, "suffix" : "" }, { "dropping-particle" : "", "family" : "Peckham", "given" : "Stephen", "non-dropping-particle" : "", "parse-names" : false, "suffix" : "" }, { "dropping-particle" : "", "family" : "Asthana", "given" : "Sheena", "non-dropping-particle" : "", "parse-names" : false, "suffix" : "" } ], "container-title" : "Sociology of Health &amp; Illness", "id" : "ITEM-1", "issue" : "xx", "issued" : { "date-parts" : [ [ "2017" ] ] }, "page" : "1-16", "title" : "Bridging the discursive gap between lay and medical discourse in care coordination", "type" : "article-journal", "volume" : "xx" }, "uris" : [ "http://www.mendeley.com/documents/?uuid=0bb4d12d-cc9d-4b8e-861b-68da28dddfa7" ] } ], "mendeley" : { "formattedCitation" : "&lt;sup&gt;162&lt;/sup&gt;", "plainTextFormattedCitation" : "162", "previouslyFormattedCitation" : "&lt;sup&gt;162&lt;/sup&gt;" }, "properties" : { "noteIndex" : 0 }, "schema" : "https://github.com/citation-style-language/schema/raw/master/csl-citation.json" }</w:instrText>
            </w:r>
            <w:r w:rsidRPr="00815AF3">
              <w:rPr>
                <w:rFonts w:eastAsia="Times New Roman"/>
                <w:color w:val="000000"/>
                <w:sz w:val="22"/>
                <w:szCs w:val="22"/>
                <w:vertAlign w:val="superscript"/>
              </w:rPr>
              <w:fldChar w:fldCharType="separate"/>
            </w:r>
            <w:r w:rsidRPr="00D232B0">
              <w:rPr>
                <w:rFonts w:eastAsia="Times New Roman"/>
                <w:noProof/>
                <w:color w:val="000000"/>
                <w:sz w:val="22"/>
                <w:szCs w:val="22"/>
                <w:vertAlign w:val="superscript"/>
              </w:rPr>
              <w:t>162</w:t>
            </w:r>
            <w:r w:rsidRPr="00815AF3">
              <w:rPr>
                <w:rFonts w:eastAsia="Times New Roman"/>
                <w:color w:val="000000"/>
                <w:sz w:val="22"/>
                <w:szCs w:val="22"/>
              </w:rPr>
              <w:fldChar w:fldCharType="end"/>
            </w:r>
          </w:p>
        </w:tc>
        <w:tc>
          <w:tcPr>
            <w:tcW w:w="15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7A7B5B6E"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Qualitative</w:t>
            </w:r>
          </w:p>
        </w:tc>
        <w:tc>
          <w:tcPr>
            <w:tcW w:w="223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696F72E2"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NA</w:t>
            </w:r>
          </w:p>
        </w:tc>
        <w:tc>
          <w:tcPr>
            <w:tcW w:w="2526"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739745E7"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People aged &gt;=65, with at least two LT health conditions</w:t>
            </w:r>
          </w:p>
        </w:tc>
        <w:tc>
          <w:tcPr>
            <w:tcW w:w="1693"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0D61AE26"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Primary care</w:t>
            </w:r>
          </w:p>
        </w:tc>
        <w:tc>
          <w:tcPr>
            <w:tcW w:w="2584"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7762ABC3"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Patient electronic records and PCC</w:t>
            </w:r>
          </w:p>
        </w:tc>
      </w:tr>
      <w:tr w:rsidR="002421FE" w:rsidRPr="00815AF3" w14:paraId="501A2889" w14:textId="77777777" w:rsidTr="00FB1DFE">
        <w:trPr>
          <w:trHeight w:val="525"/>
        </w:trPr>
        <w:tc>
          <w:tcPr>
            <w:tcW w:w="175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661FA080" w14:textId="77777777" w:rsidR="002421FE" w:rsidRPr="00815AF3" w:rsidRDefault="002421FE" w:rsidP="00FB1DFE">
            <w:pPr>
              <w:spacing w:after="0"/>
              <w:rPr>
                <w:rFonts w:eastAsia="Times New Roman"/>
                <w:color w:val="000000"/>
                <w:sz w:val="22"/>
                <w:szCs w:val="22"/>
              </w:rPr>
            </w:pPr>
            <w:proofErr w:type="spellStart"/>
            <w:r w:rsidRPr="00815AF3">
              <w:rPr>
                <w:rFonts w:eastAsia="Times New Roman"/>
                <w:color w:val="000000"/>
                <w:sz w:val="22"/>
                <w:szCs w:val="22"/>
              </w:rPr>
              <w:t>Tietbohl</w:t>
            </w:r>
            <w:proofErr w:type="spellEnd"/>
            <w:r w:rsidRPr="00815AF3">
              <w:rPr>
                <w:rFonts w:eastAsia="Times New Roman"/>
                <w:color w:val="000000"/>
                <w:sz w:val="22"/>
                <w:szCs w:val="22"/>
              </w:rPr>
              <w:t xml:space="preserve"> 2015 </w:t>
            </w:r>
            <w:r>
              <w:rPr>
                <w:rFonts w:eastAsia="Times New Roman"/>
                <w:color w:val="000000"/>
                <w:sz w:val="22"/>
                <w:szCs w:val="22"/>
              </w:rPr>
              <w:fldChar w:fldCharType="begin" w:fldLock="1"/>
            </w:r>
            <w:r>
              <w:rPr>
                <w:rFonts w:eastAsia="Times New Roman"/>
                <w:color w:val="000000"/>
                <w:sz w:val="22"/>
                <w:szCs w:val="22"/>
              </w:rPr>
              <w:instrText>ADDIN CSL_CITATION { "citationItems" : [ { "id" : "ITEM-1", "itemData" : { "DOI" : "10.1177/0272989X15602886", "ISSN" : "1552-681X (Electronic)", "PMID" : "26314727", "abstract" : "BACKGROUND: The benefits of patient decision support interventions (DESIs) have been well documented. However, DESIs remain difficult to incorporate into clinical practice. Relational coordination (RC) has been shown to improve performance and quality of care in health care settings. This study aims to demonstrate how applying RC theory to DESI implementation could elucidate underlying issues limiting widespread uptake. METHODS: Five primary care clinics in Northern California participated in a DESI implementation project. We used a deductive thematic approach guided by behaviors outlined in RC theory to analyze qualitative data collected from ethnographic field notes documenting the implementation process and focus groups with health care professionals. We then systematically compared the qualitative findings with quantitative DESI distribution data. RESULTS: Based on DESI distribution rates, clinics were placed into 3 performance categories: high, middle, and low. Qualitative data illustrated how each clinic's performance related to RC behaviors. Consistent with RC theory, the high-performing clinic exhibited frequent, timely, and accurate communication and positive working relationships. The 3 middle-performing clinics exhibited high-quality communication within physician-staff teams but limited communication regarding DESI implementation across the clinic. The lowest-performing clinic was characterized by contentious relationships and inadequate communication. LIMITATIONS: Limitations of the study include nonrandom selection of clinics and limited geographic diversity. In addition, ethnographic data collected documented only DESI implementation practices and not larger staff interactions contributing to RC. CONCLUSIONS: These findings suggest that a high level of RC within clinical settings may be a key component and facilitator of successful DESI implementation. Future attempts to integrate DESIs into clinical practice should consider incorporating interventions designed to increase positive RC behaviors as a potential means to improve uptake.", "author" : [ { "dropping-particle" : "", "family" : "Tietbohl", "given" : "Caroline K", "non-dropping-particle" : "", "parse-names" : false, "suffix" : "" }, { "dropping-particle" : "", "family" : "Rendle", "given" : "Katharine A S", "non-dropping-particle" : "", "parse-names" : false, "suffix" : "" }, { "dropping-particle" : "", "family" : "Halley", "given" : "Meghan C", "non-dropping-particle" : "", "parse-names" : false, "suffix" : "" }, { "dropping-particle" : "", "family" : "May", "given" : "Suepattra G", "non-dropping-particle" : "", "parse-names" : false, "suffix" : "" }, { "dropping-particle" : "", "family" : "Lin", "given" : "Grace A", "non-dropping-particle" : "", "parse-names" : false, "suffix" : "" }, { "dropping-particle" : "", "family" : "Frosch", "given" : "Dominick L", "non-dropping-particle" : "", "parse-names" : false, "suffix" : "" } ], "container-title" : "Medical decision making : an international journal of the Society for Medical Decision Making", "id" : "ITEM-1", "issue" : "8", "issued" : { "date-parts" : [ [ "2015", "11" ] ] }, "language" : "eng", "page" : "987-998", "publisher-place" : "United States", "title" : "Implementation of Patient Decision Support Interventions in Primary Care: The Role of Relational Coordination.", "type" : "article-journal", "volume" : "35" }, "uris" : [ "http://www.mendeley.com/documents/?uuid=b6d18bae-c99f-4ea5-86b7-bf6f070b7a34" ] } ], "mendeley" : { "formattedCitation" : "&lt;sup&gt;167&lt;/sup&gt;", "plainTextFormattedCitation" : "167", "previouslyFormattedCitation" : "&lt;sup&gt;167&lt;/sup&gt;" }, "properties" : { "noteIndex" : 0 }, "schema" : "https://github.com/citation-style-language/schema/raw/master/csl-citation.json" }</w:instrText>
            </w:r>
            <w:r>
              <w:rPr>
                <w:rFonts w:eastAsia="Times New Roman"/>
                <w:color w:val="000000"/>
                <w:sz w:val="22"/>
                <w:szCs w:val="22"/>
              </w:rPr>
              <w:fldChar w:fldCharType="separate"/>
            </w:r>
            <w:r w:rsidRPr="00D232B0">
              <w:rPr>
                <w:rFonts w:eastAsia="Times New Roman"/>
                <w:noProof/>
                <w:color w:val="000000"/>
                <w:sz w:val="22"/>
                <w:szCs w:val="22"/>
                <w:vertAlign w:val="superscript"/>
              </w:rPr>
              <w:t>167</w:t>
            </w:r>
            <w:r>
              <w:rPr>
                <w:rFonts w:eastAsia="Times New Roman"/>
                <w:color w:val="000000"/>
                <w:sz w:val="22"/>
                <w:szCs w:val="22"/>
              </w:rPr>
              <w:fldChar w:fldCharType="end"/>
            </w:r>
          </w:p>
        </w:tc>
        <w:tc>
          <w:tcPr>
            <w:tcW w:w="15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665D305B"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Qualitative</w:t>
            </w:r>
          </w:p>
        </w:tc>
        <w:tc>
          <w:tcPr>
            <w:tcW w:w="223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2014F571"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Decision support intervention</w:t>
            </w:r>
          </w:p>
        </w:tc>
        <w:tc>
          <w:tcPr>
            <w:tcW w:w="2526"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5F18B67B"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HCPs</w:t>
            </w:r>
          </w:p>
        </w:tc>
        <w:tc>
          <w:tcPr>
            <w:tcW w:w="1693"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521D82FF"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Community</w:t>
            </w:r>
          </w:p>
        </w:tc>
        <w:tc>
          <w:tcPr>
            <w:tcW w:w="2584"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51374335"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PDA</w:t>
            </w:r>
          </w:p>
        </w:tc>
      </w:tr>
      <w:tr w:rsidR="002421FE" w:rsidRPr="00815AF3" w14:paraId="1E77192B" w14:textId="77777777" w:rsidTr="00FB1DFE">
        <w:trPr>
          <w:trHeight w:val="525"/>
        </w:trPr>
        <w:tc>
          <w:tcPr>
            <w:tcW w:w="175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1691F945"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 xml:space="preserve">van </w:t>
            </w:r>
            <w:proofErr w:type="spellStart"/>
            <w:r w:rsidRPr="00815AF3">
              <w:rPr>
                <w:rFonts w:eastAsia="Times New Roman"/>
                <w:color w:val="000000"/>
                <w:sz w:val="22"/>
                <w:szCs w:val="22"/>
              </w:rPr>
              <w:t>Summeren</w:t>
            </w:r>
            <w:proofErr w:type="spellEnd"/>
            <w:r w:rsidRPr="00815AF3">
              <w:rPr>
                <w:rFonts w:eastAsia="Times New Roman"/>
                <w:color w:val="000000"/>
                <w:sz w:val="22"/>
                <w:szCs w:val="22"/>
              </w:rPr>
              <w:t xml:space="preserve"> 2016 </w:t>
            </w:r>
            <w:r w:rsidRPr="00815AF3">
              <w:rPr>
                <w:rFonts w:eastAsia="Times New Roman"/>
                <w:color w:val="000000"/>
                <w:sz w:val="22"/>
                <w:szCs w:val="22"/>
              </w:rPr>
              <w:fldChar w:fldCharType="begin" w:fldLock="1"/>
            </w:r>
            <w:r>
              <w:rPr>
                <w:rFonts w:eastAsia="Times New Roman"/>
                <w:color w:val="000000"/>
                <w:sz w:val="22"/>
                <w:szCs w:val="22"/>
              </w:rPr>
              <w:instrText>ADDIN CSL_CITATION { "citationItems" : [ { "id" : "ITEM-1", "itemData" : { "DOI" : "10.1111/jgs.14415", "ISSN" : "1532-5415 (Electronic)", "PMID" : "27612181", "abstract" : "OBJECTIVES: To explore an outcome prioritization tool (OPT) in eliciting individuals' preferred health outcomes (remaining alive, maintaining independence, reducing pain, reducing other symptoms) in the context of medication review in family practice. DESIGN: Cross-sectional pilot study with mixed-methods design. SETTING: Family practice. PARTICIPANTS: Multimorbid individuals (N = 60; aged &gt;/=69) with polypharmacy (&gt;/=5 chronic medications) derived from the practice lists of a purposive sample of 13 family physicians (FPs). MEASUREMENTS: Participants were asked to prioritize each health outcome according the trade-off principle, and FPs used this prioritization for medication review. The acceptability and practicality were measured using a questionnaire for FPs and participants and semistructured interviews with FPs. RESULTS: Ninety-two percent of participants found the OPT understandable, and 55% could easily prioritize between health outcomes. Working with the OPT (mean duration 31 minutes) was a new approach for FPs, but they became more adept at using it. For FPs, the OPT provides better understanding of their patients. Participants and FPs thought that there should be a specific reason to discuss preferences, such as (expected) decline in health status. CONCLUSION: The OPT appears to be promising in eliciting patient preferences but is not suitable for routine medication review at present. Further optimization before actual use is needed (e.g., knowledge in which clinical situations the OPT is useful). More information is needed on how individuals and their families perceive the tool.", "author" : [ { "dropping-particle" : "", "family" : "Summeren", "given" : "Jojanneke J G T", "non-dropping-particle" : "van", "parse-names" : false, "suffix" : "" }, { "dropping-particle" : "", "family" : "Haaijer-Ruskamp", "given" : "Flora M", "non-dropping-particle" : "", "parse-names" : false, "suffix" : "" }, { "dropping-particle" : "", "family" : "Schuling", "given" : "Jan", "non-dropping-particle" : "", "parse-names" : false, "suffix" : "" } ], "container-title" : "Journal of the American Geriatrics Society", "id" : "ITEM-1", "issue" : "11", "issued" : { "date-parts" : [ [ "2016", "11" ] ] }, "language" : "eng", "note" : "NULL", "page" : "e143-e148", "publisher-place" : "Netherlands", "title" : "Eliciting Preferences of Multimorbid Elderly Adults in Family Practice Using an Outcome Prioritization Tool.", "type" : "article-journal", "volume" : "64" }, "uris" : [ "http://www.mendeley.com/documents/?uuid=8988380e-b0d7-4939-a165-c906a375c37b" ] } ], "mendeley" : { "formattedCitation" : "&lt;sup&gt;165&lt;/sup&gt;", "plainTextFormattedCitation" : "165", "previouslyFormattedCitation" : "&lt;sup&gt;165&lt;/sup&gt;" }, "properties" : { "noteIndex" : 0 }, "schema" : "https://github.com/citation-style-language/schema/raw/master/csl-citation.json" }</w:instrText>
            </w:r>
            <w:r w:rsidRPr="00815AF3">
              <w:rPr>
                <w:rFonts w:eastAsia="Times New Roman"/>
                <w:color w:val="000000"/>
                <w:sz w:val="22"/>
                <w:szCs w:val="22"/>
                <w:vertAlign w:val="superscript"/>
              </w:rPr>
              <w:fldChar w:fldCharType="separate"/>
            </w:r>
            <w:r w:rsidRPr="00D232B0">
              <w:rPr>
                <w:rFonts w:eastAsia="Times New Roman"/>
                <w:noProof/>
                <w:color w:val="000000"/>
                <w:sz w:val="22"/>
                <w:szCs w:val="22"/>
                <w:vertAlign w:val="superscript"/>
              </w:rPr>
              <w:t>165</w:t>
            </w:r>
            <w:r w:rsidRPr="00815AF3">
              <w:rPr>
                <w:rFonts w:eastAsia="Times New Roman"/>
                <w:color w:val="000000"/>
                <w:sz w:val="22"/>
                <w:szCs w:val="22"/>
              </w:rPr>
              <w:fldChar w:fldCharType="end"/>
            </w:r>
          </w:p>
        </w:tc>
        <w:tc>
          <w:tcPr>
            <w:tcW w:w="15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79149C50"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Questionnaire</w:t>
            </w:r>
          </w:p>
        </w:tc>
        <w:tc>
          <w:tcPr>
            <w:tcW w:w="223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26BD9782"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Outcome Prioritisation Tool</w:t>
            </w:r>
          </w:p>
        </w:tc>
        <w:tc>
          <w:tcPr>
            <w:tcW w:w="2526"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526A262D"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Frailty, Multimorbidity</w:t>
            </w:r>
          </w:p>
        </w:tc>
        <w:tc>
          <w:tcPr>
            <w:tcW w:w="1693"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D475EEB"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Primary care</w:t>
            </w:r>
          </w:p>
        </w:tc>
        <w:tc>
          <w:tcPr>
            <w:tcW w:w="2584"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6113DA7"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Pt/carer views or preferences</w:t>
            </w:r>
          </w:p>
        </w:tc>
      </w:tr>
      <w:tr w:rsidR="002421FE" w:rsidRPr="00815AF3" w14:paraId="70721FDE" w14:textId="77777777" w:rsidTr="00FB1DFE">
        <w:trPr>
          <w:trHeight w:val="300"/>
        </w:trPr>
        <w:tc>
          <w:tcPr>
            <w:tcW w:w="175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5A0D56DE"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Wrede-</w:t>
            </w:r>
            <w:proofErr w:type="spellStart"/>
            <w:r w:rsidRPr="00815AF3">
              <w:rPr>
                <w:rFonts w:eastAsia="Times New Roman"/>
                <w:color w:val="000000"/>
                <w:sz w:val="22"/>
                <w:szCs w:val="22"/>
              </w:rPr>
              <w:t>Sach</w:t>
            </w:r>
            <w:proofErr w:type="spellEnd"/>
            <w:r w:rsidRPr="00815AF3">
              <w:rPr>
                <w:rFonts w:eastAsia="Times New Roman"/>
                <w:color w:val="000000"/>
                <w:sz w:val="22"/>
                <w:szCs w:val="22"/>
              </w:rPr>
              <w:t xml:space="preserve"> 2013 </w:t>
            </w:r>
            <w:r w:rsidRPr="00815AF3">
              <w:rPr>
                <w:rFonts w:eastAsia="Times New Roman"/>
                <w:color w:val="000000"/>
                <w:sz w:val="22"/>
                <w:szCs w:val="22"/>
              </w:rPr>
              <w:fldChar w:fldCharType="begin" w:fldLock="1"/>
            </w:r>
            <w:r>
              <w:rPr>
                <w:rFonts w:eastAsia="Times New Roman"/>
                <w:color w:val="000000"/>
                <w:sz w:val="22"/>
                <w:szCs w:val="22"/>
              </w:rPr>
              <w:instrText>ADDIN CSL_CITATION { "citationItems" : [ { "id" : "ITEM-1", "itemData" : { "DOI" : "10.1155/2013/478498", "ISBN" : "2090-2042", "ISSN" : "2090-2042", "PMID" : "23691317", "abstract" : "Background. This qualitative study aims to gain insight into the perceptions and experiences of older patients with regard to sharing health care decisions with their general practitioners. Patients and Methods. Thirty-four general practice patients (\u226570 years) were asked about their preferences and experiences concerning shared decision making with their doctors using qualitative semistructured interviews. All interviews were analysed according to principles of content analysis. The resulting categories were then arranged into a classification grid to develop a typology of preferences for participating in decision-making processes. Results. Older patients generally preferred to make decisions concerning everyday life rather than medical decisions, which they preferred to leave to their doctors. We characterised eight different patient types based on four interdependent positions (self-determination, adherence, information seeking, and trust). Experiences of a good doctor-patient relationship were associated with trust, reliance on the doctor for information and decision making, and adherence. Conclusion. Owing to the varied patient decision-making types, it is not easy for doctors to anticipate the desired level of patient involvement. However, the decision matter and the self-determination of patients provide good starting points in preparing the ground for shared decision making. A good relationship with the doctor facilitates satisfying decision-making experiences.", "author" : [ { "dropping-particle" : "", "family" : "Wrede-Sach", "given" : "Jennifer", "non-dropping-particle" : "", "parse-names" : false, "suffix" : "" }, { "dropping-particle" : "", "family" : "Voigt", "given" : "Isabel", "non-dropping-particle" : "", "parse-names" : false, "suffix" : "" }, { "dropping-particle" : "", "family" : "Diederichs-Egidi", "given" : "Heike", "non-dropping-particle" : "", "parse-names" : false, "suffix" : "" }, { "dropping-particle" : "", "family" : "Hummers-Pradier", "given" : "Eva", "non-dropping-particle" : "", "parse-names" : false, "suffix" : "" }, { "dropping-particle" : "", "family" : "Dierks", "given" : "Marie-Luise", "non-dropping-particle" : "", "parse-names" : false, "suffix" : "" }, { "dropping-particle" : "", "family" : "Junius-Walker", "given" : "Ulrike", "non-dropping-particle" : "", "parse-names" : false, "suffix" : "" } ], "container-title" : "International journal of family medicine", "id" : "ITEM-1", "issued" : { "date-parts" : [ [ "2013" ] ] }, "page" : "478498", "title" : "Decision-making of older patients in context of the doctor-patient relationship: a typology ranging from \"self-determined\" to \"doctor-trusting\" patients.", "type" : "article-journal", "volume" : "2013" }, "uris" : [ "http://www.mendeley.com/documents/?uuid=287f5438-55d3-41eb-8896-d903b5d536fa" ] } ], "mendeley" : { "formattedCitation" : "&lt;sup&gt;166&lt;/sup&gt;", "plainTextFormattedCitation" : "166", "previouslyFormattedCitation" : "&lt;sup&gt;166&lt;/sup&gt;" }, "properties" : { "noteIndex" : 0 }, "schema" : "https://github.com/citation-style-language/schema/raw/master/csl-citation.json" }</w:instrText>
            </w:r>
            <w:r w:rsidRPr="00815AF3">
              <w:rPr>
                <w:rFonts w:eastAsia="Times New Roman"/>
                <w:color w:val="000000"/>
                <w:sz w:val="22"/>
                <w:szCs w:val="22"/>
                <w:vertAlign w:val="superscript"/>
              </w:rPr>
              <w:fldChar w:fldCharType="separate"/>
            </w:r>
            <w:r w:rsidRPr="00D232B0">
              <w:rPr>
                <w:rFonts w:eastAsia="Times New Roman"/>
                <w:noProof/>
                <w:color w:val="000000"/>
                <w:sz w:val="22"/>
                <w:szCs w:val="22"/>
                <w:vertAlign w:val="superscript"/>
              </w:rPr>
              <w:t>166</w:t>
            </w:r>
            <w:r w:rsidRPr="00815AF3">
              <w:rPr>
                <w:rFonts w:eastAsia="Times New Roman"/>
                <w:color w:val="000000"/>
                <w:sz w:val="22"/>
                <w:szCs w:val="22"/>
              </w:rPr>
              <w:fldChar w:fldCharType="end"/>
            </w:r>
          </w:p>
        </w:tc>
        <w:tc>
          <w:tcPr>
            <w:tcW w:w="15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CCA7118"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Qualitative</w:t>
            </w:r>
          </w:p>
        </w:tc>
        <w:tc>
          <w:tcPr>
            <w:tcW w:w="223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0D617585"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NA</w:t>
            </w:r>
          </w:p>
        </w:tc>
        <w:tc>
          <w:tcPr>
            <w:tcW w:w="2526"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6EE633F3"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Older people</w:t>
            </w:r>
          </w:p>
        </w:tc>
        <w:tc>
          <w:tcPr>
            <w:tcW w:w="1693"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1063D9CE"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Community</w:t>
            </w:r>
          </w:p>
        </w:tc>
        <w:tc>
          <w:tcPr>
            <w:tcW w:w="2584"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61A7764C"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Older people's experiences of SDM</w:t>
            </w:r>
          </w:p>
        </w:tc>
      </w:tr>
      <w:tr w:rsidR="002421FE" w:rsidRPr="00815AF3" w14:paraId="41B904A5" w14:textId="77777777" w:rsidTr="00FB1DFE">
        <w:trPr>
          <w:trHeight w:val="300"/>
        </w:trPr>
        <w:tc>
          <w:tcPr>
            <w:tcW w:w="175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653D74D1" w14:textId="77777777" w:rsidR="002421FE" w:rsidRPr="00815AF3" w:rsidRDefault="002421FE" w:rsidP="00FB1DFE">
            <w:pPr>
              <w:spacing w:after="0"/>
              <w:rPr>
                <w:rFonts w:eastAsia="Times New Roman"/>
                <w:color w:val="000000"/>
                <w:sz w:val="22"/>
                <w:szCs w:val="22"/>
              </w:rPr>
            </w:pPr>
            <w:proofErr w:type="spellStart"/>
            <w:r w:rsidRPr="00815AF3">
              <w:rPr>
                <w:rFonts w:eastAsia="Times New Roman"/>
                <w:color w:val="000000"/>
                <w:sz w:val="22"/>
                <w:szCs w:val="22"/>
              </w:rPr>
              <w:t>Zoffman</w:t>
            </w:r>
            <w:proofErr w:type="spellEnd"/>
            <w:r w:rsidRPr="00815AF3">
              <w:rPr>
                <w:rFonts w:eastAsia="Times New Roman"/>
                <w:color w:val="000000"/>
                <w:sz w:val="22"/>
                <w:szCs w:val="22"/>
              </w:rPr>
              <w:t xml:space="preserve"> 2008 </w:t>
            </w:r>
            <w:r w:rsidRPr="00815AF3">
              <w:rPr>
                <w:rFonts w:eastAsia="Times New Roman"/>
                <w:color w:val="000000"/>
                <w:sz w:val="22"/>
                <w:szCs w:val="22"/>
              </w:rPr>
              <w:fldChar w:fldCharType="begin" w:fldLock="1"/>
            </w:r>
            <w:r>
              <w:rPr>
                <w:rFonts w:eastAsia="Times New Roman"/>
                <w:color w:val="000000"/>
                <w:sz w:val="22"/>
                <w:szCs w:val="22"/>
              </w:rPr>
              <w:instrText>ADDIN CSL_CITATION { "citationItems" : [ { "id" : "ITEM-1", "itemData" : { "DOI" : "10.1177/1049732307311008", "abstract" : "Shared decision making (SDM) is regarded as an ideal in chronic illness care but is difficult to implement in practice. Communication and reflection play an important role and need further investigation. Using grounded theory, we studied patient-provider interaction in a difficult and advanced area: managing poorly controlled diabetes. A person-centered communication and reflection model was developed, identifying SDM in chronic care to be a question of professionals gaining insight into patients' decisions, rather than the opposite. The model reveals important choices in communication and reflection, which were decisive for whether SDM was achieved or not. SDM involved co-creating person-centered knowledge: concrete evidence which empowered patients and professionals in problem solving. Although further testing is required, the general tenets of the model are expected to be applicable across chronic conditions. Findings indicate that SDM in chronic illness care requires innovation in current approaches to decision making and problem solving.", "author" : [ { "dropping-particle" : "", "family" : "Zoffmann", "given" : "V", "non-dropping-particle" : "", "parse-names" : false, "suffix" : "" }, { "dropping-particle" : "", "family" : "Harder", "given" : "I", "non-dropping-particle" : "", "parse-names" : false, "suffix" : "" }, { "dropping-particle" : "", "family" : "Kirkevold", "given" : "M", "non-dropping-particle" : "", "parse-names" : false, "suffix" : "" } ], "container-title" : "Qualitative health research", "id" : "ITEM-1", "issue" : "5", "issued" : { "date-parts" : [ [ "2008" ] ] }, "note" : "Cited By :57\nExport Date: 12 December 2016", "page" : "670-685", "title" : "A person-centered communication and reflection model: Sharing decision-making in chronic care", "type" : "article-journal", "volume" : "18" }, "uris" : [ "http://www.mendeley.com/documents/?uuid=72bbb5ae-e524-4897-8d3b-603ea91d1465" ] } ], "mendeley" : { "formattedCitation" : "&lt;sup&gt;168&lt;/sup&gt;", "plainTextFormattedCitation" : "168", "previouslyFormattedCitation" : "&lt;sup&gt;168&lt;/sup&gt;" }, "properties" : { "noteIndex" : 0 }, "schema" : "https://github.com/citation-style-language/schema/raw/master/csl-citation.json" }</w:instrText>
            </w:r>
            <w:r w:rsidRPr="00815AF3">
              <w:rPr>
                <w:rFonts w:eastAsia="Times New Roman"/>
                <w:color w:val="000000"/>
                <w:sz w:val="22"/>
                <w:szCs w:val="22"/>
                <w:vertAlign w:val="superscript"/>
              </w:rPr>
              <w:fldChar w:fldCharType="separate"/>
            </w:r>
            <w:r w:rsidRPr="00D232B0">
              <w:rPr>
                <w:rFonts w:eastAsia="Times New Roman"/>
                <w:noProof/>
                <w:color w:val="000000"/>
                <w:sz w:val="22"/>
                <w:szCs w:val="22"/>
                <w:vertAlign w:val="superscript"/>
              </w:rPr>
              <w:t>168</w:t>
            </w:r>
            <w:r w:rsidRPr="00815AF3">
              <w:rPr>
                <w:rFonts w:eastAsia="Times New Roman"/>
                <w:color w:val="000000"/>
                <w:sz w:val="22"/>
                <w:szCs w:val="22"/>
              </w:rPr>
              <w:fldChar w:fldCharType="end"/>
            </w:r>
          </w:p>
        </w:tc>
        <w:tc>
          <w:tcPr>
            <w:tcW w:w="15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01B768CC"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Qualitative</w:t>
            </w:r>
          </w:p>
        </w:tc>
        <w:tc>
          <w:tcPr>
            <w:tcW w:w="223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743BF8AD"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NA</w:t>
            </w:r>
          </w:p>
        </w:tc>
        <w:tc>
          <w:tcPr>
            <w:tcW w:w="2526"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3BC00940" w14:textId="77777777" w:rsidR="002421FE" w:rsidRPr="00815AF3" w:rsidRDefault="002421FE" w:rsidP="00FB1DFE">
            <w:pPr>
              <w:spacing w:after="0"/>
              <w:rPr>
                <w:rFonts w:eastAsia="Times New Roman"/>
                <w:color w:val="000000"/>
                <w:sz w:val="22"/>
                <w:szCs w:val="22"/>
              </w:rPr>
            </w:pPr>
            <w:proofErr w:type="spellStart"/>
            <w:r w:rsidRPr="00815AF3">
              <w:rPr>
                <w:rFonts w:eastAsia="Times New Roman"/>
                <w:color w:val="000000"/>
                <w:sz w:val="22"/>
                <w:szCs w:val="22"/>
              </w:rPr>
              <w:t>PPl</w:t>
            </w:r>
            <w:proofErr w:type="spellEnd"/>
            <w:r w:rsidRPr="00815AF3">
              <w:rPr>
                <w:rFonts w:eastAsia="Times New Roman"/>
                <w:color w:val="000000"/>
                <w:sz w:val="22"/>
                <w:szCs w:val="22"/>
              </w:rPr>
              <w:t xml:space="preserve"> with DM and Nurses</w:t>
            </w:r>
          </w:p>
        </w:tc>
        <w:tc>
          <w:tcPr>
            <w:tcW w:w="1693"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512FA528"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Community &amp; acute</w:t>
            </w:r>
          </w:p>
        </w:tc>
        <w:tc>
          <w:tcPr>
            <w:tcW w:w="2584"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2BDFBF42" w14:textId="77777777" w:rsidR="002421FE" w:rsidRPr="00815AF3" w:rsidRDefault="002421FE" w:rsidP="00FB1DFE">
            <w:pPr>
              <w:spacing w:after="0"/>
              <w:rPr>
                <w:rFonts w:eastAsia="Times New Roman"/>
                <w:color w:val="000000"/>
                <w:sz w:val="22"/>
                <w:szCs w:val="22"/>
              </w:rPr>
            </w:pPr>
            <w:r w:rsidRPr="00815AF3">
              <w:rPr>
                <w:rFonts w:eastAsia="Times New Roman"/>
                <w:color w:val="000000"/>
                <w:sz w:val="22"/>
                <w:szCs w:val="22"/>
              </w:rPr>
              <w:t>Interprofessional SDM</w:t>
            </w:r>
          </w:p>
        </w:tc>
      </w:tr>
    </w:tbl>
    <w:p w14:paraId="64CB7873" w14:textId="77777777" w:rsidR="002421FE" w:rsidRDefault="002421FE"/>
    <w:sectPr w:rsidR="002421FE" w:rsidSect="002421FE">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21FE"/>
    <w:rsid w:val="002421FE"/>
    <w:rsid w:val="003D7DFF"/>
    <w:rsid w:val="0075639C"/>
    <w:rsid w:val="009C17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30E5A3"/>
  <w15:chartTrackingRefBased/>
  <w15:docId w15:val="{2760139A-E4E4-4ABD-95C4-45D2CAD38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421FE"/>
    <w:pPr>
      <w:spacing w:before="100" w:beforeAutospacing="1" w:after="100" w:afterAutospacing="1" w:line="360" w:lineRule="auto"/>
    </w:pPr>
    <w:rPr>
      <w:rFonts w:ascii="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29969</Words>
  <Characters>170828</Characters>
  <Application>Microsoft Office Word</Application>
  <DocSecurity>0</DocSecurity>
  <Lines>1423</Lines>
  <Paragraphs>400</Paragraphs>
  <ScaleCrop>false</ScaleCrop>
  <HeadingPairs>
    <vt:vector size="2" baseType="variant">
      <vt:variant>
        <vt:lpstr>Title</vt:lpstr>
      </vt:variant>
      <vt:variant>
        <vt:i4>1</vt:i4>
      </vt:variant>
    </vt:vector>
  </HeadingPairs>
  <TitlesOfParts>
    <vt:vector size="1" baseType="lpstr">
      <vt:lpstr/>
    </vt:vector>
  </TitlesOfParts>
  <Company>UH</Company>
  <LinksUpToDate>false</LinksUpToDate>
  <CharactersWithSpaces>200397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 Bunn</dc:creator>
  <cp:keywords/>
  <dc:description/>
  <cp:lastModifiedBy>Frances Bunn</cp:lastModifiedBy>
  <cp:revision>3</cp:revision>
  <dcterms:created xsi:type="dcterms:W3CDTF">2018-06-26T14:18:00Z</dcterms:created>
  <dcterms:modified xsi:type="dcterms:W3CDTF">2018-06-26T14:19:00Z</dcterms:modified>
</cp:coreProperties>
</file>