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177" w:rsidRPr="006258EC" w:rsidRDefault="002C5177" w:rsidP="002C5177">
      <w:pPr>
        <w:pStyle w:val="NormalWeb"/>
        <w:spacing w:after="0"/>
        <w:jc w:val="center"/>
        <w:outlineLvl w:val="2"/>
        <w:rPr>
          <w:rFonts w:ascii="Times New Roman" w:eastAsiaTheme="minorHAnsi" w:hAnsi="Times New Roman"/>
          <w:b/>
          <w:sz w:val="24"/>
          <w:szCs w:val="24"/>
          <w:lang w:val="en-US" w:eastAsia="en-US"/>
        </w:rPr>
      </w:pPr>
      <w:bookmarkStart w:id="0" w:name="_GoBack"/>
      <w:r w:rsidRPr="006258EC">
        <w:rPr>
          <w:rFonts w:ascii="Times New Roman" w:eastAsiaTheme="minorHAnsi" w:hAnsi="Times New Roman"/>
          <w:b/>
          <w:sz w:val="24"/>
          <w:szCs w:val="24"/>
          <w:lang w:val="en-US" w:eastAsia="en-US"/>
        </w:rPr>
        <w:t>Higher levels of Tumor Necrosis Factor β are associated with frailty in socially vulnerable community-dwelling older adults</w:t>
      </w:r>
      <w:bookmarkEnd w:id="0"/>
    </w:p>
    <w:p w:rsidR="002C5177" w:rsidRPr="006258EC" w:rsidRDefault="002C5177" w:rsidP="002C5177">
      <w:pPr>
        <w:pStyle w:val="NormalWeb"/>
        <w:spacing w:before="0" w:beforeAutospacing="0" w:after="0" w:afterAutospacing="0"/>
        <w:jc w:val="both"/>
        <w:outlineLvl w:val="2"/>
        <w:rPr>
          <w:rFonts w:ascii="Times New Roman" w:hAnsi="Times New Roman"/>
          <w:sz w:val="24"/>
          <w:szCs w:val="24"/>
        </w:rPr>
      </w:pPr>
      <w:r w:rsidRPr="006258EC">
        <w:rPr>
          <w:rFonts w:ascii="Times New Roman" w:hAnsi="Times New Roman"/>
          <w:sz w:val="24"/>
          <w:szCs w:val="24"/>
        </w:rPr>
        <w:t>Carla M. C. Nascimento (carlamcnascimento@gmail.com), Marisa S. Zazzetta, (marisam@ufscar.br), Grace A. O. Gomes (grace@ufscar.br), Fabiana S. Orlandi (forlandi@ufscar.br), Karina Gramani-Say, (gramanisay@ufscar.br), Fernando A. Vasilceac (fervasilceac@ufscar.br), Aline C. M. Gratão (alinegratao@ufscar.br), Sofia C. I. Pavarini (sofia@ufscar.br), Marcia R. Cominetti (</w:t>
      </w:r>
      <w:hyperlink r:id="rId8" w:history="1">
        <w:r w:rsidRPr="006258EC">
          <w:rPr>
            <w:rStyle w:val="Hyperlink"/>
            <w:rFonts w:ascii="Times New Roman" w:hAnsi="Times New Roman"/>
            <w:color w:val="auto"/>
            <w:sz w:val="24"/>
            <w:szCs w:val="24"/>
          </w:rPr>
          <w:t>mcominetti@ufscar.br</w:t>
        </w:r>
      </w:hyperlink>
      <w:r w:rsidRPr="006258EC">
        <w:rPr>
          <w:rFonts w:ascii="Times New Roman" w:hAnsi="Times New Roman"/>
          <w:sz w:val="24"/>
          <w:szCs w:val="24"/>
        </w:rPr>
        <w:t>)</w:t>
      </w:r>
    </w:p>
    <w:p w:rsidR="002C5177" w:rsidRPr="006258EC" w:rsidRDefault="002C5177" w:rsidP="002C5177">
      <w:pPr>
        <w:pStyle w:val="NormalWeb"/>
        <w:spacing w:before="0" w:beforeAutospacing="0" w:after="0" w:afterAutospacing="0" w:line="360" w:lineRule="auto"/>
        <w:jc w:val="both"/>
        <w:outlineLvl w:val="2"/>
        <w:rPr>
          <w:rFonts w:ascii="Times New Roman" w:hAnsi="Times New Roman"/>
          <w:sz w:val="24"/>
          <w:szCs w:val="24"/>
        </w:rPr>
      </w:pPr>
    </w:p>
    <w:p w:rsidR="002C5177" w:rsidRPr="006258EC" w:rsidRDefault="002C5177" w:rsidP="002C5177">
      <w:pPr>
        <w:pStyle w:val="NormalWeb"/>
        <w:spacing w:before="0" w:beforeAutospacing="0" w:after="0" w:afterAutospacing="0" w:line="360" w:lineRule="auto"/>
        <w:jc w:val="center"/>
        <w:outlineLvl w:val="2"/>
        <w:rPr>
          <w:rFonts w:ascii="Times New Roman" w:hAnsi="Times New Roman"/>
          <w:b/>
          <w:sz w:val="24"/>
          <w:szCs w:val="24"/>
          <w:lang w:val="en-US"/>
        </w:rPr>
      </w:pPr>
      <w:r w:rsidRPr="006258EC">
        <w:rPr>
          <w:rFonts w:ascii="Times New Roman" w:hAnsi="Times New Roman"/>
          <w:b/>
          <w:sz w:val="24"/>
          <w:szCs w:val="24"/>
          <w:lang w:val="en-US"/>
        </w:rPr>
        <w:t>Supplementary material</w:t>
      </w:r>
    </w:p>
    <w:p w:rsidR="002C5177" w:rsidRPr="006258EC" w:rsidRDefault="002C5177" w:rsidP="002C5177">
      <w:pPr>
        <w:jc w:val="center"/>
        <w:rPr>
          <w:rFonts w:ascii="Times New Roman" w:hAnsi="Times New Roman" w:cs="Times New Roman"/>
          <w:b/>
          <w:sz w:val="24"/>
          <w:szCs w:val="24"/>
          <w:lang w:val="en-US"/>
        </w:rPr>
      </w:pPr>
      <w:proofErr w:type="spellStart"/>
      <w:r w:rsidRPr="006258EC">
        <w:rPr>
          <w:rFonts w:ascii="Times New Roman" w:hAnsi="Times New Roman" w:cs="Times New Roman"/>
          <w:b/>
          <w:sz w:val="24"/>
          <w:szCs w:val="24"/>
          <w:lang w:val="en-US"/>
        </w:rPr>
        <w:t>Paulista</w:t>
      </w:r>
      <w:proofErr w:type="spellEnd"/>
      <w:r w:rsidRPr="006258EC">
        <w:rPr>
          <w:rFonts w:ascii="Times New Roman" w:hAnsi="Times New Roman" w:cs="Times New Roman"/>
          <w:b/>
          <w:sz w:val="24"/>
          <w:szCs w:val="24"/>
          <w:lang w:val="en-US"/>
        </w:rPr>
        <w:t xml:space="preserve"> Social Vulnerability Index</w:t>
      </w:r>
      <w:r w:rsidR="006153FE" w:rsidRPr="006258EC">
        <w:rPr>
          <w:rStyle w:val="FootnoteReference"/>
          <w:rFonts w:ascii="Times New Roman" w:hAnsi="Times New Roman" w:cs="Times New Roman"/>
          <w:b/>
          <w:sz w:val="24"/>
          <w:szCs w:val="24"/>
          <w:lang w:val="en-US"/>
        </w:rPr>
        <w:footnoteReference w:id="1"/>
      </w:r>
    </w:p>
    <w:p w:rsidR="006153FE" w:rsidRPr="006258EC" w:rsidRDefault="006153FE" w:rsidP="002C5177">
      <w:pPr>
        <w:jc w:val="center"/>
        <w:rPr>
          <w:rFonts w:ascii="Times New Roman" w:hAnsi="Times New Roman" w:cs="Times New Roman"/>
          <w:b/>
          <w:sz w:val="24"/>
          <w:szCs w:val="24"/>
          <w:lang w:val="en-US"/>
        </w:rPr>
      </w:pPr>
    </w:p>
    <w:p w:rsidR="002C5177" w:rsidRPr="006258EC" w:rsidRDefault="002C5177" w:rsidP="002C5177">
      <w:pPr>
        <w:jc w:val="both"/>
        <w:rPr>
          <w:rFonts w:ascii="Times New Roman" w:hAnsi="Times New Roman" w:cs="Times New Roman"/>
          <w:sz w:val="24"/>
          <w:szCs w:val="24"/>
          <w:lang w:val="en-US"/>
        </w:rPr>
      </w:pPr>
      <w:r w:rsidRPr="006258EC">
        <w:rPr>
          <w:rFonts w:ascii="Times New Roman" w:hAnsi="Times New Roman" w:cs="Times New Roman"/>
          <w:b/>
          <w:sz w:val="24"/>
          <w:szCs w:val="24"/>
          <w:lang w:val="en-US"/>
        </w:rPr>
        <w:t>Group 1 (very low vulnerability):</w:t>
      </w:r>
      <w:r w:rsidRPr="006258EC">
        <w:rPr>
          <w:rFonts w:ascii="Times New Roman" w:hAnsi="Times New Roman" w:cs="Times New Roman"/>
          <w:sz w:val="24"/>
          <w:szCs w:val="24"/>
          <w:lang w:val="en-US"/>
        </w:rPr>
        <w:t xml:space="preserve"> In the space occupied by these sectors</w:t>
      </w:r>
      <w:r w:rsidR="00947A56" w:rsidRPr="006258EC">
        <w:rPr>
          <w:rFonts w:ascii="Times New Roman" w:hAnsi="Times New Roman" w:cs="Times New Roman"/>
          <w:sz w:val="24"/>
          <w:szCs w:val="24"/>
          <w:lang w:val="en-US"/>
        </w:rPr>
        <w:t>,</w:t>
      </w:r>
      <w:r w:rsidRPr="006258EC">
        <w:rPr>
          <w:rFonts w:ascii="Times New Roman" w:hAnsi="Times New Roman" w:cs="Times New Roman"/>
          <w:sz w:val="24"/>
          <w:szCs w:val="24"/>
          <w:lang w:val="en-US"/>
        </w:rPr>
        <w:t xml:space="preserve"> the average nom</w:t>
      </w:r>
      <w:r w:rsidR="00094781" w:rsidRPr="006258EC">
        <w:rPr>
          <w:rFonts w:ascii="Times New Roman" w:hAnsi="Times New Roman" w:cs="Times New Roman"/>
          <w:sz w:val="24"/>
          <w:szCs w:val="24"/>
          <w:lang w:val="en-US"/>
        </w:rPr>
        <w:t>inal income of households was R</w:t>
      </w:r>
      <w:r w:rsidRPr="006258EC">
        <w:rPr>
          <w:rFonts w:ascii="Times New Roman" w:hAnsi="Times New Roman" w:cs="Times New Roman"/>
          <w:sz w:val="24"/>
          <w:szCs w:val="24"/>
          <w:lang w:val="en-US"/>
        </w:rPr>
        <w:t>$ 8,459</w:t>
      </w:r>
      <w:r w:rsidR="00094781" w:rsidRPr="006258EC">
        <w:rPr>
          <w:rStyle w:val="FootnoteReference"/>
          <w:rFonts w:ascii="Times New Roman" w:hAnsi="Times New Roman" w:cs="Times New Roman"/>
          <w:sz w:val="24"/>
          <w:szCs w:val="24"/>
          <w:lang w:val="en-US"/>
        </w:rPr>
        <w:footnoteReference w:id="2"/>
      </w:r>
      <w:r w:rsidRPr="006258EC">
        <w:rPr>
          <w:rFonts w:ascii="Times New Roman" w:hAnsi="Times New Roman" w:cs="Times New Roman"/>
          <w:sz w:val="24"/>
          <w:szCs w:val="24"/>
          <w:lang w:val="en-US"/>
        </w:rPr>
        <w:t xml:space="preserve"> and in 1.4% of them the income did not exceed minimum wage per capita. With regard to demographic indicators, the average age of heads of households was 48 and those under 30 represented 12.6%. Among the female heads of households, 14.0% </w:t>
      </w:r>
      <w:r w:rsidR="00947A56" w:rsidRPr="006258EC">
        <w:rPr>
          <w:rFonts w:ascii="Times New Roman" w:hAnsi="Times New Roman" w:cs="Times New Roman"/>
          <w:sz w:val="24"/>
          <w:szCs w:val="24"/>
          <w:lang w:val="en-US"/>
        </w:rPr>
        <w:t xml:space="preserve">were </w:t>
      </w:r>
      <w:r w:rsidR="003122CF" w:rsidRPr="006258EC">
        <w:rPr>
          <w:rFonts w:ascii="Times New Roman" w:hAnsi="Times New Roman" w:cs="Times New Roman"/>
          <w:sz w:val="24"/>
          <w:szCs w:val="24"/>
          <w:lang w:val="en-US"/>
        </w:rPr>
        <w:t>under</w:t>
      </w:r>
      <w:r w:rsidRPr="006258EC">
        <w:rPr>
          <w:rFonts w:ascii="Times New Roman" w:hAnsi="Times New Roman" w:cs="Times New Roman"/>
          <w:sz w:val="24"/>
          <w:szCs w:val="24"/>
          <w:lang w:val="en-US"/>
        </w:rPr>
        <w:t xml:space="preserve"> 30 years</w:t>
      </w:r>
      <w:r w:rsidR="003122CF" w:rsidRPr="006258EC">
        <w:rPr>
          <w:rFonts w:ascii="Times New Roman" w:hAnsi="Times New Roman" w:cs="Times New Roman"/>
          <w:sz w:val="24"/>
          <w:szCs w:val="24"/>
          <w:lang w:val="en-US"/>
        </w:rPr>
        <w:t xml:space="preserve"> old</w:t>
      </w:r>
      <w:r w:rsidRPr="006258EC">
        <w:rPr>
          <w:rFonts w:ascii="Times New Roman" w:hAnsi="Times New Roman" w:cs="Times New Roman"/>
          <w:sz w:val="24"/>
          <w:szCs w:val="24"/>
          <w:lang w:val="en-US"/>
        </w:rPr>
        <w:t>, and the share of children from 0 to 5 years was equivalent to 5.9% of the total population of this group.</w:t>
      </w:r>
    </w:p>
    <w:p w:rsidR="002C5177" w:rsidRPr="006258EC" w:rsidRDefault="002C5177" w:rsidP="002C5177">
      <w:pPr>
        <w:jc w:val="both"/>
        <w:rPr>
          <w:rFonts w:ascii="Times New Roman" w:hAnsi="Times New Roman" w:cs="Times New Roman"/>
          <w:sz w:val="24"/>
          <w:szCs w:val="24"/>
          <w:lang w:val="en-US"/>
        </w:rPr>
      </w:pPr>
      <w:r w:rsidRPr="006258EC">
        <w:rPr>
          <w:rFonts w:ascii="Times New Roman" w:hAnsi="Times New Roman" w:cs="Times New Roman"/>
          <w:b/>
          <w:sz w:val="24"/>
          <w:szCs w:val="24"/>
          <w:lang w:val="en-US"/>
        </w:rPr>
        <w:t>Group 2 (very low vulnerability):</w:t>
      </w:r>
      <w:r w:rsidRPr="006258EC">
        <w:rPr>
          <w:rFonts w:ascii="Times New Roman" w:hAnsi="Times New Roman" w:cs="Times New Roman"/>
          <w:sz w:val="24"/>
          <w:szCs w:val="24"/>
          <w:lang w:val="en-US"/>
        </w:rPr>
        <w:t xml:space="preserve"> In the space occupied by these sectors</w:t>
      </w:r>
      <w:r w:rsidR="00947A56" w:rsidRPr="006258EC">
        <w:rPr>
          <w:rFonts w:ascii="Times New Roman" w:hAnsi="Times New Roman" w:cs="Times New Roman"/>
          <w:sz w:val="24"/>
          <w:szCs w:val="24"/>
          <w:lang w:val="en-US"/>
        </w:rPr>
        <w:t>,</w:t>
      </w:r>
      <w:r w:rsidRPr="006258EC">
        <w:rPr>
          <w:rFonts w:ascii="Times New Roman" w:hAnsi="Times New Roman" w:cs="Times New Roman"/>
          <w:sz w:val="24"/>
          <w:szCs w:val="24"/>
          <w:lang w:val="en-US"/>
        </w:rPr>
        <w:t xml:space="preserve"> the average nominal income of ho</w:t>
      </w:r>
      <w:r w:rsidR="00094781" w:rsidRPr="006258EC">
        <w:rPr>
          <w:rFonts w:ascii="Times New Roman" w:hAnsi="Times New Roman" w:cs="Times New Roman"/>
          <w:sz w:val="24"/>
          <w:szCs w:val="24"/>
          <w:lang w:val="en-US"/>
        </w:rPr>
        <w:t>useholds was R</w:t>
      </w:r>
      <w:r w:rsidRPr="006258EC">
        <w:rPr>
          <w:rFonts w:ascii="Times New Roman" w:hAnsi="Times New Roman" w:cs="Times New Roman"/>
          <w:sz w:val="24"/>
          <w:szCs w:val="24"/>
          <w:lang w:val="en-US"/>
        </w:rPr>
        <w:t xml:space="preserve">$ 2,964 and in 8.1% of them the income did not exceed minimum wage per capita. With regard to demographic indicators, the average age of heads of households was 50 and those under 30 represented 9.6%. Among the female heads of households, 8.8% </w:t>
      </w:r>
      <w:r w:rsidR="00947A56" w:rsidRPr="006258EC">
        <w:rPr>
          <w:rFonts w:ascii="Times New Roman" w:hAnsi="Times New Roman" w:cs="Times New Roman"/>
          <w:sz w:val="24"/>
          <w:szCs w:val="24"/>
          <w:lang w:val="en-US"/>
        </w:rPr>
        <w:t>were</w:t>
      </w:r>
      <w:r w:rsidRPr="006258EC">
        <w:rPr>
          <w:rFonts w:ascii="Times New Roman" w:hAnsi="Times New Roman" w:cs="Times New Roman"/>
          <w:sz w:val="24"/>
          <w:szCs w:val="24"/>
          <w:lang w:val="en-US"/>
        </w:rPr>
        <w:t xml:space="preserve"> </w:t>
      </w:r>
      <w:r w:rsidR="003122CF" w:rsidRPr="006258EC">
        <w:rPr>
          <w:rFonts w:ascii="Times New Roman" w:hAnsi="Times New Roman" w:cs="Times New Roman"/>
          <w:sz w:val="24"/>
          <w:szCs w:val="24"/>
          <w:lang w:val="en-US"/>
        </w:rPr>
        <w:t xml:space="preserve">under </w:t>
      </w:r>
      <w:r w:rsidRPr="006258EC">
        <w:rPr>
          <w:rFonts w:ascii="Times New Roman" w:hAnsi="Times New Roman" w:cs="Times New Roman"/>
          <w:sz w:val="24"/>
          <w:szCs w:val="24"/>
          <w:lang w:val="en-US"/>
        </w:rPr>
        <w:t>30 years</w:t>
      </w:r>
      <w:r w:rsidR="003122CF" w:rsidRPr="006258EC">
        <w:rPr>
          <w:rFonts w:ascii="Times New Roman" w:hAnsi="Times New Roman" w:cs="Times New Roman"/>
          <w:sz w:val="24"/>
          <w:szCs w:val="24"/>
          <w:lang w:val="en-US"/>
        </w:rPr>
        <w:t xml:space="preserve"> old</w:t>
      </w:r>
      <w:r w:rsidRPr="006258EC">
        <w:rPr>
          <w:rFonts w:ascii="Times New Roman" w:hAnsi="Times New Roman" w:cs="Times New Roman"/>
          <w:sz w:val="24"/>
          <w:szCs w:val="24"/>
          <w:lang w:val="en-US"/>
        </w:rPr>
        <w:t>, and the share of children from 0 to 5 years old equaled 6.3% of the total population of this group.</w:t>
      </w:r>
    </w:p>
    <w:p w:rsidR="002C5177" w:rsidRPr="006258EC" w:rsidRDefault="002C5177" w:rsidP="002C5177">
      <w:pPr>
        <w:jc w:val="both"/>
        <w:rPr>
          <w:rFonts w:ascii="Times New Roman" w:hAnsi="Times New Roman" w:cs="Times New Roman"/>
          <w:sz w:val="24"/>
          <w:szCs w:val="24"/>
          <w:lang w:val="en-US"/>
        </w:rPr>
      </w:pPr>
      <w:r w:rsidRPr="006258EC">
        <w:rPr>
          <w:rFonts w:ascii="Times New Roman" w:hAnsi="Times New Roman" w:cs="Times New Roman"/>
          <w:b/>
          <w:sz w:val="24"/>
          <w:szCs w:val="24"/>
          <w:lang w:val="en-US"/>
        </w:rPr>
        <w:t>Group 3 (low vulnerability):</w:t>
      </w:r>
      <w:r w:rsidRPr="006258EC">
        <w:rPr>
          <w:rFonts w:ascii="Times New Roman" w:hAnsi="Times New Roman" w:cs="Times New Roman"/>
          <w:sz w:val="24"/>
          <w:szCs w:val="24"/>
          <w:lang w:val="en-US"/>
        </w:rPr>
        <w:t xml:space="preserve"> In the space occupied by these census tracts, the averag</w:t>
      </w:r>
      <w:r w:rsidR="00094781" w:rsidRPr="006258EC">
        <w:rPr>
          <w:rFonts w:ascii="Times New Roman" w:hAnsi="Times New Roman" w:cs="Times New Roman"/>
          <w:sz w:val="24"/>
          <w:szCs w:val="24"/>
          <w:lang w:val="en-US"/>
        </w:rPr>
        <w:t>e nominal household income was R</w:t>
      </w:r>
      <w:r w:rsidRPr="006258EC">
        <w:rPr>
          <w:rFonts w:ascii="Times New Roman" w:hAnsi="Times New Roman" w:cs="Times New Roman"/>
          <w:sz w:val="24"/>
          <w:szCs w:val="24"/>
          <w:lang w:val="en-US"/>
        </w:rPr>
        <w:t xml:space="preserve">$ 2,133 and in 14.0% of them </w:t>
      </w:r>
      <w:r w:rsidR="00947A56" w:rsidRPr="006258EC">
        <w:rPr>
          <w:rFonts w:ascii="Times New Roman" w:hAnsi="Times New Roman" w:cs="Times New Roman"/>
          <w:sz w:val="24"/>
          <w:szCs w:val="24"/>
          <w:lang w:val="en-US"/>
        </w:rPr>
        <w:t xml:space="preserve">the </w:t>
      </w:r>
      <w:r w:rsidRPr="006258EC">
        <w:rPr>
          <w:rFonts w:ascii="Times New Roman" w:hAnsi="Times New Roman" w:cs="Times New Roman"/>
          <w:sz w:val="24"/>
          <w:szCs w:val="24"/>
          <w:lang w:val="en-US"/>
        </w:rPr>
        <w:t xml:space="preserve">income did not exceed half a minimum wage per capita. With regard to demographic indicators, the average age of the heads of households was 42 years and those </w:t>
      </w:r>
      <w:r w:rsidR="00947A56" w:rsidRPr="006258EC">
        <w:rPr>
          <w:rFonts w:ascii="Times New Roman" w:hAnsi="Times New Roman" w:cs="Times New Roman"/>
          <w:sz w:val="24"/>
          <w:szCs w:val="24"/>
          <w:lang w:val="en-US"/>
        </w:rPr>
        <w:t>who were</w:t>
      </w:r>
      <w:r w:rsidRPr="006258EC">
        <w:rPr>
          <w:rFonts w:ascii="Times New Roman" w:hAnsi="Times New Roman" w:cs="Times New Roman"/>
          <w:sz w:val="24"/>
          <w:szCs w:val="24"/>
          <w:lang w:val="en-US"/>
        </w:rPr>
        <w:t xml:space="preserve"> less than 30 years represented 21.0%. Among female heads of households, 22.4% were aged 30 or over, and the share of children from 0 to 5 years old equaled 9.0% of the total population of this group.</w:t>
      </w:r>
    </w:p>
    <w:p w:rsidR="0024783F" w:rsidRPr="006258EC" w:rsidRDefault="002C5177" w:rsidP="002C5177">
      <w:pPr>
        <w:jc w:val="both"/>
        <w:rPr>
          <w:rFonts w:ascii="Times New Roman" w:hAnsi="Times New Roman" w:cs="Times New Roman"/>
          <w:sz w:val="24"/>
          <w:szCs w:val="24"/>
          <w:lang w:val="en-US"/>
        </w:rPr>
      </w:pPr>
      <w:r w:rsidRPr="006258EC">
        <w:rPr>
          <w:rFonts w:ascii="Times New Roman" w:hAnsi="Times New Roman" w:cs="Times New Roman"/>
          <w:b/>
          <w:sz w:val="24"/>
          <w:szCs w:val="24"/>
          <w:lang w:val="en-US"/>
        </w:rPr>
        <w:t xml:space="preserve">Group 4 (average vulnerability - urban sectors): </w:t>
      </w:r>
      <w:r w:rsidRPr="006258EC">
        <w:rPr>
          <w:rFonts w:ascii="Times New Roman" w:hAnsi="Times New Roman" w:cs="Times New Roman"/>
          <w:sz w:val="24"/>
          <w:szCs w:val="24"/>
          <w:lang w:val="en-US"/>
        </w:rPr>
        <w:t>In the space occupied by these census sectors, the average nominal household income w</w:t>
      </w:r>
      <w:r w:rsidR="00094781" w:rsidRPr="006258EC">
        <w:rPr>
          <w:rFonts w:ascii="Times New Roman" w:hAnsi="Times New Roman" w:cs="Times New Roman"/>
          <w:sz w:val="24"/>
          <w:szCs w:val="24"/>
          <w:lang w:val="en-US"/>
        </w:rPr>
        <w:t>as R</w:t>
      </w:r>
      <w:r w:rsidRPr="006258EC">
        <w:rPr>
          <w:rFonts w:ascii="Times New Roman" w:hAnsi="Times New Roman" w:cs="Times New Roman"/>
          <w:sz w:val="24"/>
          <w:szCs w:val="24"/>
          <w:lang w:val="en-US"/>
        </w:rPr>
        <w:t xml:space="preserve">$ 1,627 and in 22.0% of them the income did not exceed </w:t>
      </w:r>
      <w:r w:rsidR="00947A56" w:rsidRPr="006258EC">
        <w:rPr>
          <w:rFonts w:ascii="Times New Roman" w:hAnsi="Times New Roman" w:cs="Times New Roman"/>
          <w:sz w:val="24"/>
          <w:szCs w:val="24"/>
          <w:lang w:val="en-US"/>
        </w:rPr>
        <w:t xml:space="preserve">the </w:t>
      </w:r>
      <w:r w:rsidRPr="006258EC">
        <w:rPr>
          <w:rFonts w:ascii="Times New Roman" w:hAnsi="Times New Roman" w:cs="Times New Roman"/>
          <w:sz w:val="24"/>
          <w:szCs w:val="24"/>
          <w:lang w:val="en-US"/>
        </w:rPr>
        <w:t>average minimum wage per capita. With regard to demographic indicators, the average age of heads of households was 47 years and those under 30 represented 12.1%. Among female heads of households, 9.7% were up to 30 years old, and the share of children aged 0 to 5 years was equivalent to 8.4% of the total population of this group.</w:t>
      </w:r>
    </w:p>
    <w:p w:rsidR="002C5177" w:rsidRPr="006258EC" w:rsidRDefault="002C5177" w:rsidP="002C5177">
      <w:pPr>
        <w:jc w:val="both"/>
        <w:rPr>
          <w:rFonts w:ascii="Times New Roman" w:hAnsi="Times New Roman" w:cs="Times New Roman"/>
          <w:sz w:val="24"/>
          <w:szCs w:val="24"/>
          <w:lang w:val="en-US"/>
        </w:rPr>
      </w:pPr>
      <w:r w:rsidRPr="006258EC">
        <w:rPr>
          <w:rFonts w:ascii="Times New Roman" w:hAnsi="Times New Roman" w:cs="Times New Roman"/>
          <w:b/>
          <w:sz w:val="24"/>
          <w:szCs w:val="24"/>
          <w:lang w:val="en-US"/>
        </w:rPr>
        <w:t>Group 5 (high vulnerability - urban sectors):</w:t>
      </w:r>
      <w:r w:rsidRPr="006258EC">
        <w:rPr>
          <w:rFonts w:ascii="Times New Roman" w:hAnsi="Times New Roman" w:cs="Times New Roman"/>
          <w:sz w:val="24"/>
          <w:szCs w:val="24"/>
          <w:lang w:val="en-US"/>
        </w:rPr>
        <w:t xml:space="preserve"> In the space occupied by these census sectors, the average nominal househo</w:t>
      </w:r>
      <w:r w:rsidR="00094781" w:rsidRPr="006258EC">
        <w:rPr>
          <w:rFonts w:ascii="Times New Roman" w:hAnsi="Times New Roman" w:cs="Times New Roman"/>
          <w:sz w:val="24"/>
          <w:szCs w:val="24"/>
          <w:lang w:val="en-US"/>
        </w:rPr>
        <w:t>ld income was R</w:t>
      </w:r>
      <w:r w:rsidRPr="006258EC">
        <w:rPr>
          <w:rFonts w:ascii="Times New Roman" w:hAnsi="Times New Roman" w:cs="Times New Roman"/>
          <w:sz w:val="24"/>
          <w:szCs w:val="24"/>
          <w:lang w:val="en-US"/>
        </w:rPr>
        <w:t xml:space="preserve">$ 1,401 and in 28.7% of them the </w:t>
      </w:r>
      <w:r w:rsidRPr="006258EC">
        <w:rPr>
          <w:rFonts w:ascii="Times New Roman" w:hAnsi="Times New Roman" w:cs="Times New Roman"/>
          <w:sz w:val="24"/>
          <w:szCs w:val="24"/>
          <w:lang w:val="en-US"/>
        </w:rPr>
        <w:lastRenderedPageBreak/>
        <w:t xml:space="preserve">income did not exceed </w:t>
      </w:r>
      <w:r w:rsidR="00947A56" w:rsidRPr="006258EC">
        <w:rPr>
          <w:rFonts w:ascii="Times New Roman" w:hAnsi="Times New Roman" w:cs="Times New Roman"/>
          <w:sz w:val="24"/>
          <w:szCs w:val="24"/>
          <w:lang w:val="en-US"/>
        </w:rPr>
        <w:t xml:space="preserve">an </w:t>
      </w:r>
      <w:r w:rsidRPr="006258EC">
        <w:rPr>
          <w:rFonts w:ascii="Times New Roman" w:hAnsi="Times New Roman" w:cs="Times New Roman"/>
          <w:sz w:val="24"/>
          <w:szCs w:val="24"/>
          <w:lang w:val="en-US"/>
        </w:rPr>
        <w:t>average minimum wage per capita. With regard to demographic indicators, the average age of heads of households was 42 years and those under 30 represented 20.3%. Among female heads of households</w:t>
      </w:r>
      <w:r w:rsidR="00947A56" w:rsidRPr="006258EC">
        <w:rPr>
          <w:rFonts w:ascii="Times New Roman" w:hAnsi="Times New Roman" w:cs="Times New Roman"/>
          <w:sz w:val="24"/>
          <w:szCs w:val="24"/>
          <w:lang w:val="en-US"/>
        </w:rPr>
        <w:t>,</w:t>
      </w:r>
      <w:r w:rsidRPr="006258EC">
        <w:rPr>
          <w:rFonts w:ascii="Times New Roman" w:hAnsi="Times New Roman" w:cs="Times New Roman"/>
          <w:sz w:val="24"/>
          <w:szCs w:val="24"/>
          <w:lang w:val="en-US"/>
        </w:rPr>
        <w:t xml:space="preserve"> 20.6% were </w:t>
      </w:r>
      <w:r w:rsidR="003122CF" w:rsidRPr="006258EC">
        <w:rPr>
          <w:rFonts w:ascii="Times New Roman" w:hAnsi="Times New Roman" w:cs="Times New Roman"/>
          <w:sz w:val="24"/>
          <w:szCs w:val="24"/>
          <w:lang w:val="en-US"/>
        </w:rPr>
        <w:t xml:space="preserve">under </w:t>
      </w:r>
      <w:r w:rsidRPr="006258EC">
        <w:rPr>
          <w:rFonts w:ascii="Times New Roman" w:hAnsi="Times New Roman" w:cs="Times New Roman"/>
          <w:sz w:val="24"/>
          <w:szCs w:val="24"/>
          <w:lang w:val="en-US"/>
        </w:rPr>
        <w:t>30 years old, and the share of children aged 0 to 5 years was equivalent to 10.5% of the total population of this group.</w:t>
      </w:r>
    </w:p>
    <w:p w:rsidR="002C5177" w:rsidRPr="006258EC" w:rsidRDefault="002C5177" w:rsidP="002C5177">
      <w:pPr>
        <w:jc w:val="both"/>
        <w:rPr>
          <w:rFonts w:ascii="Times New Roman" w:hAnsi="Times New Roman" w:cs="Times New Roman"/>
          <w:sz w:val="24"/>
          <w:szCs w:val="24"/>
          <w:lang w:val="en-US"/>
        </w:rPr>
      </w:pPr>
      <w:r w:rsidRPr="006258EC">
        <w:rPr>
          <w:rFonts w:ascii="Times New Roman" w:hAnsi="Times New Roman" w:cs="Times New Roman"/>
          <w:b/>
          <w:sz w:val="24"/>
          <w:szCs w:val="24"/>
          <w:lang w:val="en-US"/>
        </w:rPr>
        <w:t>Group 6 (very high vulnerability - subnormal clusters):</w:t>
      </w:r>
      <w:r w:rsidRPr="006258EC">
        <w:rPr>
          <w:rFonts w:ascii="Times New Roman" w:hAnsi="Times New Roman" w:cs="Times New Roman"/>
          <w:sz w:val="24"/>
          <w:szCs w:val="24"/>
          <w:lang w:val="en-US"/>
        </w:rPr>
        <w:t xml:space="preserve"> In the space occupied by these census tracts, the average</w:t>
      </w:r>
      <w:r w:rsidR="00B32F7C" w:rsidRPr="006258EC">
        <w:rPr>
          <w:rFonts w:ascii="Times New Roman" w:hAnsi="Times New Roman" w:cs="Times New Roman"/>
          <w:sz w:val="24"/>
          <w:szCs w:val="24"/>
          <w:lang w:val="en-US"/>
        </w:rPr>
        <w:t xml:space="preserve"> nominal household income was R</w:t>
      </w:r>
      <w:r w:rsidRPr="006258EC">
        <w:rPr>
          <w:rFonts w:ascii="Times New Roman" w:hAnsi="Times New Roman" w:cs="Times New Roman"/>
          <w:sz w:val="24"/>
          <w:szCs w:val="24"/>
          <w:lang w:val="en-US"/>
        </w:rPr>
        <w:t>$ 1,201 and 34.9% of the income exceeded one-half minimum wage per capita. With regard to demographic indicators, the average age of those responsible by households was 40 years and those under 30 represented 22.6%. Among the women heads</w:t>
      </w:r>
      <w:r w:rsidR="003122CF" w:rsidRPr="006258EC">
        <w:rPr>
          <w:rFonts w:ascii="Times New Roman" w:hAnsi="Times New Roman" w:cs="Times New Roman"/>
          <w:sz w:val="24"/>
          <w:szCs w:val="24"/>
          <w:lang w:val="en-US"/>
        </w:rPr>
        <w:t>,</w:t>
      </w:r>
      <w:r w:rsidRPr="006258EC">
        <w:rPr>
          <w:rFonts w:ascii="Times New Roman" w:hAnsi="Times New Roman" w:cs="Times New Roman"/>
          <w:sz w:val="24"/>
          <w:szCs w:val="24"/>
          <w:lang w:val="en-US"/>
        </w:rPr>
        <w:t xml:space="preserve"> 22.7% were under 30 years </w:t>
      </w:r>
      <w:r w:rsidR="003122CF" w:rsidRPr="006258EC">
        <w:rPr>
          <w:rFonts w:ascii="Times New Roman" w:hAnsi="Times New Roman" w:cs="Times New Roman"/>
          <w:sz w:val="24"/>
          <w:szCs w:val="24"/>
          <w:lang w:val="en-US"/>
        </w:rPr>
        <w:t xml:space="preserve">old </w:t>
      </w:r>
      <w:r w:rsidRPr="006258EC">
        <w:rPr>
          <w:rFonts w:ascii="Times New Roman" w:hAnsi="Times New Roman" w:cs="Times New Roman"/>
          <w:sz w:val="24"/>
          <w:szCs w:val="24"/>
          <w:lang w:val="en-US"/>
        </w:rPr>
        <w:t>and the proportion of children aged 0 to 5 years was equivalent to 11.3% of the total group.</w:t>
      </w:r>
    </w:p>
    <w:p w:rsidR="002C5177" w:rsidRPr="006258EC" w:rsidRDefault="002C5177" w:rsidP="002C5177">
      <w:pPr>
        <w:jc w:val="both"/>
        <w:rPr>
          <w:rFonts w:ascii="Times New Roman" w:hAnsi="Times New Roman" w:cs="Times New Roman"/>
          <w:sz w:val="24"/>
          <w:szCs w:val="24"/>
          <w:lang w:val="en-US"/>
        </w:rPr>
      </w:pPr>
      <w:r w:rsidRPr="006258EC">
        <w:rPr>
          <w:rFonts w:ascii="Times New Roman" w:hAnsi="Times New Roman" w:cs="Times New Roman"/>
          <w:b/>
          <w:sz w:val="24"/>
          <w:szCs w:val="24"/>
          <w:lang w:val="en-US"/>
        </w:rPr>
        <w:t>Group 7 (high vulnerability - rural sectors):</w:t>
      </w:r>
      <w:r w:rsidRPr="006258EC">
        <w:rPr>
          <w:rFonts w:ascii="Times New Roman" w:hAnsi="Times New Roman" w:cs="Times New Roman"/>
          <w:sz w:val="24"/>
          <w:szCs w:val="24"/>
          <w:lang w:val="en-US"/>
        </w:rPr>
        <w:t xml:space="preserve"> In the space occupied by these sectors</w:t>
      </w:r>
      <w:r w:rsidR="00947A56" w:rsidRPr="006258EC">
        <w:rPr>
          <w:rFonts w:ascii="Times New Roman" w:hAnsi="Times New Roman" w:cs="Times New Roman"/>
          <w:sz w:val="24"/>
          <w:szCs w:val="24"/>
          <w:lang w:val="en-US"/>
        </w:rPr>
        <w:t>, the</w:t>
      </w:r>
      <w:r w:rsidRPr="006258EC">
        <w:rPr>
          <w:rFonts w:ascii="Times New Roman" w:hAnsi="Times New Roman" w:cs="Times New Roman"/>
          <w:sz w:val="24"/>
          <w:szCs w:val="24"/>
          <w:lang w:val="en-US"/>
        </w:rPr>
        <w:t xml:space="preserve"> average nominal hou</w:t>
      </w:r>
      <w:r w:rsidR="00B32F7C" w:rsidRPr="006258EC">
        <w:rPr>
          <w:rFonts w:ascii="Times New Roman" w:hAnsi="Times New Roman" w:cs="Times New Roman"/>
          <w:sz w:val="24"/>
          <w:szCs w:val="24"/>
          <w:lang w:val="en-US"/>
        </w:rPr>
        <w:t>sehold income was R</w:t>
      </w:r>
      <w:r w:rsidRPr="006258EC">
        <w:rPr>
          <w:rFonts w:ascii="Times New Roman" w:hAnsi="Times New Roman" w:cs="Times New Roman"/>
          <w:sz w:val="24"/>
          <w:szCs w:val="24"/>
          <w:lang w:val="en-US"/>
        </w:rPr>
        <w:t xml:space="preserve">$ 1,054 and in 42.5% of them the income did not exceed half of the minimum wage per capita. With regard to demographic indicators, the average age of heads of households was 48 and those under 30 represented 13.1%. Among the female heads of household, 13.7% </w:t>
      </w:r>
      <w:r w:rsidR="00947A56" w:rsidRPr="006258EC">
        <w:rPr>
          <w:rFonts w:ascii="Times New Roman" w:hAnsi="Times New Roman" w:cs="Times New Roman"/>
          <w:sz w:val="24"/>
          <w:szCs w:val="24"/>
          <w:lang w:val="en-US"/>
        </w:rPr>
        <w:t>were</w:t>
      </w:r>
      <w:r w:rsidRPr="006258EC">
        <w:rPr>
          <w:rFonts w:ascii="Times New Roman" w:hAnsi="Times New Roman" w:cs="Times New Roman"/>
          <w:sz w:val="24"/>
          <w:szCs w:val="24"/>
          <w:lang w:val="en-US"/>
        </w:rPr>
        <w:t xml:space="preserve"> </w:t>
      </w:r>
      <w:r w:rsidR="003122CF" w:rsidRPr="006258EC">
        <w:rPr>
          <w:rFonts w:ascii="Times New Roman" w:hAnsi="Times New Roman" w:cs="Times New Roman"/>
          <w:sz w:val="24"/>
          <w:szCs w:val="24"/>
          <w:lang w:val="en-US"/>
        </w:rPr>
        <w:t>under</w:t>
      </w:r>
      <w:r w:rsidRPr="006258EC">
        <w:rPr>
          <w:rFonts w:ascii="Times New Roman" w:hAnsi="Times New Roman" w:cs="Times New Roman"/>
          <w:sz w:val="24"/>
          <w:szCs w:val="24"/>
          <w:lang w:val="en-US"/>
        </w:rPr>
        <w:t xml:space="preserve"> 30 years</w:t>
      </w:r>
      <w:r w:rsidR="00947A56" w:rsidRPr="006258EC">
        <w:rPr>
          <w:rFonts w:ascii="Times New Roman" w:hAnsi="Times New Roman" w:cs="Times New Roman"/>
          <w:sz w:val="24"/>
          <w:szCs w:val="24"/>
          <w:lang w:val="en-US"/>
        </w:rPr>
        <w:t xml:space="preserve"> old</w:t>
      </w:r>
      <w:r w:rsidRPr="006258EC">
        <w:rPr>
          <w:rFonts w:ascii="Times New Roman" w:hAnsi="Times New Roman" w:cs="Times New Roman"/>
          <w:sz w:val="24"/>
          <w:szCs w:val="24"/>
          <w:lang w:val="en-US"/>
        </w:rPr>
        <w:t>, and the share of children from 0 to 5 years was equivalent to 9.2% of the total population of this group.</w:t>
      </w:r>
    </w:p>
    <w:sectPr w:rsidR="002C5177" w:rsidRPr="006258EC" w:rsidSect="002A7E9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B45" w:rsidRDefault="004A2B45" w:rsidP="006153FE">
      <w:pPr>
        <w:spacing w:after="0" w:line="240" w:lineRule="auto"/>
      </w:pPr>
      <w:r>
        <w:separator/>
      </w:r>
    </w:p>
  </w:endnote>
  <w:endnote w:type="continuationSeparator" w:id="0">
    <w:p w:rsidR="004A2B45" w:rsidRDefault="004A2B45" w:rsidP="00615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B45" w:rsidRDefault="004A2B45" w:rsidP="006153FE">
      <w:pPr>
        <w:spacing w:after="0" w:line="240" w:lineRule="auto"/>
      </w:pPr>
      <w:r>
        <w:separator/>
      </w:r>
    </w:p>
  </w:footnote>
  <w:footnote w:type="continuationSeparator" w:id="0">
    <w:p w:rsidR="004A2B45" w:rsidRDefault="004A2B45" w:rsidP="006153FE">
      <w:pPr>
        <w:spacing w:after="0" w:line="240" w:lineRule="auto"/>
      </w:pPr>
      <w:r>
        <w:continuationSeparator/>
      </w:r>
    </w:p>
  </w:footnote>
  <w:footnote w:id="1">
    <w:p w:rsidR="006153FE" w:rsidRPr="006153FE" w:rsidRDefault="006153FE" w:rsidP="006153FE">
      <w:pPr>
        <w:pStyle w:val="FootnoteText"/>
        <w:jc w:val="both"/>
        <w:rPr>
          <w:rFonts w:ascii="Times New Roman" w:hAnsi="Times New Roman" w:cs="Times New Roman"/>
          <w:lang w:val="en-US"/>
        </w:rPr>
      </w:pPr>
      <w:r w:rsidRPr="006153FE">
        <w:rPr>
          <w:rStyle w:val="FootnoteReference"/>
          <w:rFonts w:ascii="Times New Roman" w:hAnsi="Times New Roman" w:cs="Times New Roman"/>
        </w:rPr>
        <w:footnoteRef/>
      </w:r>
      <w:r w:rsidRPr="006153FE">
        <w:rPr>
          <w:rFonts w:ascii="Times New Roman" w:hAnsi="Times New Roman" w:cs="Times New Roman"/>
          <w:lang w:val="en-US"/>
        </w:rPr>
        <w:t xml:space="preserve">Extracted from </w:t>
      </w:r>
      <w:r w:rsidR="00731371">
        <w:rPr>
          <w:rFonts w:ascii="Times New Roman" w:hAnsi="Times New Roman" w:cs="Times New Roman"/>
          <w:lang w:val="en-US"/>
        </w:rPr>
        <w:t>the web page</w:t>
      </w:r>
      <w:r>
        <w:rPr>
          <w:rFonts w:ascii="Times New Roman" w:hAnsi="Times New Roman" w:cs="Times New Roman"/>
          <w:lang w:val="en-US"/>
        </w:rPr>
        <w:t xml:space="preserve"> of </w:t>
      </w:r>
      <w:r w:rsidR="00947A56" w:rsidRPr="00947A56">
        <w:rPr>
          <w:rFonts w:ascii="Times New Roman" w:hAnsi="Times New Roman" w:cs="Times New Roman"/>
          <w:color w:val="00B0F0"/>
          <w:lang w:val="en-US"/>
        </w:rPr>
        <w:t>the</w:t>
      </w:r>
      <w:r w:rsidR="00947A56">
        <w:rPr>
          <w:rFonts w:ascii="Times New Roman" w:hAnsi="Times New Roman" w:cs="Times New Roman"/>
          <w:lang w:val="en-US"/>
        </w:rPr>
        <w:t xml:space="preserve"> </w:t>
      </w:r>
      <w:r w:rsidRPr="006153FE">
        <w:rPr>
          <w:rFonts w:ascii="Times New Roman" w:hAnsi="Times New Roman" w:cs="Times New Roman"/>
          <w:lang w:val="en-US"/>
        </w:rPr>
        <w:t>Legislative Assembly of the State of São Paulo</w:t>
      </w:r>
      <w:r>
        <w:rPr>
          <w:rFonts w:ascii="Times New Roman" w:hAnsi="Times New Roman" w:cs="Times New Roman"/>
          <w:lang w:val="en-US"/>
        </w:rPr>
        <w:t xml:space="preserve"> at: </w:t>
      </w:r>
      <w:hyperlink r:id="rId1" w:history="1">
        <w:r w:rsidR="00731371" w:rsidRPr="009F118C">
          <w:rPr>
            <w:rStyle w:val="Hyperlink"/>
            <w:rFonts w:ascii="Times New Roman" w:hAnsi="Times New Roman" w:cs="Times New Roman"/>
            <w:lang w:val="en-US"/>
          </w:rPr>
          <w:t>http://indices-ilp.al.sp.gov.br/view/index.php?prodCod=2</w:t>
        </w:r>
      </w:hyperlink>
      <w:r w:rsidR="00731371">
        <w:rPr>
          <w:rFonts w:ascii="Times New Roman" w:hAnsi="Times New Roman" w:cs="Times New Roman"/>
          <w:lang w:val="en-US"/>
        </w:rPr>
        <w:t xml:space="preserve">, on September </w:t>
      </w:r>
      <w:r w:rsidR="00094781">
        <w:rPr>
          <w:rFonts w:ascii="Times New Roman" w:hAnsi="Times New Roman" w:cs="Times New Roman"/>
          <w:lang w:val="en-US"/>
        </w:rPr>
        <w:t>21</w:t>
      </w:r>
      <w:r w:rsidR="00094781" w:rsidRPr="00094781">
        <w:rPr>
          <w:rFonts w:ascii="Times New Roman" w:hAnsi="Times New Roman" w:cs="Times New Roman"/>
          <w:vertAlign w:val="superscript"/>
          <w:lang w:val="en-US"/>
        </w:rPr>
        <w:t>st</w:t>
      </w:r>
      <w:r w:rsidR="00947A56" w:rsidRPr="00947A56">
        <w:rPr>
          <w:rFonts w:ascii="Times New Roman" w:hAnsi="Times New Roman" w:cs="Times New Roman"/>
          <w:lang w:val="en-US"/>
        </w:rPr>
        <w:t>,</w:t>
      </w:r>
      <w:r w:rsidR="00094781">
        <w:rPr>
          <w:rFonts w:ascii="Times New Roman" w:hAnsi="Times New Roman" w:cs="Times New Roman"/>
          <w:lang w:val="en-US"/>
        </w:rPr>
        <w:t xml:space="preserve"> </w:t>
      </w:r>
      <w:r w:rsidR="00731371">
        <w:rPr>
          <w:rFonts w:ascii="Times New Roman" w:hAnsi="Times New Roman" w:cs="Times New Roman"/>
          <w:lang w:val="en-US"/>
        </w:rPr>
        <w:t>2018.</w:t>
      </w:r>
    </w:p>
  </w:footnote>
  <w:footnote w:id="2">
    <w:p w:rsidR="00094781" w:rsidRPr="00094781" w:rsidRDefault="00094781">
      <w:pPr>
        <w:pStyle w:val="FootnoteText"/>
        <w:rPr>
          <w:rFonts w:ascii="Times New Roman" w:hAnsi="Times New Roman" w:cs="Times New Roman"/>
          <w:lang w:val="en-US"/>
        </w:rPr>
      </w:pPr>
      <w:r w:rsidRPr="00094781">
        <w:rPr>
          <w:rStyle w:val="FootnoteReference"/>
          <w:rFonts w:ascii="Times New Roman" w:hAnsi="Times New Roman" w:cs="Times New Roman"/>
        </w:rPr>
        <w:footnoteRef/>
      </w:r>
      <w:r w:rsidRPr="00094781">
        <w:rPr>
          <w:rFonts w:ascii="Times New Roman" w:hAnsi="Times New Roman" w:cs="Times New Roman"/>
          <w:lang w:val="en-US"/>
        </w:rPr>
        <w:t xml:space="preserve"> </w:t>
      </w:r>
      <w:r>
        <w:rPr>
          <w:rFonts w:ascii="Times New Roman" w:hAnsi="Times New Roman" w:cs="Times New Roman"/>
          <w:lang w:val="en-US"/>
        </w:rPr>
        <w:t>R$ 1.00 is equivalent to U</w:t>
      </w:r>
      <w:r w:rsidRPr="00094781">
        <w:rPr>
          <w:rFonts w:ascii="Times New Roman" w:hAnsi="Times New Roman" w:cs="Times New Roman"/>
          <w:lang w:val="en-US"/>
        </w:rPr>
        <w:t xml:space="preserve">$ 0.24, </w:t>
      </w:r>
      <w:r w:rsidR="003169AB">
        <w:rPr>
          <w:rFonts w:ascii="Times New Roman" w:hAnsi="Times New Roman" w:cs="Times New Roman"/>
          <w:lang w:val="en-US"/>
        </w:rPr>
        <w:t xml:space="preserve">consulted </w:t>
      </w:r>
      <w:r>
        <w:rPr>
          <w:rFonts w:ascii="Times New Roman" w:hAnsi="Times New Roman" w:cs="Times New Roman"/>
          <w:lang w:val="en-US"/>
        </w:rPr>
        <w:t xml:space="preserve">on </w:t>
      </w:r>
      <w:r w:rsidRPr="00094781">
        <w:rPr>
          <w:rFonts w:ascii="Times New Roman" w:hAnsi="Times New Roman" w:cs="Times New Roman"/>
          <w:lang w:val="en-US"/>
        </w:rPr>
        <w:t>September 21</w:t>
      </w:r>
      <w:r w:rsidRPr="00094781">
        <w:rPr>
          <w:rFonts w:ascii="Times New Roman" w:hAnsi="Times New Roman" w:cs="Times New Roman"/>
          <w:vertAlign w:val="superscript"/>
          <w:lang w:val="en-US"/>
        </w:rPr>
        <w:t>s</w:t>
      </w:r>
      <w:r w:rsidR="00947A56">
        <w:rPr>
          <w:rFonts w:ascii="Times New Roman" w:hAnsi="Times New Roman" w:cs="Times New Roman"/>
          <w:vertAlign w:val="superscript"/>
          <w:lang w:val="en-US"/>
        </w:rPr>
        <w:t>t</w:t>
      </w:r>
      <w:r w:rsidR="00947A56" w:rsidRPr="00947A56">
        <w:rPr>
          <w:rFonts w:ascii="Times New Roman" w:hAnsi="Times New Roman" w:cs="Times New Roman"/>
          <w:lang w:val="en-US"/>
        </w:rPr>
        <w:t>,</w:t>
      </w:r>
      <w:r>
        <w:rPr>
          <w:rFonts w:ascii="Times New Roman" w:hAnsi="Times New Roman" w:cs="Times New Roman"/>
          <w:lang w:val="en-US"/>
        </w:rPr>
        <w:t xml:space="preserve"> </w:t>
      </w:r>
      <w:r w:rsidRPr="00094781">
        <w:rPr>
          <w:rFonts w:ascii="Times New Roman" w:hAnsi="Times New Roman" w:cs="Times New Roman"/>
          <w:lang w:val="en-US"/>
        </w:rPr>
        <w:t>2018</w:t>
      </w:r>
      <w:r>
        <w:rPr>
          <w:rFonts w:ascii="Times New Roman" w:hAnsi="Times New Roman" w:cs="Times New Roman"/>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docVars>
    <w:docVar w:name="Total_Editing_Time" w:val="1"/>
  </w:docVars>
  <w:rsids>
    <w:rsidRoot w:val="002C5177"/>
    <w:rsid w:val="00025410"/>
    <w:rsid w:val="00094781"/>
    <w:rsid w:val="000D6223"/>
    <w:rsid w:val="0024783F"/>
    <w:rsid w:val="002A7E9A"/>
    <w:rsid w:val="002C5177"/>
    <w:rsid w:val="003122CF"/>
    <w:rsid w:val="003169AB"/>
    <w:rsid w:val="003E039B"/>
    <w:rsid w:val="004A2B45"/>
    <w:rsid w:val="005325DF"/>
    <w:rsid w:val="006153FE"/>
    <w:rsid w:val="006258EC"/>
    <w:rsid w:val="00731371"/>
    <w:rsid w:val="00947A56"/>
    <w:rsid w:val="00A355B5"/>
    <w:rsid w:val="00A64980"/>
    <w:rsid w:val="00A80335"/>
    <w:rsid w:val="00B32F7C"/>
    <w:rsid w:val="00B83549"/>
    <w:rsid w:val="00BF2963"/>
    <w:rsid w:val="00C62594"/>
    <w:rsid w:val="00EF5021"/>
    <w:rsid w:val="00FE2DC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E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C5177"/>
    <w:pPr>
      <w:spacing w:before="100" w:beforeAutospacing="1" w:after="100" w:afterAutospacing="1" w:line="240" w:lineRule="auto"/>
    </w:pPr>
    <w:rPr>
      <w:rFonts w:ascii="Verdana" w:eastAsia="Times New Roman" w:hAnsi="Verdana" w:cs="Times New Roman"/>
      <w:sz w:val="20"/>
      <w:szCs w:val="20"/>
      <w:lang w:eastAsia="pt-BR"/>
    </w:rPr>
  </w:style>
  <w:style w:type="character" w:styleId="Hyperlink">
    <w:name w:val="Hyperlink"/>
    <w:basedOn w:val="DefaultParagraphFont"/>
    <w:uiPriority w:val="99"/>
    <w:unhideWhenUsed/>
    <w:rsid w:val="002C5177"/>
    <w:rPr>
      <w:color w:val="0563C1" w:themeColor="hyperlink"/>
      <w:u w:val="single"/>
    </w:rPr>
  </w:style>
  <w:style w:type="paragraph" w:styleId="FootnoteText">
    <w:name w:val="footnote text"/>
    <w:basedOn w:val="Normal"/>
    <w:link w:val="FootnoteTextChar"/>
    <w:uiPriority w:val="99"/>
    <w:semiHidden/>
    <w:unhideWhenUsed/>
    <w:rsid w:val="006153F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53FE"/>
    <w:rPr>
      <w:sz w:val="20"/>
      <w:szCs w:val="20"/>
    </w:rPr>
  </w:style>
  <w:style w:type="character" w:styleId="FootnoteReference">
    <w:name w:val="footnote reference"/>
    <w:basedOn w:val="DefaultParagraphFont"/>
    <w:uiPriority w:val="99"/>
    <w:semiHidden/>
    <w:unhideWhenUsed/>
    <w:rsid w:val="006153FE"/>
    <w:rPr>
      <w:vertAlign w:val="superscript"/>
    </w:rPr>
  </w:style>
  <w:style w:type="character" w:styleId="CommentReference">
    <w:name w:val="annotation reference"/>
    <w:basedOn w:val="DefaultParagraphFont"/>
    <w:uiPriority w:val="99"/>
    <w:semiHidden/>
    <w:unhideWhenUsed/>
    <w:rsid w:val="00947A56"/>
    <w:rPr>
      <w:sz w:val="16"/>
      <w:szCs w:val="16"/>
    </w:rPr>
  </w:style>
  <w:style w:type="paragraph" w:styleId="CommentText">
    <w:name w:val="annotation text"/>
    <w:basedOn w:val="Normal"/>
    <w:link w:val="CommentTextChar"/>
    <w:unhideWhenUsed/>
    <w:rsid w:val="00947A56"/>
    <w:pPr>
      <w:spacing w:line="240" w:lineRule="auto"/>
    </w:pPr>
    <w:rPr>
      <w:sz w:val="20"/>
      <w:szCs w:val="20"/>
    </w:rPr>
  </w:style>
  <w:style w:type="character" w:customStyle="1" w:styleId="CommentTextChar">
    <w:name w:val="Comment Text Char"/>
    <w:basedOn w:val="DefaultParagraphFont"/>
    <w:link w:val="CommentText"/>
    <w:rsid w:val="00947A56"/>
    <w:rPr>
      <w:sz w:val="20"/>
      <w:szCs w:val="20"/>
    </w:rPr>
  </w:style>
  <w:style w:type="paragraph" w:styleId="CommentSubject">
    <w:name w:val="annotation subject"/>
    <w:basedOn w:val="CommentText"/>
    <w:next w:val="CommentText"/>
    <w:link w:val="CommentSubjectChar"/>
    <w:uiPriority w:val="99"/>
    <w:semiHidden/>
    <w:unhideWhenUsed/>
    <w:rsid w:val="00947A56"/>
    <w:rPr>
      <w:b/>
      <w:bCs/>
    </w:rPr>
  </w:style>
  <w:style w:type="character" w:customStyle="1" w:styleId="CommentSubjectChar">
    <w:name w:val="Comment Subject Char"/>
    <w:basedOn w:val="CommentTextChar"/>
    <w:link w:val="CommentSubject"/>
    <w:uiPriority w:val="99"/>
    <w:semiHidden/>
    <w:rsid w:val="00947A56"/>
    <w:rPr>
      <w:b/>
      <w:bCs/>
      <w:sz w:val="20"/>
      <w:szCs w:val="20"/>
    </w:rPr>
  </w:style>
  <w:style w:type="paragraph" w:styleId="BalloonText">
    <w:name w:val="Balloon Text"/>
    <w:basedOn w:val="Normal"/>
    <w:link w:val="BalloonTextChar"/>
    <w:uiPriority w:val="99"/>
    <w:semiHidden/>
    <w:unhideWhenUsed/>
    <w:rsid w:val="00947A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A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ominetti@ufscar.br"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indices-ilp.al.sp.gov.br/view/index.php?prodCod=2"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7DDCC-8FB7-4777-9F92-4B1216799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699</Words>
  <Characters>3507</Characters>
  <Application>Microsoft Office Word</Application>
  <DocSecurity>0</DocSecurity>
  <Lines>59</Lines>
  <Paragraphs>13</Paragraphs>
  <ScaleCrop>false</ScaleCrop>
  <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Márcia Cominetti</dc:creator>
  <cp:lastModifiedBy>DLAMBO</cp:lastModifiedBy>
  <cp:revision>3</cp:revision>
  <dcterms:created xsi:type="dcterms:W3CDTF">2018-09-26T17:56:00Z</dcterms:created>
  <dcterms:modified xsi:type="dcterms:W3CDTF">2018-10-25T13:22:00Z</dcterms:modified>
</cp:coreProperties>
</file>