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320" w:rsidRPr="00C24B35" w:rsidRDefault="00755320" w:rsidP="00755320">
      <w:pPr>
        <w:rPr>
          <w:rFonts w:ascii="Times New Roman" w:hAnsi="Times New Roman" w:cs="Times New Roman"/>
          <w:color w:val="auto"/>
          <w:szCs w:val="20"/>
          <w:lang w:val="en-GB"/>
        </w:rPr>
      </w:pPr>
      <w:r w:rsidRPr="00C24B35">
        <w:rPr>
          <w:rFonts w:ascii="Times New Roman" w:hAnsi="Times New Roman" w:cs="Times New Roman"/>
          <w:color w:val="auto"/>
          <w:szCs w:val="20"/>
          <w:lang w:val="en-GB"/>
        </w:rPr>
        <w:t xml:space="preserve">Table </w:t>
      </w:r>
      <w:r w:rsidR="007D0424">
        <w:rPr>
          <w:rFonts w:ascii="Times New Roman" w:hAnsi="Times New Roman" w:cs="Times New Roman"/>
          <w:color w:val="auto"/>
          <w:szCs w:val="20"/>
          <w:lang w:val="en-GB"/>
        </w:rPr>
        <w:t>S</w:t>
      </w:r>
      <w:bookmarkStart w:id="0" w:name="_GoBack"/>
      <w:bookmarkEnd w:id="0"/>
      <w:r w:rsidRPr="00C24B35">
        <w:rPr>
          <w:rFonts w:ascii="Times New Roman" w:hAnsi="Times New Roman" w:cs="Times New Roman"/>
          <w:color w:val="auto"/>
          <w:szCs w:val="20"/>
          <w:lang w:val="en-GB"/>
        </w:rPr>
        <w:t>1: Quality assessment of included studies based on PEDro scale.</w:t>
      </w:r>
    </w:p>
    <w:tbl>
      <w:tblPr>
        <w:tblStyle w:val="TableGrid"/>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6"/>
        <w:gridCol w:w="982"/>
        <w:gridCol w:w="981"/>
        <w:gridCol w:w="981"/>
        <w:gridCol w:w="981"/>
        <w:gridCol w:w="982"/>
        <w:gridCol w:w="983"/>
        <w:gridCol w:w="983"/>
        <w:gridCol w:w="983"/>
        <w:gridCol w:w="983"/>
        <w:gridCol w:w="986"/>
        <w:gridCol w:w="986"/>
        <w:gridCol w:w="992"/>
        <w:gridCol w:w="1060"/>
      </w:tblGrid>
      <w:tr w:rsidR="00C24B35" w:rsidRPr="00C24B35" w:rsidTr="00E35F7E">
        <w:tc>
          <w:tcPr>
            <w:tcW w:w="2026" w:type="dxa"/>
            <w:tcBorders>
              <w:top w:val="single" w:sz="12" w:space="0" w:color="000000"/>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Reference</w:t>
            </w:r>
          </w:p>
        </w:tc>
        <w:tc>
          <w:tcPr>
            <w:tcW w:w="10811" w:type="dxa"/>
            <w:gridSpan w:val="11"/>
            <w:tcBorders>
              <w:top w:val="single" w:sz="12" w:space="0" w:color="000000"/>
              <w:bottom w:val="single" w:sz="8" w:space="0" w:color="000000"/>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Criteria</w:t>
            </w:r>
          </w:p>
        </w:tc>
        <w:tc>
          <w:tcPr>
            <w:tcW w:w="992" w:type="dxa"/>
            <w:tcBorders>
              <w:top w:val="single" w:sz="12" w:space="0" w:color="000000"/>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Total</w:t>
            </w:r>
          </w:p>
        </w:tc>
        <w:tc>
          <w:tcPr>
            <w:tcW w:w="1060" w:type="dxa"/>
            <w:tcBorders>
              <w:top w:val="single" w:sz="12" w:space="0" w:color="000000"/>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Quality</w:t>
            </w:r>
          </w:p>
        </w:tc>
      </w:tr>
      <w:tr w:rsidR="00C24B35" w:rsidRPr="00C24B35" w:rsidTr="00E35F7E">
        <w:tc>
          <w:tcPr>
            <w:tcW w:w="2026" w:type="dxa"/>
            <w:tcBorders>
              <w:bottom w:val="single" w:sz="4" w:space="0" w:color="auto"/>
            </w:tcBorders>
          </w:tcPr>
          <w:p w:rsidR="00305EEB" w:rsidRPr="00C24B35" w:rsidRDefault="00305EEB" w:rsidP="00E35F7E">
            <w:pPr>
              <w:rPr>
                <w:rFonts w:ascii="Times New Roman" w:hAnsi="Times New Roman" w:cs="Times New Roman"/>
                <w:b/>
                <w:color w:val="auto"/>
                <w:sz w:val="20"/>
                <w:szCs w:val="20"/>
              </w:rPr>
            </w:pPr>
          </w:p>
        </w:tc>
        <w:tc>
          <w:tcPr>
            <w:tcW w:w="982" w:type="dxa"/>
            <w:tcBorders>
              <w:top w:val="single" w:sz="8" w:space="0" w:color="000000"/>
              <w:bottom w:val="single" w:sz="4" w:space="0" w:color="auto"/>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1*</w:t>
            </w:r>
          </w:p>
        </w:tc>
        <w:tc>
          <w:tcPr>
            <w:tcW w:w="981" w:type="dxa"/>
            <w:tcBorders>
              <w:top w:val="single" w:sz="8" w:space="0" w:color="000000"/>
              <w:bottom w:val="single" w:sz="4" w:space="0" w:color="auto"/>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2</w:t>
            </w:r>
          </w:p>
        </w:tc>
        <w:tc>
          <w:tcPr>
            <w:tcW w:w="981" w:type="dxa"/>
            <w:tcBorders>
              <w:top w:val="single" w:sz="8" w:space="0" w:color="000000"/>
              <w:bottom w:val="single" w:sz="4" w:space="0" w:color="auto"/>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3</w:t>
            </w:r>
          </w:p>
        </w:tc>
        <w:tc>
          <w:tcPr>
            <w:tcW w:w="981" w:type="dxa"/>
            <w:tcBorders>
              <w:top w:val="single" w:sz="8" w:space="0" w:color="000000"/>
              <w:bottom w:val="single" w:sz="4" w:space="0" w:color="auto"/>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4</w:t>
            </w:r>
          </w:p>
        </w:tc>
        <w:tc>
          <w:tcPr>
            <w:tcW w:w="982" w:type="dxa"/>
            <w:tcBorders>
              <w:top w:val="single" w:sz="8" w:space="0" w:color="000000"/>
              <w:bottom w:val="single" w:sz="4" w:space="0" w:color="auto"/>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5</w:t>
            </w:r>
          </w:p>
        </w:tc>
        <w:tc>
          <w:tcPr>
            <w:tcW w:w="983" w:type="dxa"/>
            <w:tcBorders>
              <w:top w:val="single" w:sz="8" w:space="0" w:color="000000"/>
              <w:bottom w:val="single" w:sz="4" w:space="0" w:color="auto"/>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6</w:t>
            </w:r>
          </w:p>
        </w:tc>
        <w:tc>
          <w:tcPr>
            <w:tcW w:w="983" w:type="dxa"/>
            <w:tcBorders>
              <w:top w:val="single" w:sz="8" w:space="0" w:color="000000"/>
              <w:bottom w:val="single" w:sz="4" w:space="0" w:color="auto"/>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7</w:t>
            </w:r>
          </w:p>
        </w:tc>
        <w:tc>
          <w:tcPr>
            <w:tcW w:w="983" w:type="dxa"/>
            <w:tcBorders>
              <w:top w:val="single" w:sz="8" w:space="0" w:color="000000"/>
              <w:bottom w:val="single" w:sz="4" w:space="0" w:color="auto"/>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8</w:t>
            </w:r>
          </w:p>
        </w:tc>
        <w:tc>
          <w:tcPr>
            <w:tcW w:w="983" w:type="dxa"/>
            <w:tcBorders>
              <w:top w:val="single" w:sz="8" w:space="0" w:color="000000"/>
              <w:bottom w:val="single" w:sz="4" w:space="0" w:color="auto"/>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9</w:t>
            </w:r>
          </w:p>
        </w:tc>
        <w:tc>
          <w:tcPr>
            <w:tcW w:w="986" w:type="dxa"/>
            <w:tcBorders>
              <w:top w:val="single" w:sz="8" w:space="0" w:color="000000"/>
              <w:bottom w:val="single" w:sz="4" w:space="0" w:color="auto"/>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10</w:t>
            </w:r>
          </w:p>
        </w:tc>
        <w:tc>
          <w:tcPr>
            <w:tcW w:w="986" w:type="dxa"/>
            <w:tcBorders>
              <w:top w:val="single" w:sz="8" w:space="0" w:color="000000"/>
              <w:bottom w:val="single" w:sz="4" w:space="0" w:color="auto"/>
            </w:tcBorders>
          </w:tcPr>
          <w:p w:rsidR="00305EEB" w:rsidRPr="00C24B35" w:rsidRDefault="00305EEB" w:rsidP="00E35F7E">
            <w:pPr>
              <w:rPr>
                <w:rFonts w:ascii="Times New Roman" w:hAnsi="Times New Roman" w:cs="Times New Roman"/>
                <w:b/>
                <w:color w:val="auto"/>
                <w:sz w:val="20"/>
                <w:szCs w:val="20"/>
              </w:rPr>
            </w:pPr>
            <w:r w:rsidRPr="00C24B35">
              <w:rPr>
                <w:rFonts w:ascii="Times New Roman" w:hAnsi="Times New Roman" w:cs="Times New Roman"/>
                <w:b/>
                <w:color w:val="auto"/>
                <w:sz w:val="20"/>
                <w:szCs w:val="20"/>
              </w:rPr>
              <w:t>11</w:t>
            </w:r>
          </w:p>
        </w:tc>
        <w:tc>
          <w:tcPr>
            <w:tcW w:w="992" w:type="dxa"/>
            <w:tcBorders>
              <w:bottom w:val="single" w:sz="4" w:space="0" w:color="auto"/>
            </w:tcBorders>
          </w:tcPr>
          <w:p w:rsidR="00305EEB" w:rsidRPr="00C24B35" w:rsidRDefault="00305EEB" w:rsidP="00E35F7E">
            <w:pPr>
              <w:rPr>
                <w:rFonts w:ascii="Times New Roman" w:hAnsi="Times New Roman" w:cs="Times New Roman"/>
                <w:b/>
                <w:color w:val="auto"/>
                <w:sz w:val="20"/>
                <w:szCs w:val="20"/>
              </w:rPr>
            </w:pPr>
          </w:p>
        </w:tc>
        <w:tc>
          <w:tcPr>
            <w:tcW w:w="1060" w:type="dxa"/>
            <w:tcBorders>
              <w:bottom w:val="single" w:sz="4" w:space="0" w:color="auto"/>
            </w:tcBorders>
          </w:tcPr>
          <w:p w:rsidR="00305EEB" w:rsidRPr="00C24B35" w:rsidRDefault="00305EEB" w:rsidP="00E35F7E">
            <w:pPr>
              <w:rPr>
                <w:rFonts w:ascii="Times New Roman" w:hAnsi="Times New Roman" w:cs="Times New Roman"/>
                <w:b/>
                <w:color w:val="auto"/>
                <w:sz w:val="20"/>
                <w:szCs w:val="20"/>
              </w:rPr>
            </w:pPr>
          </w:p>
        </w:tc>
      </w:tr>
      <w:tr w:rsidR="00C24B35" w:rsidRPr="00C24B35" w:rsidTr="00E35F7E">
        <w:tc>
          <w:tcPr>
            <w:tcW w:w="2026"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Bürge, 2017 </w:t>
            </w:r>
            <w:r w:rsidRPr="00C24B35">
              <w:rPr>
                <w:rFonts w:ascii="Times New Roman" w:hAnsi="Times New Roman" w:cs="Times New Roman"/>
                <w:color w:val="auto"/>
                <w:sz w:val="20"/>
                <w:szCs w:val="20"/>
                <w:lang w:val="en-GB"/>
              </w:rPr>
              <w:t>[</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"DOI" : "10.1017/s1041610216001460", "ISSN" : "1041-6102", "abstract" : "BACKGROUND: Several studies on the effect of physical exercise on activities of daily living (ADL) for people with dementia exist; yet, data concerning the specific context of acute psychiatric hospitals remain scant. This study measured the effect of a physical exercise program on ADL scores in patients with moderate to severe dementia hospitalized in an acute psychiatric ward. METHODS: A multicenter clinical trial was conducted in five Swiss and Belgian psychiatric hospitals. Participants were randomly allocated to either an experimental group (EG) or a control group (CG). Members of the EG received 20 physical exercise sessions (strengthening, balance, and walking) over a four-week period while members of the CG participated in social interaction sessions of equivalent duration and frequency, but without physical exercise. The effect of exercise on ADL was measured by comparing scores of the Barthel Index and the Functional Independence Measure in the EG and CG before and after the intervention, and two weeks later. RESULTS: Hundred and sixty patients completed the program. Characteristics of participants of both groups were similar at the inception of the study. The mean ADL score of EG decreased slightly over time, whereas that of the CG significantly decreased compared to initial scores. Overall differences between groups were not significant; however, significant differences were found for mobility-related items. CONCLUSIONS: ADL scores in elderly with moderate to severe dementia deteriorate during acute psychiatric hospitalization. An exercise program delays the loss of mobility but does not have a significant impact on overall ADL scores.", "author" : [ { "dropping-particle" : "", "family" : "Burge", "given" : "E", "non-dropping-particle" : "", "parse-names" : false, "suffix" : "" }, { "dropping-particle" : "", "family" : "Berchtold", "given" : "A", "non-dropping-particle" : "", "parse-names" : false, "suffix" : "" }, { "dropping-particle" : "", "family" : "Maupetit", "given" : "C", "non-dropping-particle" : "", "parse-names" : false, "suffix" : "" }, { "dropping-particle" : "", "family" : "Bourquin", "given" : "N M", "non-dropping-particle" : "", "parse-names" : false, "suffix" : "" }, { "dropping-particle" : "", "family" : "Gunten", "given" : "A", "non-dropping-particle" : "von", "parse-names" : false, "suffix" : "" }, { "dropping-particle" : "", "family" : "Ducraux", "given" : "D", "non-dropping-particle" : "", "parse-names" : false, "suffix" : "" }, { "dropping-particle" : "", "family" : "Zumbach", "given" : "S", "non-dropping-particle" : "", "parse-names" : false, "suffix" : "" }, { "dropping-particle" : "", "family" : "Peeters", "given" : "A", "non-dropping-particle" : "", "parse-names" : false, "suffix" : "" }, { "dropping-particle" : "", "family" : "Kuhne", "given" : "N", "non-dropping-particle" : "", "parse-names" : false, "suffix" : "" } ], "container-title" : "Int Psychogeriatr", "edition" : "2016/11/11", "id" : "ITEM-1", "issue" : "2", "issued" : { "date-parts" : [ [ "2017" ] ] }, "language" : "eng", "note" : "1741-203x\nBurge, Elisabeth\nBerchtold, Andre\nMaupetit, Christine\nBourquin, Nathalie M-P\nvon Gunten, Armin\nDucraux, Daniel\nZumbach, Serge\nPeeters, Anne\nKuhne, Nicolas\nJournal Article\nEngland\nInt Psychogeriatr. 2017 Feb;29(2):323-332. doi: 10.1017/S1041610216001460. Epub 2016 Nov 10.", "page" : "323-332", "publisher-place" : "Department of Physical Therapy,HES-SO University of Applied Sciences and Arts Western Switzerland,Geneva,Switzerland. Institute of Social Sciences &amp; NCCR LIVES,University of Lausanne,Lausanne,Switzerland. Department of Nursing,HES-SO University of Applied", "title" : "Does physical exercise improve ADL capacities in people over 65 years with moderate or severe dementia hospitalized in an acute psychiatric setting? A multisite randomized clinical trial", "type" : "article-journal", "volume" : "29" }, "uris" : [ "http://www.mendeley.com/documents/?uuid=f29427c1-7441-4cef-917c-295ac216f333" ] } ], "mendeley" : { "formattedCitation" : "&lt;sup&gt;21&lt;/sup&gt;", "plainTextFormattedCitation" : "21"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21</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1"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2"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3"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6"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92"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5</w:t>
            </w:r>
          </w:p>
        </w:tc>
        <w:tc>
          <w:tcPr>
            <w:tcW w:w="1060" w:type="dxa"/>
            <w:tcBorders>
              <w:top w:val="single" w:sz="4" w:space="0" w:color="auto"/>
            </w:tcBorders>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Sufficient </w:t>
            </w:r>
          </w:p>
        </w:tc>
      </w:tr>
      <w:tr w:rsidR="00C24B35" w:rsidRPr="00C24B35" w:rsidTr="00E35F7E">
        <w:tc>
          <w:tcPr>
            <w:tcW w:w="202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Czyzewski, 2013 </w:t>
            </w:r>
            <w:r w:rsidRPr="00C24B35">
              <w:rPr>
                <w:rFonts w:ascii="Times New Roman" w:hAnsi="Times New Roman" w:cs="Times New Roman"/>
                <w:color w:val="auto"/>
                <w:sz w:val="20"/>
                <w:szCs w:val="20"/>
                <w:lang w:val="en-GB"/>
              </w:rPr>
              <w:t>[</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"DOI" : "10.2478/pjs-2013-0074", "ISSN" : "0032-373x", "abstract" : "UNLABELLED: Aging population, increases the number of major abdominal surgery (MAS) performed in the elderly. Main goal of physiotherapy after that surgery is prevention postoperative complications and reduction of functional limitation. The aim of the study was to asses functional status elderly people after MAS during early postoperative physiotherapy. MATERIAL AND METHODS: In a prospective randomized study involved 34 patients scheduled for elective MAS, aged 65+. Patients were randomly assigned to receive PNF or conventional physiotherapy. The study included forced spirometry (FVC, FEV1, PEF) and functional tests (gait speed, up&amp;go). Measurements were performed before surgery and the fourth day after surgery. Also analyzed age, sex, BMI and the level of postoperative independence (postoperative independence scale SAP). Kolmogorow- Smirnow test was used to check normal distribution, t-Student was used to check whether two sets of data differ significantly, and r-Pearsons for correlations testing. p values &lt;0.05 were considered significant. RESULTS: After surgery the time of gait speed test and up and go test was significant longer in comparison to preoperative value. FVC%, FEV1%, PEF% values was decrease. In the PNF group was found significantly higher postoperative independence(SAP) and shorter length of stay in hospital compared to conventional physiotherapy group. Results of SAP and functional tests were significantly positive correlated. CONCLUSIONS: Major abdominal surgery decrees efficiency of walking and lung ventilation after 65 year old in early postoperative period. Some techniques of the PNF concept used in improving older patients after the MAS may favourably affect the postoperative increase independence and reduce the time of hospitalization.", "author" : [ { "dropping-particle" : "", "family" : "Czyzewski", "given" : "P", "non-dropping-particle" : "", "parse-names" : false, "suffix" : "" }, { "dropping-particle" : "", "family" : "Szczepkowski", "given" : "M", "non-dropping-particle" : "", "parse-names" : false, "suffix" : "" }, { "dropping-particle" : "", "family" : "Domaniecki", "given" : "J", "non-dropping-particle" : "", "parse-names" : false, "suffix" : "" }, { "dropping-particle" : "", "family" : "Dabek", "given" : "A", "non-dropping-particle" : "", "parse-names" : false, "suffix" : "" } ], "container-title" : "Pol Przegl Chir", "edition" : "2013/10/18", "id" : "ITEM-1", "issue" : "9", "issued" : { "date-parts" : [ [ "2013" ] ] }, "language" : "eng", "note" : "2299-2847\nCzyzewski, Piotr\nSzczepkowski, Marek\nDomaniecki, Janusz\nDabek, Aneta\nComparative Study\nJournal Article\nRandomized Controlled Trial\nResearch Support, Non-U.S. Gov't\nPoland\nPol Przegl Chir. 2013 Sep;85(9):475-82. doi: 10.2478/pjs-2013-0074.", "page" : "475-482", "title" : "Physiotherapy based on PNF concept for elderly people after conventional colon surgery", "type" : "article-journal", "volume" : "85" }, "uris" : [ "http://www.mendeley.com/documents/?uuid=4a33af67-cbf4-405d-8b63-8ab11beaca61" ] } ], "mendeley" : { "formattedCitation" : "&lt;sup&gt;17&lt;/sup&gt;", "plainTextFormattedCitation" : "17", "previouslyFormattedCitation" : "&lt;sup&gt;17&lt;/sup&gt;"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17</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9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4</w:t>
            </w:r>
          </w:p>
        </w:tc>
        <w:tc>
          <w:tcPr>
            <w:tcW w:w="1060"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Sufficient </w:t>
            </w:r>
          </w:p>
        </w:tc>
      </w:tr>
      <w:tr w:rsidR="00C24B35" w:rsidRPr="00C24B35" w:rsidTr="00E35F7E">
        <w:tc>
          <w:tcPr>
            <w:tcW w:w="202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Haines, 2007 </w:t>
            </w:r>
            <w:r w:rsidRPr="00C24B35">
              <w:rPr>
                <w:rFonts w:ascii="Times New Roman" w:hAnsi="Times New Roman" w:cs="Times New Roman"/>
                <w:color w:val="auto"/>
                <w:sz w:val="20"/>
                <w:szCs w:val="20"/>
                <w:lang w:val="en-GB"/>
              </w:rPr>
              <w:t>[</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"ISSN" : "0269-2155", "PMID" : "17846074", "abstract" : "OBJECTIVE: To evaluate the clinical effectiveness and implementation of a falls prevention exercise programme for preventing falls in the subacute hospital setting. DESIGN: Randomized controlled trial, subgroup analysis. PARTICIPANTS: Patients of a metropolitan subacute/aged rehabilitation hospital who were recommended for a falls prevention exercise programme when enrolled in a larger randomized controlled trial of a falls prevention programme. METHODS: Participants in both the control and intervention groups who were recommended for the exercise programme intervention were followed for the duration of their hospital stay to determine if falls occurred. Participants had their balance, strength and mobility assessed upon referral for the exercise programme and then again prior to discharge. Participation rates in the exercise programme were also recorded. RESULTS: Intervention group participants in this subgroup analysis had a significantly lower incidence of falls than their control group counterparts (control: 16.0 falls/1000 participant-days, intervention: 8.2 falls/1000 participant-days, log-rank test: P = 0.007). However few differences in secondary balance, strength and mobility outcomes were evident. CONCLUSION: This exercise programme provided in addition to usual care may assist in the prevention of falls in the subacute hospital setting", "author" : [ { "dropping-particle" : "", "family" : "Haines", "given" : "Terry P", "non-dropping-particle" : "", "parse-names" : false, "suffix" : "" }, { "dropping-particle" : "", "family" : "Hill", "given" : "Keith D", "non-dropping-particle" : "", "parse-names" : false, "suffix" : "" }, { "dropping-particle" : "", "family" : "Bennell", "given" : "Kim L", "non-dropping-particle" : "", "parse-names" : false, "suffix" : "" }, { "dropping-particle" : "", "family" : "Osborne", "given" : "Richard H", "non-dropping-particle" : "", "parse-names" : false, "suffix" : "" } ], "container-title" : "Clin Rehabil", "id" : "ITEM-1", "issue" : "8", "issued" : { "date-parts" : [ [ "2007", "8" ] ] }, "language" : "eng JT - Clinical rehabilitation JID - 8802181 EDAT- 2007/09/12 09:00 MHDA- 2007/11/09 09:00", "note" : "DA - 20070911", "page" : "742-753", "publisher-place" : "Physiotherapy Department, GARU, Princess Alexandra Hospital, Woolloongabba, Queensland, Australia. Terrence_Haines@health.qld.gov.au", "title" : "Additional exercise for older subacute hospital inpatients to prevent falls: benefits and barriers to implementation and evaluation", "type" : "article-journal", "volume" : "21" }, "uris" : [ "http://www.mendeley.com/documents/?uuid=0372ee30-1029-415c-93b3-6ea6cbe6304b" ] } ], "mendeley" : { "formattedCitation" : "&lt;sup&gt;23&lt;/sup&gt;", "plainTextFormattedCitation" : "23", "previouslyFormattedCitation" : "&lt;sup&gt;23&lt;/sup&gt;"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23</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9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7</w:t>
            </w:r>
          </w:p>
        </w:tc>
        <w:tc>
          <w:tcPr>
            <w:tcW w:w="1060"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Good </w:t>
            </w:r>
          </w:p>
        </w:tc>
      </w:tr>
      <w:tr w:rsidR="00C24B35" w:rsidRPr="00C24B35" w:rsidTr="00E35F7E">
        <w:tc>
          <w:tcPr>
            <w:tcW w:w="202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Hegerova, 2014 </w:t>
            </w:r>
            <w:r w:rsidRPr="00C24B35">
              <w:rPr>
                <w:rFonts w:ascii="Times New Roman" w:hAnsi="Times New Roman" w:cs="Times New Roman"/>
                <w:color w:val="auto"/>
                <w:sz w:val="20"/>
                <w:szCs w:val="20"/>
                <w:lang w:val="en-GB"/>
              </w:rPr>
              <w:t>[</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"ISSN" : "1873-1244", "PMID" : "25466662", "abstract" : "OBJECTIVE: An acute disease is regularly associated with inflammation, decreased food intake, and low physical activity; the consequence is loss of muscle mass. However, the restoration of muscle tissue is problematic, especially in older patients. Loss of muscle mass leads to further decrease of physical activity which leads, together with recurring disease, to the progressive muscle mass loss accompanied by loss of self-sufficiency. Early nutrition support and physical activity could reverse this situation. Therefore, the aim of this study was to determine whether an active approach based on early nutritional therapy and exercise would influence the development of sarcopenia and impaired self-sufficiency during acute illness. METHODS: Two hundred patients &gt;78 y were admitted to a hospital internal medicine department and participated in a prospective, randomized controlled study. The patients were randomized to a control group receiving standard treatment (n = 100) or to an intervention group (n = 100). The intervention consisted of nutritional supplements (600 kcal, 20 g/d protein) added to a standard diet and a simultaneous intensive rehabilitation program. The tolerance of supplements and their influence on spontaneous food intake, self-sufficiency, muscle strength, and body composition were evaluated during the study period. The patients were then regularly monitored for 1 y post-discharge. RESULTS: The provision of nutritional supplements together with early rehabilitation led to increased total energy and protein intake while the intake of standard hospital food was not reduced. The loss of lean body mass and a decrease in self-sufficiency were apparent at discharge from the hospital and 3 mo thereafter in the control group. Nutritional supplementation and the rehabilitation program in the study group prevented these alterations. A positive effect of nutritional intervention and exercise during the hospital stay was apparent at 6 mo post-discharge. CONCLUSIONS: The early nutritional intervention together with early rehabilitation preserves muscle mass and independence in ill older patients hospitalized because of acute disease", "author" : [ { "dropping-particle" : "", "family" : "Hegerova", "given" : "Petra", "non-dropping-particle" : "", "parse-names" : false, "suffix" : "" }, { "dropping-particle" : "", "family" : "Dedkova", "given" : "Zuzana", "non-dropping-particle" : "", "parse-names" : false, "suffix" : "" }, { "dropping-particle" : "", "family" : "Sobotka", "given" : "Lubos", "non-dropping-particle" : "", "parse-names" : false, "suffix" : "" } ], "container-title" : "Nutrition", "id" : "ITEM-1", "issue" : "1", "issued" : { "date-parts" : [ [ "2015", "1" ] ] }, "language" : "eng JT - Nutrition (Burbank, Los Angeles County, Calif.) JID - 8802712 EDAT- 2014/12/04 06:00 MHDA- 2014/12/04 06:00 PHST- 2014/01/20 [received] PHST- 2014/07/02 [revised] PHST- 2014/07/05 [accepted] PHST- 2014/08/16 [aheadofprint]", "note" : "DA - 20141203", "page" : "166-170", "publisher-place" : "Third Department of Medicine, Medical Faculty and Faculty Hospital Hradec Kralove, Charles University, Prague, Czech Republic. Electronic address: petra.hegerova@fnhk.cz Third Department of Medicine, Medical Faculty and Faculty Hospital Hradec Kralove, Ch", "title" : "Early nutritional support and physiotherapy improved long-term self-sufficiency in acutely ill older patients", "type" : "article-journal", "volume" : "31" }, "uris" : [ "http://www.mendeley.com/documents/?uuid=3a8f3d5b-5e07-47f2-90e6-b6dc7a5827c8" ] } ], "mendeley" : { "formattedCitation" : "&lt;sup&gt;22&lt;/sup&gt;", "plainTextFormattedCitation" : "22", "previouslyFormattedCitation" : "&lt;sup&gt;22&lt;/sup&gt;"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22</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9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6</w:t>
            </w:r>
          </w:p>
        </w:tc>
        <w:tc>
          <w:tcPr>
            <w:tcW w:w="1060"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Good</w:t>
            </w:r>
          </w:p>
        </w:tc>
      </w:tr>
      <w:tr w:rsidR="00C24B35" w:rsidRPr="00C24B35" w:rsidTr="00E35F7E">
        <w:tc>
          <w:tcPr>
            <w:tcW w:w="202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Jones, 2006 </w:t>
            </w:r>
            <w:r w:rsidRPr="00C24B35">
              <w:rPr>
                <w:rFonts w:ascii="Times New Roman" w:hAnsi="Times New Roman" w:cs="Times New Roman"/>
                <w:color w:val="auto"/>
                <w:sz w:val="20"/>
                <w:szCs w:val="20"/>
                <w:lang w:val="en-GB"/>
              </w:rPr>
              <w:t>[</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"abstract" : "Objective: Functional decline is experienced by up to 50% of older hospitalised patients and is associated with increased institutionalisation, mortality and length of stay (LOS). We aimed to determine the effectiveness of an exercise program in reducing functional decline and health service utilisation in older inpatients. Methods: A single blinded randomised controlled trial was conducted in a tertiary metropolitan hospital involving 180 acute general medical patients aged &gt; or = 65 years. In addition to usual physiotherapy care, the intervention group performed an exercise program for 30 minutes, twice daily, with supervision and assistance. Change in physical function was measured by the modified Barthel index (mBI). Analysis was done on an intention-to-treat basis. Results: When admission mBI scores were low, there was a greater improvement in mBI scores in the intervention group compared with the control group. The intervention group had a shorter total LOS (Hazard ratio (HR) 1.46 (95%CI 1.04?2.05); P=0.026). [By permission, Australasian Medical Index, National Library of Australia]", "author" : [ { "dropping-particle" : "", "family" : "Jones", "given" : "C T", "non-dropping-particle" : "", "parse-names" : false, "suffix" : "" }, { "dropping-particle" : "", "family" : "Lowe", "given" : "A J", "non-dropping-particle" : "", "parse-names" : false, "suffix" : "" }, { "dropping-particle" : "", "family" : "MacGregor", "given" : "L", "non-dropping-particle" : "", "parse-names" : false, "suffix" : "" }, { "dropping-particle" : "", "family" : "Brand", "given" : "C A", "non-dropping-particle" : "", "parse-names" : false, "suffix" : "" }, { "dropping-particle" : "", "family" : "Tweddle", "given" : "N", "non-dropping-particle" : "", "parse-names" : false, "suffix" : "" }, { "dropping-particle" : "", "family" : "Russell", "given" : "D M", "non-dropping-particle" : "", "parse-names" : false, "suffix" : "" } ], "container-title" : "Australasian Journal of Ageing", "id" : "ITEM-1", "issue" : "3", "issued" : { "date-parts" : [ [ "2006" ] ] }, "note" : "CN-00636377\nCC: HS-ACC: HS-HANDSRCH", "page" : "126-133", "title" : "A randomised controlled trial of an exercise intervention to reduce functional decline and health service utilisation in the hospitalised elderly", "type" : "article-journal", "volume" : "25" }, "uris" : [ "http://www.mendeley.com/documents/?uuid=b401aa82-714b-4cb0-92e2-9babd6c4b5c5" ] } ], "mendeley" : { "formattedCitation" : "&lt;sup&gt;25&lt;/sup&gt;", "plainTextFormattedCitation" : "25", "previouslyFormattedCitation" : "&lt;sup&gt;25&lt;/sup&gt;"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25</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9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5</w:t>
            </w:r>
          </w:p>
        </w:tc>
        <w:tc>
          <w:tcPr>
            <w:tcW w:w="1060"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Sufficient </w:t>
            </w:r>
          </w:p>
        </w:tc>
      </w:tr>
      <w:tr w:rsidR="00C24B35" w:rsidRPr="00C24B35" w:rsidTr="00E35F7E">
        <w:tc>
          <w:tcPr>
            <w:tcW w:w="202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Kim, 2013 </w:t>
            </w:r>
            <w:r w:rsidRPr="00C24B35">
              <w:rPr>
                <w:rFonts w:ascii="Times New Roman" w:hAnsi="Times New Roman" w:cs="Times New Roman"/>
                <w:color w:val="auto"/>
                <w:sz w:val="20"/>
                <w:szCs w:val="20"/>
                <w:lang w:val="en-GB"/>
              </w:rPr>
              <w:t>[</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"ISSN" : "0915-5287", "PMID" : "24396203", "abstract" : "[Purpose] The aim of this study was to examine the effects of horse riding exercise using a horse riding simulator (HRS) and a ball on static and dynamic balance of elderly people. [Methods] Thirty-two elderly people hospitalized in geriatric hospitals were randomly assigned to the HRS exercise group or the ball exercise groups, and they performed exercise for eight weeks. [Results] The length of postural sway during quite standing with and without eyes closed significantly decreased in both groups after the exercises and there was no significant difference between both groups in the Romberg test. In the functional reach test (FRT), there were significant increases in distance in both groups after the exercises, and the distance of the HRS exercise group was significantly greater than that of the ball exercise group. In the Timed Up &amp; Go test (TUG) and Timed 10-meter walk test (10MWT), the time significantly decreased in both groups, and there was a more significant decrease in the HRS exercise group than in the ball exercise group. [Conclusion] The results of this study indicate that HRS and ball exercises may improve the balance and gait ability of elderly people hospitalized in nursing homes or geriatric hospitals", "author" : [ { "dropping-particle" : "", "family" : "Kim", "given" : "Seonggil", "non-dropping-particle" : "", "parse-names" : false, "suffix" : "" }, { "dropping-particle" : "", "family" : "Yuk", "given" : "Goon Chang", "non-dropping-particle" : "", "parse-names" : false, "suffix" : "" }, { "dropping-particle" : "", "family" : "Gak", "given" : "Hwangbo", "non-dropping-particle" : "", "parse-names" : false, "suffix" : "" } ], "container-title" : "J Phys Ther Sci", "id" : "ITEM-1", "issue" : "11", "issued" : { "date-parts" : [ [ "2013", "11" ] ] }, "language" : "eng JT - Journal of physical therapy science JID - 9105359 PMC - PMC3881470 EDAT- 2014/01/08 06:00 MHDA- 2014/01/08 06:01 PHST- 2013/05/09 [received] PHST- 2013/06/07 [accepted] PHST- 2013/12/11 [epublish]", "note" : "DA - 20140107", "page" : "1425-1428", "publisher-place" : "Department of Rehabilitation Science, Graduate School, Daegu University, Republic of Korea Department of Physical Therapy, Yeungnam University Hospital, Republic of Korea Department of Physical Therapy, College of Rehabilitation Science, Daegu University,", "title" : "Effects of the horse riding simulator and ball exercises on balance of the elderly", "type" : "article-journal", "volume" : "25" }, "uris" : [ "http://www.mendeley.com/documents/?uuid=a27037d7-4fa7-4ce7-9bd6-d8e380e937ed" ] } ], "mendeley" : { "formattedCitation" : "&lt;sup&gt;15&lt;/sup&gt;", "plainTextFormattedCitation" : "15", "previouslyFormattedCitation" : "&lt;sup&gt;15&lt;/sup&gt;"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15</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9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6</w:t>
            </w:r>
          </w:p>
        </w:tc>
        <w:tc>
          <w:tcPr>
            <w:tcW w:w="1060"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Good </w:t>
            </w:r>
          </w:p>
        </w:tc>
      </w:tr>
      <w:tr w:rsidR="00C24B35" w:rsidRPr="00C24B35" w:rsidTr="00E35F7E">
        <w:tc>
          <w:tcPr>
            <w:tcW w:w="202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Laver, 2012 </w:t>
            </w:r>
            <w:r w:rsidRPr="00C24B35">
              <w:rPr>
                <w:rFonts w:ascii="Times New Roman" w:hAnsi="Times New Roman" w:cs="Times New Roman"/>
                <w:color w:val="auto"/>
                <w:sz w:val="20"/>
                <w:szCs w:val="20"/>
                <w:lang w:val="en-GB"/>
              </w:rPr>
              <w:t>[</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"ISSN" : "1464-5165", "PMID" : "22409245", "abstract" : "PURPOSE: To assess the feasibility of a physiotherapy intervention using an interactive gaming program compared with conventional physiotherapy for hospitalised older people. METHODS: Randomised controlled pilot study in a geriatric rehabilitation unit within an acute public hospital. Participants were randomly allocated to physiotherapy using an interactive gaming program (n = 22) or conventional physiotherapy in a ward-based gym (n = 22). Feasibility was assessed by comparing the effects of the intervention on clinical outcome measures (primary outcome: mobility as assessed by the Timed Up and Go test, secondary outcomes: safety, adherence levels, eligibility and consent rates). RESULTS: Participants (n = 44) had a mean age of 85 years (SD 4.5) and the majority (80%) were women. Univariable analyses showed no significant difference between groups following intervention. However, multivariable analyses suggested that participants using the interactive gaming program improved more on the Timed Up and Go test (p = 0.048) than participants receiving conventional physiotherapy. There were no serious adverse events and high levels of adherence to therapy were evident in both groups. Only a small proportion of patients screened were recruited to the study. CONCLUSIONS: In this feasibility study, the use of a commercially available interactive gaming program by physiotherapists with older people in a hospital setting was safe and adherence levels were comparable with conventional therapy. Preliminary results suggest that further exploration of approaches using games as therapy for older people could include commonly used measures of balance and function", "author" : [ { "dropping-particle" : "", "family" : "Laver", "given" : "Kate", "non-dropping-particle" : "", "parse-names" : false, "suffix" : "" }, { "dropping-particle" : "", "family" : "George", "given" : "Stacey", "non-dropping-particle" : "", "parse-names" : false, "suffix" : "" }, { "dropping-particle" : "", "family" : "Ratcliffe", "given" : "Julie", "non-dropping-particle" : "", "parse-names" : false, "suffix" : "" }, { "dropping-particle" : "", "family" : "Quinn", "given" : "Steve", "non-dropping-particle" : "", "parse-names" : false, "suffix" : "" }, { "dropping-particle" : "", "family" : "Whitehead", "given" : "Craig", "non-dropping-particle" : "", "parse-names" : false, "suffix" : "" }, { "dropping-particle" : "", "family" : "Davies", "given" : "Owen", "non-dropping-particle" : "", "parse-names" : false, "suffix" : "" }, { "dropping-particle" : "", "family" : "Crotty", "given" : "Maria", "non-dropping-particle" : "", "parse-names" : false, "suffix" : "" } ], "container-title" : "Disabil Rehabil", "id" : "ITEM-1", "issue" : "21", "issued" : { "date-parts" : [ [ "2012" ] ] }, "language" : "eng JT - Disability and rehabilitation JID - 9207179 EDAT- 2012/03/14 06:00 MHDA- 2012/11/03 06:00 PHST- 2012/03/12 [aheadofprint]", "note" : "DA - 20120822", "page" : "1802-1808", "publisher-place" : "Flinders University Department of Rehabilitation and Aged Care, Adelaide, South Australia", "title" : "Use of an interactive video gaming program compared with conventional physiotherapy for hospitalised older adults: a feasibility trial", "type" : "article-journal", "volume" : "34" }, "uris" : [ "http://www.mendeley.com/documents/?uuid=8fef4b96-7f31-499f-aaa0-64f2700ebf4b" ] } ], "mendeley" : { "formattedCitation" : "&lt;sup&gt;24&lt;/sup&gt;", "plainTextFormattedCitation" : "24", "previouslyFormattedCitation" : "&lt;sup&gt;24&lt;/sup&gt;"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24</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9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8</w:t>
            </w:r>
          </w:p>
        </w:tc>
        <w:tc>
          <w:tcPr>
            <w:tcW w:w="1060"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Good </w:t>
            </w:r>
          </w:p>
        </w:tc>
      </w:tr>
      <w:tr w:rsidR="00C24B35" w:rsidRPr="00C24B35" w:rsidTr="00E35F7E">
        <w:tc>
          <w:tcPr>
            <w:tcW w:w="202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Maggioni, 2009 </w:t>
            </w:r>
            <w:r w:rsidRPr="00C24B35">
              <w:rPr>
                <w:rFonts w:ascii="Times New Roman" w:hAnsi="Times New Roman" w:cs="Times New Roman"/>
                <w:color w:val="auto"/>
                <w:sz w:val="20"/>
                <w:szCs w:val="20"/>
                <w:lang w:val="en-GB"/>
              </w:rPr>
              <w:t>[</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"ISSN" : "1872-6976", "PMID" : "19481275", "abstract" : "Long-stay hospitalized elderly patients frequently develop a decrease in strength, cardiovascular fitness and balance, which can be improved by exercise. Neuromuscular electrical stimulation (ES) might also be effective in this population. The effect of different lower limb rehabilitation programs (3 interventions/week for 6 weeks) on functional fitness in 40 hospitalized old females (82+/-7 years) were evaluated: kinesitherapy (KT), ES, KT alternated with ES (KT+ES), and no treatment (C). Outcome variables after rehabilitation were: (a) maximal strength of leg extensor and finger flexor muscles; (b) cardiorespiratory fitness (6-min walking test, 6MWT; heart rate, HR); (c) static and dynamic balance and gait skills (Tinetti test). The maximal strength of leg extensor (but not finger flexor) muscles significantly improved in ES (+26%) and KT+ES (+16%) groups only. The distance covered during the 6MWT significantly increased in KT (+15%), ES (+14%) and KT+ES (+9%) groups, but the post-test HR recovery improved in KT group only. Balance (but not gait) skill scores significantly and similarly increased in KT (+11%), ES (+10%) and KT+ES (+11%) groups. In long-stay hospitalized old females ES and KT+ES improved lower limbs isometric strength. Walking ability was improved by all treatments, whereas cardiovascular performance and recovery were ameliorated by KT only", "author" : [ { "dropping-particle" : "", "family" : "Maggioni", "given" : "Martina Anna", "non-dropping-particle" : "", "parse-names" : false, "suffix" : "" }, { "dropping-particle" : "", "family" : "Ce", "given" : "Emiliano", "non-dropping-particle" : "", "parse-names" : false, "suffix" : "" }, { "dropping-particle" : "", "family" : "Rampichini", "given" : "Susanna", "non-dropping-particle" : "", "parse-names" : false, "suffix" : "" }, { "dropping-particle" : "", "family" : "Ferrario", "given" : "Marco", "non-dropping-particle" : "", "parse-names" : false, "suffix" : "" }, { "dropping-particle" : "", "family" : "Giordano", "given" : "Geremia", "non-dropping-particle" : "", "parse-names" : false, "suffix" : "" }, { "dropping-particle" : "", "family" : "Veicsteinas", "given" : "Arsenio", "non-dropping-particle" : "", "parse-names" : false, "suffix" : "" }, { "dropping-particle" : "", "family" : "Merati", "given" : "Giampiero", "non-dropping-particle" : "", "parse-names" : false, "suffix" : "" } ], "container-title" : "Arch Gerontol Geriatr", "id" : "ITEM-1", "issue" : "3", "issued" : { "date-parts" : [ [ "2010", "5" ] ] }, "language" : "eng JT - Archives of gerontology and geriatrics JID - 8214379 EDAT- 2009/06/02 09:00 MHDA- 2010/06/09 06:00 PHST- 2008/12/10 [received] PHST- 2009/04/24 [revised] PHST- 2009/04/28 [accepted] PHST- 2009/05/28 [aheadofprint]", "note" : "DA - 20100309", "page" : "e19-e25", "publisher-place" : "Department of Sport Sciences, Nutrition and Health, University of Milan, via G. Colombo 71, I-20133 Milan, Italy. martina.maggioni@unimi.it", "title" : "Electrical stimulation versus kinesitherapy in improving functional fitness in older women: a randomized controlled trial", "type" : "article-journal", "volume" : "50" }, "uris" : [ "http://www.mendeley.com/documents/?uuid=586dc77f-e4d9-4420-be03-622a5b20dd8f" ] } ], "mendeley" : { "formattedCitation" : "&lt;sup&gt;28&lt;/sup&gt;", "plainTextFormattedCitation" : "28", "previouslyFormattedCitation" : "&lt;sup&gt;28&lt;/sup&gt;"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28</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9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8</w:t>
            </w:r>
          </w:p>
        </w:tc>
        <w:tc>
          <w:tcPr>
            <w:tcW w:w="1060"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Good </w:t>
            </w:r>
          </w:p>
        </w:tc>
      </w:tr>
      <w:tr w:rsidR="00C24B35" w:rsidRPr="00C24B35" w:rsidTr="00E35F7E">
        <w:tc>
          <w:tcPr>
            <w:tcW w:w="202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De Morton, 2007 </w:t>
            </w:r>
            <w:r w:rsidRPr="00C24B35">
              <w:rPr>
                <w:rFonts w:ascii="Times New Roman" w:hAnsi="Times New Roman" w:cs="Times New Roman"/>
                <w:color w:val="auto"/>
                <w:sz w:val="20"/>
                <w:szCs w:val="20"/>
                <w:lang w:val="en-GB"/>
              </w:rPr>
              <w:t>[</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"ISSN" : "0004-9514", "abstract" : "Question: What are the effects of additional exercise on hospital and patient outcomes for acutely-hospitalised older medical patients? Design: Controlled clinical trial. Participants: 236 patients aged 65 or older admitted to an acute care hospital with a medical illness between October 2002 and July 2003. Intervention: The experimental group received usual care plus an individually tailored exercise program administered twice daily from hospital admission to discharge. The control group received usual care only. Outcome measures: The primary outcome was discharge destination. Secondary outcomes were measures of activity limitation (Barthel Index, Timed Up and Go, Functional Ambulation Classification), length of stay, and adverse events. Results: There was no significant effect of the additional exercise program on any outcome. There were no significant differences between groups for the proportion of the patients discharged to home (RR 0.99, 95% CI 0.86 to 1.14) or inpatient rehabilitation (RR 0.76, 95% CI 0.30 to 1.51) or for measures of activity limitation at hospital discharge. A one day difference in length of stay was identified between groups but this difference was not significant (p = 0.45). There were no significant differences between groups for adverse events: 28-day readmission (RR 1.10, 95% CI 0.65 to 1.86), patient mortality (RR 1.15, 95% CI 0.16 to 8.0), intensive care admission (RR 0.16, 95% CI 0.01 to 3.13) and falls (RR 0.69, 95% CI 0.17 to 2.81). Conclusion: Additional physiotherapy intervention during hospitalisation did not significantly improve hospital or patient outcomes", "author" : [ { "dropping-particle" : "", "family" : "Morton", "given" : "N A", "non-dropping-particle" : "De", "parse-names" : false, "suffix" : "" }, { "dropping-particle" : "", "family" : "Keating", "given" : "J L", "non-dropping-particle" : "", "parse-names" : false, "suffix" : "" }, { "dropping-particle" : "", "family" : "Berlowitz", "given" : "D J", "non-dropping-particle" : "", "parse-names" : false, "suffix" : "" }, { "dropping-particle" : "", "family" : "Jackson", "given" : "B", "non-dropping-particle" : "", "parse-names" : false, "suffix" : "" }, { "dropping-particle" : "", "family" : "Lim", "given" : "W K", "non-dropping-particle" : "", "parse-names" : false, "suffix" : "" } ], "container-title" : "Australian Journal of Physiotherapy", "id" : "ITEM-1", "issue" : "2", "issued" : { "date-parts" : [ [ "2007", "6" ] ] }, "note" : "Accession Number: 106166076. Language: English. Entry Date: 20071005. Revision Date: 20150820. Publication Type: Journal Article; clinical trial; research; tables/charts. Journal Subset: Allied Health; Australia &amp;amp; New Zealand; Peer Reviewed. Special Interest: Gerontologic Care; Physical Therapy. Instrumentation: Timed 'Up and Go' Test (TUG); Charlson Comorbidity Index (CCI); Barthel Index; Acute Physiology and Chronic Health Evaluation II (APACHE II); Functional Ambulation Classification (Holden et al). Grant Information: Department of Medicine, Northern Health; National Health and Medical Research Council (NHMRC) Dora Lush postgraduate scholarship. NLM UID: 0370615", "page" : "105-111", "publisher" : "Australian Physiotherapy Association", "publisher-place" : "Monash University, Frankston, VIC, 3199, Australia. natalie.demorton@med.monash.edu.au", "title" : "Additional exercise does not change hospital or patient outcomes in older medical patients: a controlled clinical trial", "type" : "article-journal", "volume" : "53" }, "uris" : [ "http://www.mendeley.com/documents/?uuid=0da42e1f-b3c9-4e7b-8025-6f429bd8172f" ] } ], "mendeley" : { "formattedCitation" : "&lt;sup&gt;19&lt;/sup&gt;", "plainTextFormattedCitation" : "19", "previouslyFormattedCitation" : "&lt;sup&gt;19&lt;/sup&gt;"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19</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1"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0</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3"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86"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1</w:t>
            </w:r>
          </w:p>
        </w:tc>
        <w:tc>
          <w:tcPr>
            <w:tcW w:w="992"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8</w:t>
            </w:r>
          </w:p>
        </w:tc>
        <w:tc>
          <w:tcPr>
            <w:tcW w:w="1060" w:type="dxa"/>
          </w:tcPr>
          <w:p w:rsidR="00305EEB" w:rsidRPr="00C24B35" w:rsidRDefault="00305EEB" w:rsidP="00E35F7E">
            <w:pPr>
              <w:rPr>
                <w:rFonts w:ascii="Times New Roman" w:hAnsi="Times New Roman" w:cs="Times New Roman"/>
                <w:color w:val="auto"/>
                <w:sz w:val="20"/>
                <w:szCs w:val="20"/>
              </w:rPr>
            </w:pPr>
            <w:r w:rsidRPr="00C24B35">
              <w:rPr>
                <w:rFonts w:ascii="Times New Roman" w:hAnsi="Times New Roman" w:cs="Times New Roman"/>
                <w:color w:val="auto"/>
                <w:sz w:val="20"/>
                <w:szCs w:val="20"/>
              </w:rPr>
              <w:t xml:space="preserve">Good </w:t>
            </w:r>
          </w:p>
        </w:tc>
      </w:tr>
      <w:tr w:rsidR="00C24B35" w:rsidRPr="00C24B35" w:rsidTr="00E35F7E">
        <w:tc>
          <w:tcPr>
            <w:tcW w:w="202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rPr>
              <w:t xml:space="preserve">Oesch, 2017 </w:t>
            </w:r>
            <w:r w:rsidRPr="00C24B35">
              <w:rPr>
                <w:rFonts w:ascii="Times New Roman" w:hAnsi="Times New Roman" w:cs="Times New Roman"/>
                <w:color w:val="auto"/>
                <w:sz w:val="20"/>
                <w:szCs w:val="20"/>
                <w:lang w:val="en-GB"/>
              </w:rPr>
              <w:t>[</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"DOI" : "10.1186/s12877-017-0467-7", "ISSN" : "1471-2318", "abstract" : "BACKGROUND: Improving mobility in elderly persons is a primary goal in geriatric rehabilitation. Self-regulated exercises with instruction leaflets are used to increase training volume but adherence is often low. Exergames may improve adherence. This study therefore compared exergames with self-regulated exercise using instruction leaflets. The primary outcome was adherence. Secondary outcomes were enjoyment, motivation and balance during walking. METHODS: Design: single center parallel group non-blinded randomized controlled trial with central stratified randomization. SETTING: center for geriatric inpatient rehabilitation. Included were patients over 65 with mobility restrictions who were able to perform self-regulated exercise. Patients were assigned to self-regulated exercise using a) exergames on Windows Kinect(R) (exergame group EG) or b) instruction leaflets (conventional group CG). During two 30 min sessions physical therapists instructed self-regulated exercise to be conducted twice daily during thirty minutes during ten working days. Patients reported adherence (primary outcome), enjoyment and motivation daily. Balance during walking was measured blind before and after the treatment phase with an accelerometer. Analysis was by intention to treat. Repeated measures mixed models and Cohen's d effect sizes (ES, moderate if &gt;0.5, large if &gt; 0.8) with 95% CIs were used to evaluate between-group effects over time. Alpha was set at 0.05. RESULTS: From June 2014 to December 2015 217 patients were evaluated and 54 included, 26 in the EG and 28 in the CG. Adverse effects were observed in two patients in the EG who stopped because of pain during exercising. Adherence was comparable at day one (38 min. in the EG and 42 min. in the CG) and significantly higher in the CG at day 10 (54 min. in the CG while decreasing to 28 min. in the EG, p = 0.007, ES 0.94, 0.39-0.151). Benefits favoring the CG were also observed for enjoyment (p = 0.001, ES 0.88, 0.32 - 1.44) and motivation (p = 0.046, ES 0.59, 0.05-1.14)). There was no between-group effect in balance during walking. CONCLUSIONS: Self-regulated exercise using instruction leaflets is superior to exergames regarding adherence, enjoyment and motivation in a geriatric inpatient rehabilitation setting. Effects were moderate to large. There was no between group difference in balance during walking. TRIAL REGISTRATION: ClinicalTrials.gov, NCT02077049 , 6 February 2014.", "author" : [ { "dropping-particle" : "", "family" : "Oesch", "given" : "P", "non-dropping-particle" : "", "parse-names" : false, "suffix" : "" }, { "dropping-particle" : "", "family" : "Kool", "given" : "J", "non-dropping-particle" : "", "parse-names" : false, "suffix" : "" }, { "dropping-particle" : "", "family" : "Fernandez-Luque", "given" : "L", "non-dropping-particle" : "", "parse-names" : false, "suffix" : "" }, { "dropping-particle" : "", "family" : "Brox", "given" : "E", "non-dropping-particle" : "", "parse-names" : false, "suffix" : "" }, { "dropping-particle" : "", "family" : "Evertsen", "given" : "G", "non-dropping-particle" : "", "parse-names" : false, "suffix" : "" }, { "dropping-particle" : "", "family" : "Civit", "given" : "A", "non-dropping-particle" : "", "parse-names" : false, "suffix" : "" }, { "dropping-particle" : "", "family" : "Hilfiker", "given" : "R", "non-dropping-particle" : "", "parse-names" : false, "suffix" : "" }, { "dropping-particle" : "", "family" : "Bachmann", "given" : "S", "non-dropping-particle" : "", "parse-names" : false, "suffix" : "" } ], "container-title" : "BMC Geriatr", "edition" : "2017/03/24", "id" : "ITEM-1", "issue" : "1", "issued" : { "date-parts" : [ [ "2017" ] ] }, "language" : "eng", "note" : "1471-2318\nOesch, Peter\nKool, Jan\nORCID: http://orcid.org/0000-0002-7074-8589\nFernandez-Luque, Luis\nBrox, Ellen\nEvertsen, Gunn\nCivit, Anton\nHilfiker, Roger\nBachmann, Stefan\nJournal Article\nRandomized Controlled Trial\nEngland\nBMC Geriatr. 2017 Mar 23;17(1):77. doi: 10.1186/s12877-017-0467-7.", "page" : "77", "publisher-place" : "Rehabilitationsklinik Valens, Taminaplatz 1, 7317, Valens, Switzerland. peter.oesch@kliniken-valens.ch. Rehabilitationsklinik Valens, Taminaplatz 1, 7317, Valens, Switzerland. Norut, Tromso, Norway. Qatar Computing Research Institute, Hamad Bin Khalifa Un", "title" : "Exergames versus self-regulated exercises with instruction leaflets to improve adherence during geriatric rehabilitation: a randomized controlled trial", "type" : "article-journal", "volume" : "17" }, "uris" : [ "http://www.mendeley.com/documents/?uuid=84455113-a32c-4c2a-b1ec-1901723b0c8b" ] } ], "mendeley" : { "formattedCitation" : "&lt;sup&gt;29&lt;/sup&gt;", "plainTextFormattedCitation" : "29", "previouslyFormattedCitation" : "&lt;sup&gt;29&lt;/sup&gt;"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29</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9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7</w:t>
            </w:r>
          </w:p>
        </w:tc>
        <w:tc>
          <w:tcPr>
            <w:tcW w:w="1060"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 xml:space="preserve">Good </w:t>
            </w:r>
          </w:p>
        </w:tc>
      </w:tr>
      <w:tr w:rsidR="00C24B35" w:rsidRPr="00C24B35" w:rsidTr="00E35F7E">
        <w:tc>
          <w:tcPr>
            <w:tcW w:w="202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Parsons, 2016 [</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"ISSN" : "09638288", "abstract" : "Purpose:To determine the effect of Vibration Training (VT) on functional ability and falls risk among a group of frail older people admitted to an inpatient rehabilitation unit in a regional hospital in New Zealand.Method: A randomized controlled trial of 56 participants (mean 82.01 years in the intervention group and 81.76 years in the control group). VT targeting lower limb muscles with a frequency 30\u201350 Hz occurred three times per week until discharge. Amplitude progressively increased from 2 to 5\u2009mm to allow the programme to be individually tailored to the participant. The control group received usual care physiotherapy sessions. Outcome measures were: Physiological profile assessment (PPA); and Functional Independence measure (FIM) and Modified Falls Efficacy Scale (MFES).Results: There was a statistically significant difference observed between the two groups in terms of FIM score (F\u2009=\u20095.09,p\u2009=\u20090.03) and MFES (F\u2009=\u20093.52,p\u2009=\u20090.007) but no difference was observed in terms of PPA scores (F\u2009=\u20090.96,p\u2009=\u20090.36).Conclusions: Among older people admitted to an inpatient rehabilitation facility there may be some beneficial effect to the use of VT in conjunction with usual care physiotherapy in terms of improved functional ability. The study design and the small dosage of VT provided may have precluded any change in falls risk among participants.Implications for RehabilitationVibration training (VT) may assist in reducing the risk of falling among at risk older people.Current pressures on health systems (ageing population, reduced hospital length of stay) necessitate the development of innovative strategies to maximise the rehabilitation potential of older people.Among older people admitted to an inpatient rehabilitation facility there may be some beneficial effect to the use of vibration training in conjunction with usual care physiotherapy in terms of improved functional ability. ABSTRACT FROM AUTHOR", "author" : [ { "dropping-particle" : "", "family" : "Parsons", "given" : "J", "non-dropping-particle" : "", "parse-names" : false, "suffix" : "" }, { "dropping-particle" : "", "family" : "Mathieson", "given" : "S", "non-dropping-particle" : "", "parse-names" : false, "suffix" : "" }, { "dropping-particle" : "", "family" : "Jull", "given" : "A", "non-dropping-particle" : "", "parse-names" : false, "suffix" : "" }, { "dropping-particle" : "", "family" : "Parsons", "given" : "M", "non-dropping-particle" : "", "parse-names" : false, "suffix" : "" } ], "container-title" : "Disability &amp; Rehabilitation", "id" : "ITEM-1", "issue" : "11", "issued" : { "date-parts" : [ [ "2016" ] ] }, "note" : "Author: Parsons, J.: 1,2 Author: Mathieson, S.: 1,2 Author: Jull, A.: 1 Author: Parsons, M.: 1,2 ; Author Affiliation: 1 School of Nursing, Faculty of Medical and Health Sciences, The University of Auckland, New Zealand: 2 Institute of Healthy Ageing, Waikato District Health Board, Hamilton, New Zealand; No. of Pages: 7; Language: English; Publication Type: Article; Update Code: 20160328", "page" : "1082-1088", "title" : "Does vibration training reduce the fall risk profile of frail older people admitted to a rehabilitation facility? A randomised controlled trial", "type" : "article-journal", "volume" : "38" }, "uris" : [ "http://www.mendeley.com/documents/?uuid=132120a4-c348-49e0-85b1-bd0aeb9f0bea" ] } ], "mendeley" : { "formattedCitation" : "&lt;sup&gt;16&lt;/sup&gt;", "plainTextFormattedCitation" : "16", "previouslyFormattedCitation" : "&lt;sup&gt;16&lt;/sup&gt;"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16</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9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7</w:t>
            </w:r>
          </w:p>
        </w:tc>
        <w:tc>
          <w:tcPr>
            <w:tcW w:w="1060"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Good</w:t>
            </w:r>
          </w:p>
        </w:tc>
      </w:tr>
      <w:tr w:rsidR="00C24B35" w:rsidRPr="00C24B35" w:rsidTr="00E35F7E">
        <w:tc>
          <w:tcPr>
            <w:tcW w:w="202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Raymond, 2017 [</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"DOI" : "10.1093/ageing/afw215", "ISSN" : "1468-2834 0002-0729", "abstract" : "Objective: to investigate a high-intensity functional exercise (HIFE) group in hospitalised older adults. Design: assessor-blinded, randomised-controlled trial. Setting: sub-acute wards at a metropolitan rehabilitation hospital. Participants: older adults 7 \u226565 years (n = 468) able to stand with minimum assistance or less from a chair and follow instructions. Intervention: 'group' participants were offered a standing HIFE group three times a week and individual physiotherapy sessions twice a week. Control participants were offered daily individual physiotherapy sessions. Main outcome measures: the primary outcome measure was the Elderly Mobility Scale (EMS). Secondary measures included the Berg Balance Scale, gait speed, Timed Up and Go Test, falls, length of stay and discharge destination Results: participants' mean age was 84.3 (7.1) years and 61% were female. There was no difference between groups for the improvement in EMS from admission to discharge (effect size -0.07, 95% confidence interval: -0.26 to 0.11, P = 0.446) and no difference in discharge destination, P = 0.904. Therapists saved 31-205 min/week treating group participants compared with control participants. Conclusion: the results suggest that a HIFE group programme combined with individual physiotherapy may improve mobility to a similar extent to individual physiotherapy alone in hospitalised older adults. Providing physiotherapy in a group setting resulted in increased therapist efficiency. A high-intensity exercise group with individual physiotherapy may be an effective and efficient method to provide care to older inpatients.", "author" : [ { "dropping-particle" : "", "family" : "Raymond", "given" : "M J M", "non-dropping-particle" : "", "parse-names" : false, "suffix" : "" }, { "dropping-particle" : "", "family" : "Jeffs", "given" : "K J", "non-dropping-particle" : "", "parse-names" : false, "suffix" : "" }, { "dropping-particle" : "", "family" : "Winter", "given" : "A", "non-dropping-particle" : "", "parse-names" : false, "suffix" : "" }, { "dropping-particle" : "", "family" : "Soh", "given" : "S E", "non-dropping-particle" : "", "parse-names" : false, "suffix" : "" }, { "dropping-particle" : "", "family" : "Hunter", "given" : "P", "non-dropping-particle" : "", "parse-names" : false, "suffix" : "" }, { "dropping-particle" : "", "family" : "Holland", "given" : "A E", "non-dropping-particle" : "", "parse-names" : false, "suffix" : "" } ], "container-title" : "Age and Ageing", "id" : "ITEM-1", "issue" : "2", "issued" : { "date-parts" : [ [ "2017" ] ] }, "language" : "English", "note" : "L616411987\n2017-05-30\n2017-06-07", "page" : "208-214", "publisher-place" : "M.J.M. Raymond, Physiotherapy Department, Alfred Health, Caulfield Hospital, Melbourne, Australia", "title" : "The effects of a high-intensity functional exercise group on clinical outcomes in hospitalised older adults: An assessor-blinded, randomisedcontrolled trial", "type" : "article-journal", "volume" : "46" }, "uris" : [ "http://www.mendeley.com/documents/?uuid=27de17c0-635a-495a-8f78-3c33caff722a" ] } ], "mendeley" : { "formattedCitation" : "&lt;sup&gt;26&lt;/sup&gt;", "plainTextFormattedCitation" : "26", "previouslyFormattedCitation" : "&lt;sup&gt;26&lt;/sup&gt;"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26</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9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8</w:t>
            </w:r>
          </w:p>
        </w:tc>
        <w:tc>
          <w:tcPr>
            <w:tcW w:w="1060"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Good</w:t>
            </w:r>
          </w:p>
        </w:tc>
      </w:tr>
      <w:tr w:rsidR="00C24B35" w:rsidRPr="00C24B35" w:rsidTr="00E35F7E">
        <w:tc>
          <w:tcPr>
            <w:tcW w:w="202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Said, 2012 [</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"DOI" : "10.1186/1471-2318-12-26", "ISSN" : "1471-2318", "author" : [ { "dropping-particle" : "", "family" : "Said", "given" : "Catherine M", "non-dropping-particle" : "", "parse-names" : false, "suffix" : "" }, { "dropping-particle" : "", "family" : "Morris", "given" : "Meg E", "non-dropping-particle" : "", "parse-names" : false, "suffix" : "" }, { "dropping-particle" : "", "family" : "Woodward", "given" : "Michael", "non-dropping-particle" : "", "parse-names" : false, "suffix" : "" }, { "dropping-particle" : "", "family" : "Churilov", "given" : "Leonid", "non-dropping-particle" : "", "parse-names" : false, "suffix" : "" }, { "dropping-particle" : "", "family" : "Bernhardt", "given" : "Julie", "non-dropping-particle" : "", "parse-names" : false, "suffix" : "" } ], "container-title" : "BMC Geriatrics", "id" : "ITEM-1", "issue" : "1", "issued" : { "date-parts" : [ [ "2012" ] ] }, "page" : "26", "publisher" : "BMC Geriatrics", "title" : "Enhancing physical activity in older adults receiving hospital based rehabilitation: a phase II feasibility study", "type" : "article-journal", "volume" : "12" }, "uris" : [ "http://www.mendeley.com/documents/?uuid=71ce9bca-5d0a-41b8-a554-bbe17c93dfcb" ] } ], "mendeley" : { "formattedCitation" : "&lt;sup&gt;20&lt;/sup&gt;", "plainTextFormattedCitation" : "20", "previouslyFormattedCitation" : "&lt;sup&gt;20&lt;/sup&gt;"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20</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9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8</w:t>
            </w:r>
          </w:p>
        </w:tc>
        <w:tc>
          <w:tcPr>
            <w:tcW w:w="1060"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 xml:space="preserve">Good </w:t>
            </w:r>
          </w:p>
        </w:tc>
      </w:tr>
      <w:tr w:rsidR="00C24B35" w:rsidRPr="00C24B35" w:rsidTr="00E35F7E">
        <w:tc>
          <w:tcPr>
            <w:tcW w:w="202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Tibaek, 2013 [</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"ISSN" : "1477-0873", "PMID" : "24057894", "abstract" : "OBJECTIVE: To evaluate the effect of progressive resistance strength training as additional training measured on functional outcomes in older hospitalized patients. DESIGN: A single-blinded randomized controlled trial. SETTING: Department of Geriatric Rehabilitation in university hospital. PARTICIPANTS: A sample of 71 patients were successively included and randomized either to the treatment group (TG) (n = 36) or the control group (CG) (n = 35). Fifteen participants dropped out (TG n = 7; CG n = 8), leaving 56 participants with a mean age of 79 (SD 7). INTERVENTION: Participants in the treatment group were treated in groups with progressive resistance strength training in addition to standard care. Progressive resistance strength training of the lower extremities was performed in three sets of 12-15 repetitions, intensity 60-70% of one repetition maximum, in four 50-minute sessions per week. MAIN MEASURES: The effect was evaluated by timed up &amp; go test, 30-second chair-stand test, 10-m walk test, three tasks (transfer, walking, stairs) of the Barthel Index, and use of walking aids. RESULTS: Significant improvements in the 10-m walk test (P &lt; 0.01) and Barthel Index (walking) (P = 0.01) were demonstrated within the treatment group but not in the control group. Both groups had significant improvements in timed up &amp; go, 30-second chair-stand (modified) and Barthel Index (transfer and walking). No significant difference was found between groups except for the Barthel Index (stairs) (P = 0.05). Analysis by the mixed-effects model showed that the treatment group improved more than the control group in all outcome variables. CONCLUSION: The results indicate that for older hospitalized patients progressive resistance strength training as additional training may have an effect compared to standard care, but no statistically significant effects were demonstrated when measured by functional outcomes", "author" : [ { "dropping-particle" : "", "family" : "Tibaek", "given" : "Sigrid", "non-dropping-particle" : "", "parse-names" : false, "suffix" : "" }, { "dropping-particle" : "", "family" : "Andersen", "given" : "Christina W", "non-dropping-particle" : "", "parse-names" : false, "suffix" : "" }, { "dropping-particle" : "", "family" : "Pedersen", "given" : "Sigrid F", "non-dropping-particle" : "", "parse-names" : false, "suffix" : "" }, { "dropping-particle" : "", "family" : "Rudolf", "given" : "Karen S", "non-dropping-particle" : "", "parse-names" : false, "suffix" : "" } ], "container-title" : "Clin Rehabil", "id" : "ITEM-1", "issue" : "4", "issued" : { "date-parts" : [ [ "2014", "4" ] ] }, "language" : "eng JT - Clinical rehabilitation JID - 8802181 EDAT- 2013/09/24 06:00 MHDA- 2014/11/19 06:00 PHST- 2013/09/20 [aheadofprint]", "note" : "DA - 20140306", "page" : "319-328", "publisher-place" : "1Department of Physiotherapy and Occupational Therapy, Copenhagen University Hospital Glostrup, Glostrup, Denmark", "title" : "Does progressive resistance strength training as additional training have any measured effect on functional outcomes in older hospitalized patients? A single-blinded randomized controlled trial", "type" : "article-journal", "volume" : "28" }, "uris" : [ "http://www.mendeley.com/documents/?uuid=e5af0de9-11f7-476a-a0da-b082b44dd77a" ] } ], "mendeley" : { "formattedCitation" : "&lt;sup&gt;27&lt;/sup&gt;", "plainTextFormattedCitation" : "27", "previouslyFormattedCitation" : "&lt;sup&gt;27&lt;/sup&gt;"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27</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1"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6"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92"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6</w:t>
            </w:r>
          </w:p>
        </w:tc>
        <w:tc>
          <w:tcPr>
            <w:tcW w:w="1060" w:type="dxa"/>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 xml:space="preserve">Good </w:t>
            </w:r>
          </w:p>
        </w:tc>
      </w:tr>
      <w:tr w:rsidR="00C24B35" w:rsidRPr="00C24B35" w:rsidTr="00E35F7E">
        <w:tc>
          <w:tcPr>
            <w:tcW w:w="2026"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Wnuk, 2016 [</w:t>
            </w:r>
            <w:r w:rsidRPr="00C24B35">
              <w:rPr>
                <w:rFonts w:ascii="Times New Roman" w:hAnsi="Times New Roman" w:cs="Times New Roman"/>
                <w:color w:val="auto"/>
                <w:sz w:val="20"/>
                <w:szCs w:val="20"/>
                <w:lang w:val="en-GB"/>
              </w:rPr>
              <w:fldChar w:fldCharType="begin" w:fldLock="1"/>
            </w:r>
            <w:r w:rsidRPr="00C24B35">
              <w:rPr>
                <w:rFonts w:ascii="Times New Roman" w:hAnsi="Times New Roman" w:cs="Times New Roman"/>
                <w:color w:val="auto"/>
                <w:sz w:val="20"/>
                <w:szCs w:val="20"/>
                <w:lang w:val="en-GB"/>
              </w:rPr>
              <w:instrText>ADDIN CSL_CITATION { "citationItems" : [ { "id" : "ITEM-1", "itemData" : { "DOI" : "10.17219/acem/62239", "ISSN" : "1899-5276 (Print) 1899-5276", "abstract" : "BACKGROUND: Major surgical procedures as well as general anesthesia contribute to muscle weakness and posture instability and may result in increased postoperative complications and functional disorders resulting from an elective operation. OBJECTIVES: We aim to state the significance of backward walking as a form of interval march training with patients after abdominal aortic aneurysm surgery. MATERIAL AND METHODS: Sixty-five patients were randomly divided into three subgroups and three various models of physiotherapy were applied. The participants were males, aged 65-75 years, with stable cardiologic status, absence of neurological disorders, and non-symptomatic aneurysm - non-ruptured, no pain complaints and no motor system impairments. The control group had only routine physiotherapy, since therapeutic groups I and II also had walking exercises, forward in group II and backward in group I. Both experimental groups were applied interval training. The patient data analyzed was as follows: hospitalization period-days; 6-min walking test-distance (m), training heart rate (1/min), mean speed (km/h), MET; spirometry test-FVC(L), FEV1(L), FEV1/FVC and PEF(L/s). RESULTS: The hospital stay period in all groups did not vary significantly. Statistical analysis showed that patients with backward walking had a statistically significantly lower reduction of walking distance in the corridor test when compared to the control group (p &lt; 0.05). After the operation, a significant reduction of mean speed in the control group was noted in comparison with both the forward and backward walking groups (p &lt; 0.05). No significant differences were noted between the experimental groups in average walking speed as well as in heart rate in all observed groups. CONCLUSIONS: Physical training applied to patients after major abdominal aortic aneurysm surgery influences sustaining the level of exercise tolerance to a small extent. Both backward and forward walking seem to be alternative methods when compared to classic post-surgery physiotherapy.", "author" : [ { "dropping-particle" : "", "family" : "Wnuk", "given" : "B R", "non-dropping-particle" : "", "parse-names" : false, "suffix" : "" }, { "dropping-particle" : "", "family" : "Durmala", "given" : "J", "non-dropping-particle" : "", "parse-names" : false, "suffix" : "" }, { "dropping-particle" : "", "family" : "Ziaja", "given" : "K", "non-dropping-particle" : "", "parse-names" : false, "suffix" : "" }, { "dropping-particle" : "", "family" : "Kotyla", "given" : "P", "non-dropping-particle" : "", "parse-names" : false, "suffix" : "" }, { "dropping-particle" : "", "family" : "Wozniewski", "given" : "M", "non-dropping-particle" : "", "parse-names" : false, "suffix" : "" }, { "dropping-particle" : "", "family" : "Blaszczak", "given" : "E", "non-dropping-particle" : "", "parse-names" : false, "suffix" : "" } ], "container-title" : "Adv Clin Exp Med", "edition" : "2016/12/29", "id" : "ITEM-1", "issue" : "6", "issued" : { "date-parts" : [ [ "2016" ] ] }, "language" : "eng", "note" : "Wnuk, Bartosz R\nDurmala, Jacek\nZiaja, Krzysztof\nKotyla, Przemyslaw\nWozniewski, Marek\nBlaszczak, Edward\nJournal Article\nRandomized Controlled Trial\nPoland\nAdv Clin Exp Med. 2016 Nov-Dec;25(6):1241-1371. doi: 10.17219/acem/62239.", "page" : "1241-1371", "publisher-place" : "Department of Rehabilitation, School of Health Sciences in Katowice, Medical University of Silesia, Poland. Department of General and Vascular Surgery, Medical Faculty in Katowice, Medical University of Silesia, Poland. Department of Internal Medicine and", "title" : "A Controlled Trial of the Efficacy of a Training Walking Program in Patients Recovering from Abdominal Aortic Aneurysm Surgery", "type" : "article-journal", "volume" : "25" }, "uris" : [ "http://www.mendeley.com/documents/?uuid=41372104-5340-4bb6-a34d-600e09d915a4" ] } ], "mendeley" : { "formattedCitation" : "&lt;sup&gt;18&lt;/sup&gt;", "plainTextFormattedCitation" : "18", "previouslyFormattedCitation" : "&lt;sup&gt;18&lt;/sup&gt;" }, "properties" : { "noteIndex" : 0 }, "schema" : "https://github.com/citation-style-language/schema/raw/master/csl-citation.json" }</w:instrText>
            </w:r>
            <w:r w:rsidRPr="00C24B35">
              <w:rPr>
                <w:rFonts w:ascii="Times New Roman" w:hAnsi="Times New Roman" w:cs="Times New Roman"/>
                <w:color w:val="auto"/>
                <w:sz w:val="20"/>
                <w:szCs w:val="20"/>
                <w:lang w:val="en-GB"/>
              </w:rPr>
              <w:fldChar w:fldCharType="separate"/>
            </w:r>
            <w:r w:rsidRPr="00C24B35">
              <w:rPr>
                <w:rFonts w:ascii="Times New Roman" w:hAnsi="Times New Roman" w:cs="Times New Roman"/>
                <w:noProof/>
                <w:color w:val="auto"/>
                <w:sz w:val="20"/>
                <w:szCs w:val="20"/>
                <w:lang w:val="en-GB"/>
              </w:rPr>
              <w:t>18</w:t>
            </w:r>
            <w:r w:rsidRPr="00C24B35">
              <w:rPr>
                <w:rFonts w:ascii="Times New Roman" w:hAnsi="Times New Roman" w:cs="Times New Roman"/>
                <w:color w:val="auto"/>
                <w:sz w:val="20"/>
                <w:szCs w:val="20"/>
                <w:lang w:val="en-GB"/>
              </w:rPr>
              <w:fldChar w:fldCharType="end"/>
            </w:r>
            <w:r w:rsidRPr="00C24B35">
              <w:rPr>
                <w:rFonts w:ascii="Times New Roman" w:hAnsi="Times New Roman" w:cs="Times New Roman"/>
                <w:color w:val="auto"/>
                <w:sz w:val="20"/>
                <w:szCs w:val="20"/>
                <w:lang w:val="en-GB"/>
              </w:rPr>
              <w:t>]</w:t>
            </w:r>
          </w:p>
        </w:tc>
        <w:tc>
          <w:tcPr>
            <w:tcW w:w="982"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1"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1"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2"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0</w:t>
            </w:r>
          </w:p>
        </w:tc>
        <w:tc>
          <w:tcPr>
            <w:tcW w:w="983"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3"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3"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6"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86"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1</w:t>
            </w:r>
          </w:p>
        </w:tc>
        <w:tc>
          <w:tcPr>
            <w:tcW w:w="992"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7</w:t>
            </w:r>
          </w:p>
        </w:tc>
        <w:tc>
          <w:tcPr>
            <w:tcW w:w="1060" w:type="dxa"/>
            <w:tcBorders>
              <w:bottom w:val="single" w:sz="12" w:space="0" w:color="000000"/>
            </w:tcBorders>
          </w:tcPr>
          <w:p w:rsidR="00305EEB" w:rsidRPr="00C24B35" w:rsidRDefault="00305EEB" w:rsidP="00E35F7E">
            <w:pPr>
              <w:rPr>
                <w:rFonts w:ascii="Times New Roman" w:hAnsi="Times New Roman" w:cs="Times New Roman"/>
                <w:color w:val="auto"/>
                <w:sz w:val="20"/>
                <w:szCs w:val="20"/>
                <w:lang w:val="en-GB"/>
              </w:rPr>
            </w:pPr>
            <w:r w:rsidRPr="00C24B35">
              <w:rPr>
                <w:rFonts w:ascii="Times New Roman" w:hAnsi="Times New Roman" w:cs="Times New Roman"/>
                <w:color w:val="auto"/>
                <w:sz w:val="20"/>
                <w:szCs w:val="20"/>
                <w:lang w:val="en-GB"/>
              </w:rPr>
              <w:t>Good</w:t>
            </w:r>
          </w:p>
        </w:tc>
      </w:tr>
    </w:tbl>
    <w:p w:rsidR="00755320" w:rsidRPr="00C24B35" w:rsidRDefault="00755320" w:rsidP="00755320">
      <w:pPr>
        <w:pStyle w:val="NoSpacing"/>
        <w:rPr>
          <w:rFonts w:ascii="Times New Roman" w:hAnsi="Times New Roman" w:cs="Times New Roman"/>
          <w:sz w:val="24"/>
          <w:szCs w:val="20"/>
          <w:lang w:val="en-GB"/>
        </w:rPr>
      </w:pPr>
      <w:r w:rsidRPr="00C24B35">
        <w:rPr>
          <w:rFonts w:ascii="Times New Roman" w:hAnsi="Times New Roman" w:cs="Times New Roman"/>
          <w:sz w:val="24"/>
          <w:szCs w:val="20"/>
          <w:lang w:val="en-GB"/>
        </w:rPr>
        <w:t>Column numbers correspond the following criteria on the PEDro scale: 1= Eligibility criteria were specified, 2= Participants were randomly allocated to groups, 3= Allocation was concealed, 4= Groups were similar at baseline, 5= Participants were blinded, 6= Therapists were blinded, 7= Assessors were blinded, 8= Measures of at least one key outcome were obtained from &gt;85% of the participants, 9= Intention-to-treat analysis was performed for at least one key outcome, 10= Between-group statistical comparison was reported for at least one key outcome, 11= Point estimates and variability measures were provided for at least one key outcome. 1= Criterion was satisfied, 0= Criterion was not satisfied, *criterion not included in total score. Quality: 0-3= Insufficient, 4-5= Sufficient, 6-8= Good, 9-10= Excellent.</w:t>
      </w:r>
    </w:p>
    <w:p w:rsidR="00AD53DB" w:rsidRPr="00C24B35" w:rsidRDefault="00AD53DB" w:rsidP="009803A0">
      <w:pPr>
        <w:rPr>
          <w:rFonts w:ascii="Times New Roman" w:hAnsi="Times New Roman" w:cs="Times New Roman"/>
          <w:color w:val="auto"/>
          <w:sz w:val="20"/>
          <w:szCs w:val="20"/>
          <w:lang w:val="en-GB"/>
        </w:rPr>
      </w:pPr>
    </w:p>
    <w:p w:rsidR="0096017D" w:rsidRPr="00C24B35" w:rsidRDefault="0096017D" w:rsidP="009803A0">
      <w:pPr>
        <w:rPr>
          <w:rFonts w:ascii="Times New Roman" w:hAnsi="Times New Roman" w:cs="Times New Roman"/>
          <w:color w:val="auto"/>
          <w:sz w:val="20"/>
          <w:szCs w:val="20"/>
          <w:lang w:val="en-GB"/>
        </w:rPr>
      </w:pPr>
    </w:p>
    <w:p w:rsidR="0096017D" w:rsidRPr="00C24B35" w:rsidRDefault="0096017D" w:rsidP="009654CE">
      <w:pPr>
        <w:rPr>
          <w:rFonts w:ascii="Times New Roman" w:hAnsi="Times New Roman" w:cs="Times New Roman"/>
          <w:color w:val="auto"/>
          <w:sz w:val="20"/>
          <w:szCs w:val="20"/>
          <w:lang w:val="en-GB"/>
        </w:rPr>
      </w:pPr>
    </w:p>
    <w:sectPr w:rsidR="0096017D" w:rsidRPr="00C24B35" w:rsidSect="009803A0">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257" w:rsidRDefault="00032257" w:rsidP="005023E5">
      <w:r>
        <w:separator/>
      </w:r>
    </w:p>
  </w:endnote>
  <w:endnote w:type="continuationSeparator" w:id="0">
    <w:p w:rsidR="00032257" w:rsidRDefault="00032257" w:rsidP="00502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3E5" w:rsidRDefault="005023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0503021"/>
      <w:docPartObj>
        <w:docPartGallery w:val="Page Numbers (Bottom of Page)"/>
        <w:docPartUnique/>
      </w:docPartObj>
    </w:sdtPr>
    <w:sdtEndPr/>
    <w:sdtContent>
      <w:p w:rsidR="00914374" w:rsidRDefault="00914374">
        <w:pPr>
          <w:pStyle w:val="Footer"/>
          <w:jc w:val="center"/>
        </w:pPr>
        <w:r>
          <w:fldChar w:fldCharType="begin"/>
        </w:r>
        <w:r>
          <w:instrText>PAGE   \* MERGEFORMAT</w:instrText>
        </w:r>
        <w:r>
          <w:fldChar w:fldCharType="separate"/>
        </w:r>
        <w:r w:rsidR="007D0424">
          <w:rPr>
            <w:noProof/>
          </w:rPr>
          <w:t>1</w:t>
        </w:r>
        <w:r>
          <w:fldChar w:fldCharType="end"/>
        </w:r>
      </w:p>
    </w:sdtContent>
  </w:sdt>
  <w:p w:rsidR="005023E5" w:rsidRDefault="005023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3E5" w:rsidRDefault="005023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257" w:rsidRDefault="00032257" w:rsidP="005023E5">
      <w:r>
        <w:separator/>
      </w:r>
    </w:p>
  </w:footnote>
  <w:footnote w:type="continuationSeparator" w:id="0">
    <w:p w:rsidR="00032257" w:rsidRDefault="00032257" w:rsidP="00502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3E5" w:rsidRDefault="005023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3E5" w:rsidRDefault="005023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3E5" w:rsidRDefault="005023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B4F9A"/>
    <w:multiLevelType w:val="hybridMultilevel"/>
    <w:tmpl w:val="E6C82268"/>
    <w:lvl w:ilvl="0" w:tplc="337A4DA4">
      <w:start w:val="3"/>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69D75E1"/>
    <w:multiLevelType w:val="hybridMultilevel"/>
    <w:tmpl w:val="45AAF79C"/>
    <w:lvl w:ilvl="0" w:tplc="C714DA38">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4765D08"/>
    <w:multiLevelType w:val="hybridMultilevel"/>
    <w:tmpl w:val="3A24E558"/>
    <w:lvl w:ilvl="0" w:tplc="03D0977E">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43274CF"/>
    <w:multiLevelType w:val="hybridMultilevel"/>
    <w:tmpl w:val="5AE22376"/>
    <w:lvl w:ilvl="0" w:tplc="98C67080">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3A0"/>
    <w:rsid w:val="00032257"/>
    <w:rsid w:val="001171EF"/>
    <w:rsid w:val="00161625"/>
    <w:rsid w:val="00164450"/>
    <w:rsid w:val="001B128E"/>
    <w:rsid w:val="00206422"/>
    <w:rsid w:val="00270623"/>
    <w:rsid w:val="002E1CA3"/>
    <w:rsid w:val="00305EEB"/>
    <w:rsid w:val="003B73D8"/>
    <w:rsid w:val="00444ED3"/>
    <w:rsid w:val="00445F84"/>
    <w:rsid w:val="00477C06"/>
    <w:rsid w:val="005023E5"/>
    <w:rsid w:val="005146FE"/>
    <w:rsid w:val="005F5DCC"/>
    <w:rsid w:val="00704EAB"/>
    <w:rsid w:val="00755320"/>
    <w:rsid w:val="007D0424"/>
    <w:rsid w:val="00805309"/>
    <w:rsid w:val="00810789"/>
    <w:rsid w:val="008F0C9A"/>
    <w:rsid w:val="00914374"/>
    <w:rsid w:val="009159F2"/>
    <w:rsid w:val="009433BC"/>
    <w:rsid w:val="0095654E"/>
    <w:rsid w:val="0096017D"/>
    <w:rsid w:val="009654CE"/>
    <w:rsid w:val="009803A0"/>
    <w:rsid w:val="009B0EF8"/>
    <w:rsid w:val="009B58A4"/>
    <w:rsid w:val="009C7943"/>
    <w:rsid w:val="00A3778F"/>
    <w:rsid w:val="00A65978"/>
    <w:rsid w:val="00AD53DB"/>
    <w:rsid w:val="00B40A40"/>
    <w:rsid w:val="00BB3F9F"/>
    <w:rsid w:val="00BF5739"/>
    <w:rsid w:val="00C01087"/>
    <w:rsid w:val="00C24B35"/>
    <w:rsid w:val="00C306F8"/>
    <w:rsid w:val="00C530E2"/>
    <w:rsid w:val="00D03DD5"/>
    <w:rsid w:val="00F15658"/>
    <w:rsid w:val="00F45CEA"/>
    <w:rsid w:val="00F75B1F"/>
    <w:rsid w:val="00F97BA4"/>
    <w:rsid w:val="00FB351C"/>
    <w:rsid w:val="00FC087B"/>
    <w:rsid w:val="00FF1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55320"/>
    <w:pPr>
      <w:widowControl w:val="0"/>
      <w:spacing w:after="0" w:line="240" w:lineRule="auto"/>
    </w:pPr>
    <w:rPr>
      <w:rFonts w:ascii="Arial" w:eastAsia="Arial" w:hAnsi="Arial" w:cs="Arial"/>
      <w:color w:val="000000"/>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0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017D"/>
    <w:pPr>
      <w:ind w:left="720"/>
      <w:contextualSpacing/>
    </w:pPr>
  </w:style>
  <w:style w:type="paragraph" w:styleId="NoSpacing">
    <w:name w:val="No Spacing"/>
    <w:uiPriority w:val="1"/>
    <w:qFormat/>
    <w:rsid w:val="00704EAB"/>
    <w:pPr>
      <w:spacing w:after="0" w:line="240" w:lineRule="auto"/>
    </w:pPr>
  </w:style>
  <w:style w:type="paragraph" w:styleId="Header">
    <w:name w:val="header"/>
    <w:basedOn w:val="Normal"/>
    <w:link w:val="HeaderChar"/>
    <w:uiPriority w:val="99"/>
    <w:unhideWhenUsed/>
    <w:rsid w:val="005023E5"/>
    <w:pPr>
      <w:tabs>
        <w:tab w:val="center" w:pos="4536"/>
        <w:tab w:val="right" w:pos="9072"/>
      </w:tabs>
    </w:pPr>
  </w:style>
  <w:style w:type="character" w:customStyle="1" w:styleId="HeaderChar">
    <w:name w:val="Header Char"/>
    <w:basedOn w:val="DefaultParagraphFont"/>
    <w:link w:val="Header"/>
    <w:uiPriority w:val="99"/>
    <w:rsid w:val="005023E5"/>
  </w:style>
  <w:style w:type="paragraph" w:styleId="Footer">
    <w:name w:val="footer"/>
    <w:basedOn w:val="Normal"/>
    <w:link w:val="FooterChar"/>
    <w:uiPriority w:val="99"/>
    <w:unhideWhenUsed/>
    <w:rsid w:val="005023E5"/>
    <w:pPr>
      <w:tabs>
        <w:tab w:val="center" w:pos="4536"/>
        <w:tab w:val="right" w:pos="9072"/>
      </w:tabs>
    </w:pPr>
  </w:style>
  <w:style w:type="character" w:customStyle="1" w:styleId="FooterChar">
    <w:name w:val="Footer Char"/>
    <w:basedOn w:val="DefaultParagraphFont"/>
    <w:link w:val="Footer"/>
    <w:uiPriority w:val="99"/>
    <w:rsid w:val="005023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55320"/>
    <w:pPr>
      <w:widowControl w:val="0"/>
      <w:spacing w:after="0" w:line="240" w:lineRule="auto"/>
    </w:pPr>
    <w:rPr>
      <w:rFonts w:ascii="Arial" w:eastAsia="Arial" w:hAnsi="Arial" w:cs="Arial"/>
      <w:color w:val="000000"/>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0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017D"/>
    <w:pPr>
      <w:ind w:left="720"/>
      <w:contextualSpacing/>
    </w:pPr>
  </w:style>
  <w:style w:type="paragraph" w:styleId="NoSpacing">
    <w:name w:val="No Spacing"/>
    <w:uiPriority w:val="1"/>
    <w:qFormat/>
    <w:rsid w:val="00704EAB"/>
    <w:pPr>
      <w:spacing w:after="0" w:line="240" w:lineRule="auto"/>
    </w:pPr>
  </w:style>
  <w:style w:type="paragraph" w:styleId="Header">
    <w:name w:val="header"/>
    <w:basedOn w:val="Normal"/>
    <w:link w:val="HeaderChar"/>
    <w:uiPriority w:val="99"/>
    <w:unhideWhenUsed/>
    <w:rsid w:val="005023E5"/>
    <w:pPr>
      <w:tabs>
        <w:tab w:val="center" w:pos="4536"/>
        <w:tab w:val="right" w:pos="9072"/>
      </w:tabs>
    </w:pPr>
  </w:style>
  <w:style w:type="character" w:customStyle="1" w:styleId="HeaderChar">
    <w:name w:val="Header Char"/>
    <w:basedOn w:val="DefaultParagraphFont"/>
    <w:link w:val="Header"/>
    <w:uiPriority w:val="99"/>
    <w:rsid w:val="005023E5"/>
  </w:style>
  <w:style w:type="paragraph" w:styleId="Footer">
    <w:name w:val="footer"/>
    <w:basedOn w:val="Normal"/>
    <w:link w:val="FooterChar"/>
    <w:uiPriority w:val="99"/>
    <w:unhideWhenUsed/>
    <w:rsid w:val="005023E5"/>
    <w:pPr>
      <w:tabs>
        <w:tab w:val="center" w:pos="4536"/>
        <w:tab w:val="right" w:pos="9072"/>
      </w:tabs>
    </w:pPr>
  </w:style>
  <w:style w:type="character" w:customStyle="1" w:styleId="FooterChar">
    <w:name w:val="Footer Char"/>
    <w:basedOn w:val="DefaultParagraphFont"/>
    <w:link w:val="Footer"/>
    <w:uiPriority w:val="99"/>
    <w:rsid w:val="00502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02335-C854-4BD0-8FE7-82B04CEDA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8328</Words>
  <Characters>47474</Characters>
  <Application>Microsoft Office Word</Application>
  <DocSecurity>0</DocSecurity>
  <Lines>395</Lines>
  <Paragraphs>111</Paragraphs>
  <ScaleCrop>false</ScaleCrop>
  <HeadingPairs>
    <vt:vector size="2" baseType="variant">
      <vt:variant>
        <vt:lpstr>Titel</vt:lpstr>
      </vt:variant>
      <vt:variant>
        <vt:i4>1</vt:i4>
      </vt:variant>
    </vt:vector>
  </HeadingPairs>
  <TitlesOfParts>
    <vt:vector size="1" baseType="lpstr">
      <vt:lpstr/>
    </vt:vector>
  </TitlesOfParts>
  <Company>VU medisch centrum</Company>
  <LinksUpToDate>false</LinksUpToDate>
  <CharactersWithSpaces>55691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Raaijmakers</dc:creator>
  <cp:lastModifiedBy>MSARDAN</cp:lastModifiedBy>
  <cp:revision>5</cp:revision>
  <dcterms:created xsi:type="dcterms:W3CDTF">2018-03-14T21:45:00Z</dcterms:created>
  <dcterms:modified xsi:type="dcterms:W3CDTF">2018-10-26T08:09:00Z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3671534f-b155-3116-84d9-148d500baa7e</vt:lpwstr>
  </property>
  <property fmtid="{D5CDD505-2E9C-101B-9397-08002B2CF9AE}" pid="24" name="Mendeley Citation Style_1">
    <vt:lpwstr>http://www.zotero.org/styles/apa</vt:lpwstr>
  </property>
</Properties>
</file>