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CFF" w:rsidRDefault="00324CFF" w:rsidP="00324CFF">
      <w:pPr>
        <w:autoSpaceDE w:val="0"/>
        <w:autoSpaceDN w:val="0"/>
        <w:adjustRightInd w:val="0"/>
        <w:rPr>
          <w:rFonts w:ascii="Times New Roman" w:hAnsi="Times New Roman" w:cs="Times New Roman"/>
          <w:lang w:val="en-GB"/>
        </w:rPr>
      </w:pPr>
    </w:p>
    <w:p w:rsidR="00324CFF" w:rsidRPr="00B47761" w:rsidRDefault="00324CFF" w:rsidP="00324CFF">
      <w:pPr>
        <w:shd w:val="clear" w:color="auto" w:fill="FFFFFF"/>
        <w:spacing w:before="90" w:after="90" w:line="270" w:lineRule="atLeast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val="en-GB" w:eastAsia="en-GB"/>
        </w:rPr>
      </w:pPr>
      <w:r w:rsidRPr="00B47761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val="en-GB" w:eastAsia="en-GB"/>
        </w:rPr>
        <w:t xml:space="preserve">Clinical relevance of alerts from </w:t>
      </w:r>
      <w:r w:rsidRPr="00B47761">
        <w:rPr>
          <w:rFonts w:ascii="Times New Roman" w:hAnsi="Times New Roman" w:cs="Times New Roman"/>
          <w:b/>
          <w:sz w:val="32"/>
          <w:szCs w:val="32"/>
          <w:lang w:val="en-GB"/>
        </w:rPr>
        <w:t xml:space="preserve">a decision support system, PHARAO, for </w:t>
      </w:r>
      <w:r>
        <w:rPr>
          <w:rFonts w:ascii="Times New Roman" w:hAnsi="Times New Roman" w:cs="Times New Roman"/>
          <w:b/>
          <w:sz w:val="32"/>
          <w:szCs w:val="32"/>
          <w:lang w:val="en-GB"/>
        </w:rPr>
        <w:t>drug safety assessment in the old adults</w:t>
      </w:r>
    </w:p>
    <w:p w:rsidR="00324CFF" w:rsidRDefault="00324CFF" w:rsidP="00324CFF">
      <w:pPr>
        <w:autoSpaceDE w:val="0"/>
        <w:autoSpaceDN w:val="0"/>
        <w:adjustRightInd w:val="0"/>
        <w:rPr>
          <w:rFonts w:ascii="Times New Roman" w:hAnsi="Times New Roman" w:cs="Times New Roman"/>
          <w:lang w:val="en-GB"/>
        </w:rPr>
      </w:pPr>
    </w:p>
    <w:p w:rsidR="00324CFF" w:rsidRPr="00B47761" w:rsidRDefault="00324CFF" w:rsidP="00324CFF">
      <w:pPr>
        <w:autoSpaceDE w:val="0"/>
        <w:autoSpaceDN w:val="0"/>
        <w:adjustRightInd w:val="0"/>
        <w:rPr>
          <w:rFonts w:ascii="Times New Roman" w:hAnsi="Times New Roman" w:cs="Times New Roman"/>
          <w:lang w:val="en-GB"/>
        </w:rPr>
      </w:pPr>
    </w:p>
    <w:p w:rsidR="00324CFF" w:rsidRPr="00B47761" w:rsidRDefault="000D15CA" w:rsidP="00324CFF">
      <w:pPr>
        <w:rPr>
          <w:rFonts w:ascii="Times New Roman" w:hAnsi="Times New Roman" w:cs="Times New Roman"/>
          <w:b/>
          <w:sz w:val="28"/>
          <w:szCs w:val="28"/>
          <w:lang w:val="en-GB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GB"/>
        </w:rPr>
        <w:t>Additional file</w:t>
      </w:r>
      <w:r w:rsidR="00324CFF" w:rsidRPr="00B47761">
        <w:rPr>
          <w:rFonts w:ascii="Times New Roman" w:hAnsi="Times New Roman" w:cs="Times New Roman"/>
          <w:b/>
          <w:sz w:val="28"/>
          <w:szCs w:val="28"/>
          <w:lang w:val="en-GB"/>
        </w:rPr>
        <w:t xml:space="preserve"> 1.</w:t>
      </w:r>
      <w:proofErr w:type="gramEnd"/>
      <w:r w:rsidR="00324CFF" w:rsidRPr="00B47761">
        <w:rPr>
          <w:rFonts w:ascii="Times New Roman" w:hAnsi="Times New Roman" w:cs="Times New Roman"/>
          <w:b/>
          <w:sz w:val="28"/>
          <w:szCs w:val="28"/>
          <w:lang w:val="en-GB"/>
        </w:rPr>
        <w:t xml:space="preserve"> Sensitivity analysis</w:t>
      </w:r>
    </w:p>
    <w:p w:rsidR="00324CFF" w:rsidRPr="00B47761" w:rsidRDefault="00324CFF" w:rsidP="00324CFF">
      <w:pPr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B47761">
        <w:rPr>
          <w:rFonts w:ascii="Times New Roman" w:hAnsi="Times New Roman" w:cs="Times New Roman"/>
          <w:b/>
          <w:sz w:val="24"/>
          <w:szCs w:val="24"/>
          <w:lang w:val="en-GB"/>
        </w:rPr>
        <w:t>Table S1. Validity of PHARAO alerts to detect symptoms associated with medications’ pharmacological properties, related to symptoms assessed as possible/probable/definite adverse drug reactions</w:t>
      </w:r>
    </w:p>
    <w:tbl>
      <w:tblPr>
        <w:tblStyle w:val="TableGrid1"/>
        <w:tblW w:w="14665" w:type="dxa"/>
        <w:tblLayout w:type="fixed"/>
        <w:tblLook w:val="04A0" w:firstRow="1" w:lastRow="0" w:firstColumn="1" w:lastColumn="0" w:noHBand="0" w:noVBand="1"/>
      </w:tblPr>
      <w:tblGrid>
        <w:gridCol w:w="2965"/>
        <w:gridCol w:w="1800"/>
        <w:gridCol w:w="1620"/>
        <w:gridCol w:w="2160"/>
        <w:gridCol w:w="1530"/>
        <w:gridCol w:w="1530"/>
        <w:gridCol w:w="1530"/>
        <w:gridCol w:w="1530"/>
      </w:tblGrid>
      <w:tr w:rsidR="00324CFF" w:rsidRPr="00514E45" w:rsidTr="009B34F7">
        <w:tc>
          <w:tcPr>
            <w:tcW w:w="8545" w:type="dxa"/>
            <w:gridSpan w:val="4"/>
          </w:tcPr>
          <w:p w:rsidR="00324CFF" w:rsidRPr="00514E45" w:rsidRDefault="00324CFF" w:rsidP="009B34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Adverse drug reactions</w:t>
            </w:r>
          </w:p>
        </w:tc>
        <w:tc>
          <w:tcPr>
            <w:tcW w:w="1530" w:type="dxa"/>
            <w:vMerge w:val="restart"/>
          </w:tcPr>
          <w:p w:rsidR="00324CFF" w:rsidRPr="00514E45" w:rsidRDefault="00324CFF" w:rsidP="009B34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4E45">
              <w:rPr>
                <w:rFonts w:ascii="Times New Roman" w:hAnsi="Times New Roman" w:cs="Times New Roman"/>
                <w:sz w:val="20"/>
                <w:szCs w:val="20"/>
              </w:rPr>
              <w:t>Sensitivity</w:t>
            </w:r>
          </w:p>
          <w:p w:rsidR="00324CFF" w:rsidRPr="00514E45" w:rsidRDefault="00324CFF" w:rsidP="009B34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4E45">
              <w:rPr>
                <w:rFonts w:ascii="Times New Roman" w:hAnsi="Times New Roman" w:cs="Times New Roman"/>
                <w:sz w:val="20"/>
                <w:szCs w:val="20"/>
              </w:rPr>
              <w:t>(95% CI)</w:t>
            </w:r>
          </w:p>
        </w:tc>
        <w:tc>
          <w:tcPr>
            <w:tcW w:w="1530" w:type="dxa"/>
            <w:vMerge w:val="restart"/>
          </w:tcPr>
          <w:p w:rsidR="00324CFF" w:rsidRPr="00514E45" w:rsidRDefault="00324CFF" w:rsidP="009B34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4E45">
              <w:rPr>
                <w:rFonts w:ascii="Times New Roman" w:hAnsi="Times New Roman" w:cs="Times New Roman"/>
                <w:sz w:val="20"/>
                <w:szCs w:val="20"/>
              </w:rPr>
              <w:t>Specificity</w:t>
            </w:r>
          </w:p>
          <w:p w:rsidR="00324CFF" w:rsidRPr="00514E45" w:rsidRDefault="00324CFF" w:rsidP="009B34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4E45">
              <w:rPr>
                <w:rFonts w:ascii="Times New Roman" w:hAnsi="Times New Roman" w:cs="Times New Roman"/>
                <w:sz w:val="20"/>
                <w:szCs w:val="20"/>
              </w:rPr>
              <w:t>(95% CI)</w:t>
            </w:r>
          </w:p>
        </w:tc>
        <w:tc>
          <w:tcPr>
            <w:tcW w:w="1530" w:type="dxa"/>
            <w:vMerge w:val="restart"/>
          </w:tcPr>
          <w:p w:rsidR="00324CFF" w:rsidRPr="00514E45" w:rsidRDefault="00324CFF" w:rsidP="009B34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4E45">
              <w:rPr>
                <w:rFonts w:ascii="Times New Roman" w:hAnsi="Times New Roman" w:cs="Times New Roman"/>
                <w:sz w:val="20"/>
                <w:szCs w:val="20"/>
              </w:rPr>
              <w:t>PPV</w:t>
            </w:r>
          </w:p>
          <w:p w:rsidR="00324CFF" w:rsidRPr="00514E45" w:rsidRDefault="00324CFF" w:rsidP="009B34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4E45">
              <w:rPr>
                <w:rFonts w:ascii="Times New Roman" w:hAnsi="Times New Roman" w:cs="Times New Roman"/>
                <w:sz w:val="20"/>
                <w:szCs w:val="20"/>
              </w:rPr>
              <w:t>(95% CI)</w:t>
            </w:r>
          </w:p>
        </w:tc>
        <w:tc>
          <w:tcPr>
            <w:tcW w:w="1530" w:type="dxa"/>
            <w:vMerge w:val="restart"/>
          </w:tcPr>
          <w:p w:rsidR="00324CFF" w:rsidRPr="00514E45" w:rsidRDefault="00324CFF" w:rsidP="009B34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4E45">
              <w:rPr>
                <w:rFonts w:ascii="Times New Roman" w:hAnsi="Times New Roman" w:cs="Times New Roman"/>
                <w:sz w:val="20"/>
                <w:szCs w:val="20"/>
              </w:rPr>
              <w:t>NPV</w:t>
            </w:r>
          </w:p>
          <w:p w:rsidR="00324CFF" w:rsidRPr="00514E45" w:rsidRDefault="00324CFF" w:rsidP="009B34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4E45">
              <w:rPr>
                <w:rFonts w:ascii="Times New Roman" w:hAnsi="Times New Roman" w:cs="Times New Roman"/>
                <w:sz w:val="20"/>
                <w:szCs w:val="20"/>
              </w:rPr>
              <w:t>(95% CI)</w:t>
            </w:r>
          </w:p>
        </w:tc>
      </w:tr>
      <w:tr w:rsidR="00324CFF" w:rsidRPr="00514E45" w:rsidTr="009B34F7">
        <w:tc>
          <w:tcPr>
            <w:tcW w:w="2965" w:type="dxa"/>
          </w:tcPr>
          <w:p w:rsidR="00324CFF" w:rsidRPr="00B47761" w:rsidRDefault="00324CFF" w:rsidP="009B34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47761">
              <w:rPr>
                <w:rFonts w:ascii="Times New Roman" w:hAnsi="Times New Roman" w:cs="Times New Roman"/>
                <w:sz w:val="20"/>
                <w:szCs w:val="20"/>
              </w:rPr>
              <w:t>According to clinical data* (n)</w:t>
            </w:r>
          </w:p>
        </w:tc>
        <w:tc>
          <w:tcPr>
            <w:tcW w:w="5580" w:type="dxa"/>
            <w:gridSpan w:val="3"/>
          </w:tcPr>
          <w:p w:rsidR="00324CFF" w:rsidRPr="00514E45" w:rsidRDefault="00324CFF" w:rsidP="009B34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4E45">
              <w:rPr>
                <w:rFonts w:ascii="Times New Roman" w:hAnsi="Times New Roman" w:cs="Times New Roman"/>
                <w:sz w:val="20"/>
                <w:szCs w:val="20"/>
              </w:rPr>
              <w:t>According to PHARAO alerts</w:t>
            </w:r>
          </w:p>
        </w:tc>
        <w:tc>
          <w:tcPr>
            <w:tcW w:w="1530" w:type="dxa"/>
            <w:vMerge/>
          </w:tcPr>
          <w:p w:rsidR="00324CFF" w:rsidRPr="00514E45" w:rsidRDefault="00324CFF" w:rsidP="009B34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  <w:vMerge/>
          </w:tcPr>
          <w:p w:rsidR="00324CFF" w:rsidRPr="00514E45" w:rsidRDefault="00324CFF" w:rsidP="009B34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  <w:vMerge/>
          </w:tcPr>
          <w:p w:rsidR="00324CFF" w:rsidRPr="00514E45" w:rsidRDefault="00324CFF" w:rsidP="009B34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  <w:vMerge/>
          </w:tcPr>
          <w:p w:rsidR="00324CFF" w:rsidRPr="00514E45" w:rsidRDefault="00324CFF" w:rsidP="009B34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24CFF" w:rsidRPr="006938AA" w:rsidTr="009B34F7">
        <w:tc>
          <w:tcPr>
            <w:tcW w:w="2965" w:type="dxa"/>
          </w:tcPr>
          <w:p w:rsidR="00324CFF" w:rsidRPr="00514E45" w:rsidRDefault="00324CFF" w:rsidP="009B34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</w:tcPr>
          <w:p w:rsidR="00324CFF" w:rsidRPr="00B47761" w:rsidRDefault="00324CFF" w:rsidP="009B34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761">
              <w:rPr>
                <w:rFonts w:ascii="Times New Roman" w:hAnsi="Times New Roman" w:cs="Times New Roman"/>
                <w:sz w:val="20"/>
                <w:szCs w:val="20"/>
              </w:rPr>
              <w:t>Lowest considered level of alert (n)**</w:t>
            </w:r>
          </w:p>
        </w:tc>
        <w:tc>
          <w:tcPr>
            <w:tcW w:w="1620" w:type="dxa"/>
          </w:tcPr>
          <w:p w:rsidR="00324CFF" w:rsidRPr="00514E45" w:rsidRDefault="00324CFF" w:rsidP="009B34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4E45">
              <w:rPr>
                <w:rFonts w:ascii="Times New Roman" w:hAnsi="Times New Roman" w:cs="Times New Roman"/>
                <w:sz w:val="20"/>
                <w:szCs w:val="20"/>
              </w:rPr>
              <w:t>PHARAO alert confirmed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14E45">
              <w:rPr>
                <w:rFonts w:ascii="Times New Roman" w:hAnsi="Times New Roman" w:cs="Times New Roman"/>
                <w:sz w:val="20"/>
                <w:szCs w:val="20"/>
              </w:rPr>
              <w:t>n (%)</w:t>
            </w:r>
          </w:p>
        </w:tc>
        <w:tc>
          <w:tcPr>
            <w:tcW w:w="2160" w:type="dxa"/>
          </w:tcPr>
          <w:p w:rsidR="00324CFF" w:rsidRPr="00B47761" w:rsidRDefault="00324CFF" w:rsidP="009B34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761">
              <w:rPr>
                <w:rFonts w:ascii="Times New Roman" w:hAnsi="Times New Roman" w:cs="Times New Roman"/>
                <w:sz w:val="20"/>
                <w:szCs w:val="20"/>
              </w:rPr>
              <w:t>Symptoms not identified by PHARAO n (%)</w:t>
            </w:r>
          </w:p>
        </w:tc>
        <w:tc>
          <w:tcPr>
            <w:tcW w:w="1530" w:type="dxa"/>
          </w:tcPr>
          <w:p w:rsidR="00324CFF" w:rsidRPr="00B47761" w:rsidRDefault="00324CFF" w:rsidP="009B34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</w:tcPr>
          <w:p w:rsidR="00324CFF" w:rsidRPr="00B47761" w:rsidRDefault="00324CFF" w:rsidP="009B34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</w:tcPr>
          <w:p w:rsidR="00324CFF" w:rsidRPr="00B47761" w:rsidRDefault="00324CFF" w:rsidP="009B34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</w:tcPr>
          <w:p w:rsidR="00324CFF" w:rsidRPr="00B47761" w:rsidRDefault="00324CFF" w:rsidP="009B34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24CFF" w:rsidRPr="00514E45" w:rsidTr="009B34F7">
        <w:tc>
          <w:tcPr>
            <w:tcW w:w="2965" w:type="dxa"/>
          </w:tcPr>
          <w:p w:rsidR="00324CFF" w:rsidRPr="00514E45" w:rsidRDefault="00324CFF" w:rsidP="009B34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Total (208)</w:t>
            </w:r>
          </w:p>
        </w:tc>
        <w:tc>
          <w:tcPr>
            <w:tcW w:w="1800" w:type="dxa"/>
          </w:tcPr>
          <w:p w:rsidR="00324CFF" w:rsidRPr="00514E45" w:rsidRDefault="00324CFF" w:rsidP="009B34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High (208</w:t>
            </w:r>
            <w:r w:rsidRPr="00514E4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620" w:type="dxa"/>
          </w:tcPr>
          <w:p w:rsidR="00324CFF" w:rsidRPr="00514E45" w:rsidRDefault="00324CFF" w:rsidP="009B34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 (11)</w:t>
            </w:r>
          </w:p>
        </w:tc>
        <w:tc>
          <w:tcPr>
            <w:tcW w:w="2160" w:type="dxa"/>
          </w:tcPr>
          <w:p w:rsidR="00324CFF" w:rsidRPr="00514E45" w:rsidRDefault="00324CFF" w:rsidP="009B34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186 (89)</w:t>
            </w:r>
          </w:p>
        </w:tc>
        <w:tc>
          <w:tcPr>
            <w:tcW w:w="1530" w:type="dxa"/>
          </w:tcPr>
          <w:p w:rsidR="00324CFF" w:rsidRPr="00514E45" w:rsidRDefault="00324CFF" w:rsidP="009B34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0.11 (0.07-0.15)</w:t>
            </w:r>
          </w:p>
        </w:tc>
        <w:tc>
          <w:tcPr>
            <w:tcW w:w="1530" w:type="dxa"/>
          </w:tcPr>
          <w:p w:rsidR="00324CFF" w:rsidRPr="00514E45" w:rsidRDefault="00324CFF" w:rsidP="009B34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0.95 (0.94-0.95)</w:t>
            </w:r>
          </w:p>
        </w:tc>
        <w:tc>
          <w:tcPr>
            <w:tcW w:w="1530" w:type="dxa"/>
          </w:tcPr>
          <w:p w:rsidR="00324CFF" w:rsidRPr="00514E45" w:rsidRDefault="00324CFF" w:rsidP="009B34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0.11 (0.07-0.16)</w:t>
            </w:r>
          </w:p>
        </w:tc>
        <w:tc>
          <w:tcPr>
            <w:tcW w:w="1530" w:type="dxa"/>
          </w:tcPr>
          <w:p w:rsidR="00324CFF" w:rsidRPr="00514E45" w:rsidRDefault="00324CFF" w:rsidP="009B34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0.95 (0.94-0.96)</w:t>
            </w:r>
          </w:p>
        </w:tc>
      </w:tr>
      <w:tr w:rsidR="00324CFF" w:rsidRPr="00514E45" w:rsidTr="009B34F7">
        <w:tc>
          <w:tcPr>
            <w:tcW w:w="2965" w:type="dxa"/>
          </w:tcPr>
          <w:p w:rsidR="00324CFF" w:rsidRPr="00514E45" w:rsidRDefault="00324CFF" w:rsidP="009B34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</w:tcPr>
          <w:p w:rsidR="00324CFF" w:rsidRPr="00514E45" w:rsidRDefault="00324CFF" w:rsidP="009B34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Intermediate (460</w:t>
            </w:r>
            <w:r w:rsidRPr="00514E4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620" w:type="dxa"/>
          </w:tcPr>
          <w:p w:rsidR="00324CFF" w:rsidRPr="00514E45" w:rsidRDefault="00324CFF" w:rsidP="009B34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 (9)</w:t>
            </w:r>
          </w:p>
        </w:tc>
        <w:tc>
          <w:tcPr>
            <w:tcW w:w="2160" w:type="dxa"/>
          </w:tcPr>
          <w:p w:rsidR="00324CFF" w:rsidRPr="00514E45" w:rsidRDefault="00324CFF" w:rsidP="009B34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165 (79)</w:t>
            </w:r>
          </w:p>
        </w:tc>
        <w:tc>
          <w:tcPr>
            <w:tcW w:w="1530" w:type="dxa"/>
          </w:tcPr>
          <w:p w:rsidR="00324CFF" w:rsidRPr="00514E45" w:rsidRDefault="00324CFF" w:rsidP="009B34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0.21 (0.16-0.27)</w:t>
            </w:r>
          </w:p>
        </w:tc>
        <w:tc>
          <w:tcPr>
            <w:tcW w:w="1530" w:type="dxa"/>
          </w:tcPr>
          <w:p w:rsidR="00324CFF" w:rsidRPr="00514E45" w:rsidRDefault="00324CFF" w:rsidP="009B34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0.88 (0.87-0.89)</w:t>
            </w:r>
          </w:p>
        </w:tc>
        <w:tc>
          <w:tcPr>
            <w:tcW w:w="1530" w:type="dxa"/>
          </w:tcPr>
          <w:p w:rsidR="00324CFF" w:rsidRPr="00514E45" w:rsidRDefault="00324CFF" w:rsidP="009B34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0.09 (0.07-0.12)</w:t>
            </w:r>
          </w:p>
        </w:tc>
        <w:tc>
          <w:tcPr>
            <w:tcW w:w="1530" w:type="dxa"/>
          </w:tcPr>
          <w:p w:rsidR="00324CFF" w:rsidRPr="00514E45" w:rsidRDefault="00324CFF" w:rsidP="009B34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0.95 (0.94-0.96)</w:t>
            </w:r>
          </w:p>
        </w:tc>
      </w:tr>
      <w:tr w:rsidR="00324CFF" w:rsidRPr="00514E45" w:rsidTr="009B34F7">
        <w:tc>
          <w:tcPr>
            <w:tcW w:w="2965" w:type="dxa"/>
          </w:tcPr>
          <w:p w:rsidR="00324CFF" w:rsidRPr="00514E45" w:rsidRDefault="00324CFF" w:rsidP="009B34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</w:tcPr>
          <w:p w:rsidR="00324CFF" w:rsidRPr="00514E45" w:rsidRDefault="00324CFF" w:rsidP="009B34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Low (907</w:t>
            </w:r>
            <w:r w:rsidRPr="00514E4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620" w:type="dxa"/>
          </w:tcPr>
          <w:p w:rsidR="00324CFF" w:rsidRPr="00514E45" w:rsidRDefault="00324CFF" w:rsidP="009B34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 (7)</w:t>
            </w:r>
          </w:p>
        </w:tc>
        <w:tc>
          <w:tcPr>
            <w:tcW w:w="2160" w:type="dxa"/>
          </w:tcPr>
          <w:p w:rsidR="00324CFF" w:rsidRPr="00514E45" w:rsidRDefault="00324CFF" w:rsidP="009B34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140 (67)</w:t>
            </w:r>
          </w:p>
        </w:tc>
        <w:tc>
          <w:tcPr>
            <w:tcW w:w="1530" w:type="dxa"/>
          </w:tcPr>
          <w:p w:rsidR="00324CFF" w:rsidRPr="00514E45" w:rsidRDefault="00324CFF" w:rsidP="009B34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0.33 (0.26-0.40)</w:t>
            </w:r>
          </w:p>
        </w:tc>
        <w:tc>
          <w:tcPr>
            <w:tcW w:w="1530" w:type="dxa"/>
          </w:tcPr>
          <w:p w:rsidR="00324CFF" w:rsidRPr="00514E45" w:rsidRDefault="00324CFF" w:rsidP="009B34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0.77 (0.76-0.78)</w:t>
            </w:r>
          </w:p>
        </w:tc>
        <w:tc>
          <w:tcPr>
            <w:tcW w:w="1530" w:type="dxa"/>
          </w:tcPr>
          <w:p w:rsidR="00324CFF" w:rsidRPr="00514E45" w:rsidRDefault="00324CFF" w:rsidP="009B34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0.07 (0.06-0.09)</w:t>
            </w:r>
          </w:p>
        </w:tc>
        <w:tc>
          <w:tcPr>
            <w:tcW w:w="1530" w:type="dxa"/>
          </w:tcPr>
          <w:p w:rsidR="00324CFF" w:rsidRPr="00514E45" w:rsidRDefault="00324CFF" w:rsidP="009B34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0.95 (0.94-0.96)</w:t>
            </w:r>
          </w:p>
        </w:tc>
      </w:tr>
    </w:tbl>
    <w:p w:rsidR="00324CFF" w:rsidRPr="00B47761" w:rsidRDefault="00324CFF" w:rsidP="00324CFF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  <w:lang w:val="en-GB"/>
        </w:rPr>
      </w:pPr>
      <w:r w:rsidRPr="00B47761">
        <w:rPr>
          <w:rFonts w:ascii="Times New Roman" w:hAnsi="Times New Roman" w:cs="Times New Roman"/>
          <w:sz w:val="20"/>
          <w:szCs w:val="20"/>
          <w:lang w:val="en-GB"/>
        </w:rPr>
        <w:t>*Symptoms considered as possible/probable/definite adverse drug reactions, following a causality assessment were included in the analysis.</w:t>
      </w:r>
    </w:p>
    <w:p w:rsidR="00324CFF" w:rsidRPr="00B47761" w:rsidRDefault="00324CFF" w:rsidP="00324CFF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  <w:lang w:val="en-GB"/>
        </w:rPr>
      </w:pPr>
      <w:r w:rsidRPr="00B47761">
        <w:rPr>
          <w:rFonts w:ascii="Times New Roman" w:hAnsi="Times New Roman" w:cs="Times New Roman"/>
          <w:sz w:val="20"/>
          <w:szCs w:val="20"/>
          <w:lang w:val="en-GB"/>
        </w:rPr>
        <w:t>** The high level of risk considers only high risk scores, intermediate level considers high and intermediate risk scores, and the low level considers high, intermediate and low risk scores.</w:t>
      </w:r>
    </w:p>
    <w:p w:rsidR="00324CFF" w:rsidRPr="00B47761" w:rsidRDefault="00324CFF" w:rsidP="00324CFF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  <w:lang w:val="en-GB"/>
        </w:rPr>
      </w:pPr>
      <w:r w:rsidRPr="00B47761">
        <w:rPr>
          <w:rFonts w:ascii="Times New Roman" w:hAnsi="Times New Roman" w:cs="Times New Roman"/>
          <w:sz w:val="20"/>
          <w:szCs w:val="20"/>
          <w:lang w:val="en-GB"/>
        </w:rPr>
        <w:t>Abbreviations: n = number; NPV = negative predictive value; PPV = positive predictive value; 95%CI = 95% confidence interval</w:t>
      </w:r>
    </w:p>
    <w:p w:rsidR="00324CFF" w:rsidRPr="00B47761" w:rsidRDefault="00324CFF" w:rsidP="00324CFF">
      <w:pPr>
        <w:rPr>
          <w:rFonts w:ascii="Times New Roman" w:hAnsi="Times New Roman" w:cs="Times New Roman"/>
          <w:lang w:val="en-GB"/>
        </w:rPr>
      </w:pPr>
      <w:r w:rsidRPr="00B47761">
        <w:rPr>
          <w:rFonts w:ascii="Times New Roman" w:hAnsi="Times New Roman" w:cs="Times New Roman"/>
          <w:lang w:val="en-GB"/>
        </w:rPr>
        <w:br w:type="page"/>
      </w:r>
      <w:bookmarkStart w:id="0" w:name="_GoBack"/>
      <w:bookmarkEnd w:id="0"/>
    </w:p>
    <w:p w:rsidR="00324CFF" w:rsidRPr="00B47761" w:rsidRDefault="00324CFF" w:rsidP="00324CFF">
      <w:pPr>
        <w:spacing w:before="240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B47761"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 xml:space="preserve">Table S2. Validity of PHARAO alerts to detect symptoms associated with medications’ pharmacological properties during a 6-month period, by symptoms experienced by elderly patients. </w:t>
      </w:r>
    </w:p>
    <w:tbl>
      <w:tblPr>
        <w:tblStyle w:val="TableGrid1"/>
        <w:tblW w:w="14665" w:type="dxa"/>
        <w:tblLayout w:type="fixed"/>
        <w:tblLook w:val="04A0" w:firstRow="1" w:lastRow="0" w:firstColumn="1" w:lastColumn="0" w:noHBand="0" w:noVBand="1"/>
      </w:tblPr>
      <w:tblGrid>
        <w:gridCol w:w="2965"/>
        <w:gridCol w:w="1800"/>
        <w:gridCol w:w="1620"/>
        <w:gridCol w:w="2160"/>
        <w:gridCol w:w="1530"/>
        <w:gridCol w:w="1530"/>
        <w:gridCol w:w="1530"/>
        <w:gridCol w:w="1530"/>
      </w:tblGrid>
      <w:tr w:rsidR="00324CFF" w:rsidRPr="00514E45" w:rsidTr="009B34F7">
        <w:tc>
          <w:tcPr>
            <w:tcW w:w="8545" w:type="dxa"/>
            <w:gridSpan w:val="4"/>
          </w:tcPr>
          <w:p w:rsidR="00324CFF" w:rsidRPr="00514E45" w:rsidRDefault="00324CFF" w:rsidP="009B34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Experienced symptoms</w:t>
            </w:r>
          </w:p>
        </w:tc>
        <w:tc>
          <w:tcPr>
            <w:tcW w:w="1530" w:type="dxa"/>
            <w:vMerge w:val="restart"/>
          </w:tcPr>
          <w:p w:rsidR="00324CFF" w:rsidRPr="00514E45" w:rsidRDefault="00324CFF" w:rsidP="009B34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4E45">
              <w:rPr>
                <w:rFonts w:ascii="Times New Roman" w:hAnsi="Times New Roman" w:cs="Times New Roman"/>
                <w:sz w:val="20"/>
                <w:szCs w:val="20"/>
              </w:rPr>
              <w:t>Sensitivity</w:t>
            </w:r>
          </w:p>
          <w:p w:rsidR="00324CFF" w:rsidRPr="00514E45" w:rsidRDefault="00324CFF" w:rsidP="009B34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4E45">
              <w:rPr>
                <w:rFonts w:ascii="Times New Roman" w:hAnsi="Times New Roman" w:cs="Times New Roman"/>
                <w:sz w:val="20"/>
                <w:szCs w:val="20"/>
              </w:rPr>
              <w:t>(95% CI)</w:t>
            </w:r>
          </w:p>
        </w:tc>
        <w:tc>
          <w:tcPr>
            <w:tcW w:w="1530" w:type="dxa"/>
            <w:vMerge w:val="restart"/>
          </w:tcPr>
          <w:p w:rsidR="00324CFF" w:rsidRPr="00514E45" w:rsidRDefault="00324CFF" w:rsidP="009B34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4E45">
              <w:rPr>
                <w:rFonts w:ascii="Times New Roman" w:hAnsi="Times New Roman" w:cs="Times New Roman"/>
                <w:sz w:val="20"/>
                <w:szCs w:val="20"/>
              </w:rPr>
              <w:t>Specificity</w:t>
            </w:r>
          </w:p>
          <w:p w:rsidR="00324CFF" w:rsidRPr="00514E45" w:rsidRDefault="00324CFF" w:rsidP="009B34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4E45">
              <w:rPr>
                <w:rFonts w:ascii="Times New Roman" w:hAnsi="Times New Roman" w:cs="Times New Roman"/>
                <w:sz w:val="20"/>
                <w:szCs w:val="20"/>
              </w:rPr>
              <w:t>(95% CI)</w:t>
            </w:r>
          </w:p>
        </w:tc>
        <w:tc>
          <w:tcPr>
            <w:tcW w:w="1530" w:type="dxa"/>
            <w:vMerge w:val="restart"/>
          </w:tcPr>
          <w:p w:rsidR="00324CFF" w:rsidRPr="00514E45" w:rsidRDefault="00324CFF" w:rsidP="009B34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4E45">
              <w:rPr>
                <w:rFonts w:ascii="Times New Roman" w:hAnsi="Times New Roman" w:cs="Times New Roman"/>
                <w:sz w:val="20"/>
                <w:szCs w:val="20"/>
              </w:rPr>
              <w:t>PPV</w:t>
            </w:r>
          </w:p>
          <w:p w:rsidR="00324CFF" w:rsidRPr="00514E45" w:rsidRDefault="00324CFF" w:rsidP="009B34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4E45">
              <w:rPr>
                <w:rFonts w:ascii="Times New Roman" w:hAnsi="Times New Roman" w:cs="Times New Roman"/>
                <w:sz w:val="20"/>
                <w:szCs w:val="20"/>
              </w:rPr>
              <w:t>(95% CI)</w:t>
            </w:r>
          </w:p>
        </w:tc>
        <w:tc>
          <w:tcPr>
            <w:tcW w:w="1530" w:type="dxa"/>
            <w:vMerge w:val="restart"/>
          </w:tcPr>
          <w:p w:rsidR="00324CFF" w:rsidRPr="00514E45" w:rsidRDefault="00324CFF" w:rsidP="009B34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4E45">
              <w:rPr>
                <w:rFonts w:ascii="Times New Roman" w:hAnsi="Times New Roman" w:cs="Times New Roman"/>
                <w:sz w:val="20"/>
                <w:szCs w:val="20"/>
              </w:rPr>
              <w:t>NPV</w:t>
            </w:r>
          </w:p>
          <w:p w:rsidR="00324CFF" w:rsidRPr="00514E45" w:rsidRDefault="00324CFF" w:rsidP="009B34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4E45">
              <w:rPr>
                <w:rFonts w:ascii="Times New Roman" w:hAnsi="Times New Roman" w:cs="Times New Roman"/>
                <w:sz w:val="20"/>
                <w:szCs w:val="20"/>
              </w:rPr>
              <w:t>(95% CI)</w:t>
            </w:r>
          </w:p>
        </w:tc>
      </w:tr>
      <w:tr w:rsidR="00324CFF" w:rsidRPr="00514E45" w:rsidTr="009B34F7">
        <w:tc>
          <w:tcPr>
            <w:tcW w:w="2965" w:type="dxa"/>
          </w:tcPr>
          <w:p w:rsidR="00324CFF" w:rsidRPr="00B47761" w:rsidRDefault="00324CFF" w:rsidP="009B34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47761">
              <w:rPr>
                <w:rFonts w:ascii="Times New Roman" w:hAnsi="Times New Roman" w:cs="Times New Roman"/>
                <w:sz w:val="20"/>
                <w:szCs w:val="20"/>
              </w:rPr>
              <w:t>According to clinical data (n)</w:t>
            </w:r>
          </w:p>
        </w:tc>
        <w:tc>
          <w:tcPr>
            <w:tcW w:w="5580" w:type="dxa"/>
            <w:gridSpan w:val="3"/>
          </w:tcPr>
          <w:p w:rsidR="00324CFF" w:rsidRPr="00514E45" w:rsidRDefault="00324CFF" w:rsidP="009B34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4E45">
              <w:rPr>
                <w:rFonts w:ascii="Times New Roman" w:hAnsi="Times New Roman" w:cs="Times New Roman"/>
                <w:sz w:val="20"/>
                <w:szCs w:val="20"/>
              </w:rPr>
              <w:t>According to PHARAO alerts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530" w:type="dxa"/>
            <w:vMerge/>
          </w:tcPr>
          <w:p w:rsidR="00324CFF" w:rsidRPr="00514E45" w:rsidRDefault="00324CFF" w:rsidP="009B34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  <w:vMerge/>
          </w:tcPr>
          <w:p w:rsidR="00324CFF" w:rsidRPr="00514E45" w:rsidRDefault="00324CFF" w:rsidP="009B34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  <w:vMerge/>
          </w:tcPr>
          <w:p w:rsidR="00324CFF" w:rsidRPr="00514E45" w:rsidRDefault="00324CFF" w:rsidP="009B34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  <w:vMerge/>
          </w:tcPr>
          <w:p w:rsidR="00324CFF" w:rsidRPr="00514E45" w:rsidRDefault="00324CFF" w:rsidP="009B34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24CFF" w:rsidRPr="006938AA" w:rsidTr="009B34F7">
        <w:tc>
          <w:tcPr>
            <w:tcW w:w="2965" w:type="dxa"/>
          </w:tcPr>
          <w:p w:rsidR="00324CFF" w:rsidRPr="00ED09D0" w:rsidRDefault="00324CFF" w:rsidP="009B34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00" w:type="dxa"/>
          </w:tcPr>
          <w:p w:rsidR="00324CFF" w:rsidRPr="00B47761" w:rsidRDefault="00324CFF" w:rsidP="009B34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761">
              <w:rPr>
                <w:rFonts w:ascii="Times New Roman" w:hAnsi="Times New Roman" w:cs="Times New Roman"/>
                <w:sz w:val="20"/>
                <w:szCs w:val="20"/>
              </w:rPr>
              <w:t>Lowest level of alert considered (n)**</w:t>
            </w:r>
          </w:p>
        </w:tc>
        <w:tc>
          <w:tcPr>
            <w:tcW w:w="1620" w:type="dxa"/>
          </w:tcPr>
          <w:p w:rsidR="00324CFF" w:rsidRPr="00514E45" w:rsidRDefault="00324CFF" w:rsidP="009B34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4E45">
              <w:rPr>
                <w:rFonts w:ascii="Times New Roman" w:hAnsi="Times New Roman" w:cs="Times New Roman"/>
                <w:sz w:val="20"/>
                <w:szCs w:val="20"/>
              </w:rPr>
              <w:t>PHARAO alert confirmed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14E45">
              <w:rPr>
                <w:rFonts w:ascii="Times New Roman" w:hAnsi="Times New Roman" w:cs="Times New Roman"/>
                <w:sz w:val="20"/>
                <w:szCs w:val="20"/>
              </w:rPr>
              <w:t>n (%)</w:t>
            </w:r>
          </w:p>
        </w:tc>
        <w:tc>
          <w:tcPr>
            <w:tcW w:w="2160" w:type="dxa"/>
          </w:tcPr>
          <w:p w:rsidR="00324CFF" w:rsidRPr="00B47761" w:rsidRDefault="00324CFF" w:rsidP="009B34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761">
              <w:rPr>
                <w:rFonts w:ascii="Times New Roman" w:hAnsi="Times New Roman" w:cs="Times New Roman"/>
                <w:sz w:val="20"/>
                <w:szCs w:val="20"/>
              </w:rPr>
              <w:t>Symptoms not identified by PHARAO n (%)</w:t>
            </w:r>
          </w:p>
        </w:tc>
        <w:tc>
          <w:tcPr>
            <w:tcW w:w="1530" w:type="dxa"/>
          </w:tcPr>
          <w:p w:rsidR="00324CFF" w:rsidRPr="00B47761" w:rsidRDefault="00324CFF" w:rsidP="009B34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</w:tcPr>
          <w:p w:rsidR="00324CFF" w:rsidRPr="00B47761" w:rsidRDefault="00324CFF" w:rsidP="009B34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</w:tcPr>
          <w:p w:rsidR="00324CFF" w:rsidRPr="00B47761" w:rsidRDefault="00324CFF" w:rsidP="009B34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</w:tcPr>
          <w:p w:rsidR="00324CFF" w:rsidRPr="00B47761" w:rsidRDefault="00324CFF" w:rsidP="009B34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24CFF" w:rsidRPr="00514E45" w:rsidTr="009B34F7">
        <w:tc>
          <w:tcPr>
            <w:tcW w:w="2965" w:type="dxa"/>
          </w:tcPr>
          <w:p w:rsidR="00324CFF" w:rsidRPr="00514E45" w:rsidRDefault="00324CFF" w:rsidP="009B34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Total (444)</w:t>
            </w:r>
          </w:p>
        </w:tc>
        <w:tc>
          <w:tcPr>
            <w:tcW w:w="1800" w:type="dxa"/>
          </w:tcPr>
          <w:p w:rsidR="00324CFF" w:rsidRPr="00514E45" w:rsidRDefault="00324CFF" w:rsidP="009B34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High (313</w:t>
            </w:r>
            <w:r w:rsidRPr="00514E4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620" w:type="dxa"/>
          </w:tcPr>
          <w:p w:rsidR="00324CFF" w:rsidRPr="00514E45" w:rsidRDefault="00324CFF" w:rsidP="009B34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 (23)</w:t>
            </w:r>
          </w:p>
        </w:tc>
        <w:tc>
          <w:tcPr>
            <w:tcW w:w="2160" w:type="dxa"/>
          </w:tcPr>
          <w:p w:rsidR="00324CFF" w:rsidRPr="00514E45" w:rsidRDefault="00324CFF" w:rsidP="009B34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372 (84)</w:t>
            </w:r>
          </w:p>
        </w:tc>
        <w:tc>
          <w:tcPr>
            <w:tcW w:w="1530" w:type="dxa"/>
          </w:tcPr>
          <w:p w:rsidR="00324CFF" w:rsidRPr="00514E45" w:rsidRDefault="00324CFF" w:rsidP="009B34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0.16 (0.13-0.20)</w:t>
            </w:r>
          </w:p>
        </w:tc>
        <w:tc>
          <w:tcPr>
            <w:tcW w:w="1530" w:type="dxa"/>
          </w:tcPr>
          <w:p w:rsidR="00324CFF" w:rsidRPr="00514E45" w:rsidRDefault="00324CFF" w:rsidP="009B34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0.89 (0.88-0.90)</w:t>
            </w:r>
          </w:p>
        </w:tc>
        <w:tc>
          <w:tcPr>
            <w:tcW w:w="1530" w:type="dxa"/>
          </w:tcPr>
          <w:p w:rsidR="00324CFF" w:rsidRPr="00514E45" w:rsidRDefault="00324CFF" w:rsidP="009B34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0.23 (0.18-0.28)</w:t>
            </w:r>
          </w:p>
        </w:tc>
        <w:tc>
          <w:tcPr>
            <w:tcW w:w="1530" w:type="dxa"/>
          </w:tcPr>
          <w:p w:rsidR="00324CFF" w:rsidRPr="00514E45" w:rsidRDefault="00324CFF" w:rsidP="009B34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0.92 (0.91-0.93)</w:t>
            </w:r>
          </w:p>
        </w:tc>
      </w:tr>
      <w:tr w:rsidR="00324CFF" w:rsidRPr="00514E45" w:rsidTr="009B34F7">
        <w:tc>
          <w:tcPr>
            <w:tcW w:w="2965" w:type="dxa"/>
          </w:tcPr>
          <w:p w:rsidR="00324CFF" w:rsidRPr="00514E45" w:rsidRDefault="00324CFF" w:rsidP="009B34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</w:tcPr>
          <w:p w:rsidR="00324CFF" w:rsidRPr="00514E45" w:rsidRDefault="00324CFF" w:rsidP="009B34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Intermediate (602</w:t>
            </w:r>
            <w:r w:rsidRPr="00514E4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620" w:type="dxa"/>
          </w:tcPr>
          <w:p w:rsidR="00324CFF" w:rsidRPr="00514E45" w:rsidRDefault="00324CFF" w:rsidP="009B34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 (20)</w:t>
            </w:r>
          </w:p>
        </w:tc>
        <w:tc>
          <w:tcPr>
            <w:tcW w:w="2160" w:type="dxa"/>
          </w:tcPr>
          <w:p w:rsidR="00324CFF" w:rsidRPr="00514E45" w:rsidRDefault="00324CFF" w:rsidP="009B34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325 (73)</w:t>
            </w:r>
          </w:p>
        </w:tc>
        <w:tc>
          <w:tcPr>
            <w:tcW w:w="1530" w:type="dxa"/>
          </w:tcPr>
          <w:p w:rsidR="00324CFF" w:rsidRPr="00514E45" w:rsidRDefault="00324CFF" w:rsidP="009B34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0.27 (0.23-0.31)</w:t>
            </w:r>
          </w:p>
        </w:tc>
        <w:tc>
          <w:tcPr>
            <w:tcW w:w="1530" w:type="dxa"/>
          </w:tcPr>
          <w:p w:rsidR="00324CFF" w:rsidRPr="00514E45" w:rsidRDefault="00324CFF" w:rsidP="009B34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0.85 (0.84-0.86)</w:t>
            </w:r>
          </w:p>
        </w:tc>
        <w:tc>
          <w:tcPr>
            <w:tcW w:w="1530" w:type="dxa"/>
          </w:tcPr>
          <w:p w:rsidR="00324CFF" w:rsidRPr="00514E45" w:rsidRDefault="00324CFF" w:rsidP="009B34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0.20 (0.17-0.23)</w:t>
            </w:r>
          </w:p>
        </w:tc>
        <w:tc>
          <w:tcPr>
            <w:tcW w:w="1530" w:type="dxa"/>
          </w:tcPr>
          <w:p w:rsidR="00324CFF" w:rsidRPr="00514E45" w:rsidRDefault="00324CFF" w:rsidP="009B34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0.89 (0.90-0.91)</w:t>
            </w:r>
          </w:p>
        </w:tc>
      </w:tr>
      <w:tr w:rsidR="00324CFF" w:rsidRPr="00514E45" w:rsidTr="009B34F7">
        <w:tc>
          <w:tcPr>
            <w:tcW w:w="2965" w:type="dxa"/>
          </w:tcPr>
          <w:p w:rsidR="00324CFF" w:rsidRPr="00514E45" w:rsidRDefault="00324CFF" w:rsidP="009B34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</w:tcPr>
          <w:p w:rsidR="00324CFF" w:rsidRPr="00514E45" w:rsidRDefault="00324CFF" w:rsidP="009B34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Low (945</w:t>
            </w:r>
            <w:r w:rsidRPr="00514E4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620" w:type="dxa"/>
          </w:tcPr>
          <w:p w:rsidR="00324CFF" w:rsidRPr="00514E45" w:rsidRDefault="00324CFF" w:rsidP="009B34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169 (18)</w:t>
            </w:r>
          </w:p>
        </w:tc>
        <w:tc>
          <w:tcPr>
            <w:tcW w:w="2160" w:type="dxa"/>
          </w:tcPr>
          <w:p w:rsidR="00324CFF" w:rsidRPr="00514E45" w:rsidRDefault="00324CFF" w:rsidP="009B34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275 (62)</w:t>
            </w:r>
          </w:p>
        </w:tc>
        <w:tc>
          <w:tcPr>
            <w:tcW w:w="1530" w:type="dxa"/>
          </w:tcPr>
          <w:p w:rsidR="00324CFF" w:rsidRPr="00514E45" w:rsidRDefault="00324CFF" w:rsidP="009B34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0.38 (0.33-0.43)</w:t>
            </w:r>
          </w:p>
        </w:tc>
        <w:tc>
          <w:tcPr>
            <w:tcW w:w="1530" w:type="dxa"/>
          </w:tcPr>
          <w:p w:rsidR="00324CFF" w:rsidRPr="00514E45" w:rsidRDefault="00324CFF" w:rsidP="009B34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0.76 (0.75-0.78)</w:t>
            </w:r>
          </w:p>
        </w:tc>
        <w:tc>
          <w:tcPr>
            <w:tcW w:w="1530" w:type="dxa"/>
          </w:tcPr>
          <w:p w:rsidR="00324CFF" w:rsidRPr="00514E45" w:rsidRDefault="00324CFF" w:rsidP="009B34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0.18 (0.15-0.20)</w:t>
            </w:r>
          </w:p>
        </w:tc>
        <w:tc>
          <w:tcPr>
            <w:tcW w:w="1530" w:type="dxa"/>
          </w:tcPr>
          <w:p w:rsidR="00324CFF" w:rsidRPr="00514E45" w:rsidRDefault="00324CFF" w:rsidP="009B34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0.90 (0.89-0.91)</w:t>
            </w:r>
          </w:p>
        </w:tc>
      </w:tr>
    </w:tbl>
    <w:p w:rsidR="00324CFF" w:rsidRPr="00B47761" w:rsidRDefault="00324CFF" w:rsidP="00324CFF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  <w:lang w:val="en-GB"/>
        </w:rPr>
      </w:pPr>
      <w:r w:rsidRPr="00B47761">
        <w:rPr>
          <w:rFonts w:ascii="Times New Roman" w:hAnsi="Times New Roman" w:cs="Times New Roman"/>
          <w:sz w:val="20"/>
          <w:szCs w:val="20"/>
          <w:lang w:val="en-GB"/>
        </w:rPr>
        <w:t>*PHARAO risk scores calculated under a six-month period, including 3 months prior the study period.</w:t>
      </w:r>
    </w:p>
    <w:p w:rsidR="00324CFF" w:rsidRPr="00B47761" w:rsidRDefault="00324CFF" w:rsidP="00324CFF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  <w:lang w:val="en-GB"/>
        </w:rPr>
      </w:pPr>
      <w:r w:rsidRPr="00B47761">
        <w:rPr>
          <w:rFonts w:ascii="Times New Roman" w:hAnsi="Times New Roman" w:cs="Times New Roman"/>
          <w:sz w:val="20"/>
          <w:szCs w:val="20"/>
          <w:lang w:val="en-GB"/>
        </w:rPr>
        <w:t>** The high level of risk considers only high risk scores, intermediate level considers high and intermediate risk scores, and the low level considers high, intermediate and low risk scores.</w:t>
      </w:r>
    </w:p>
    <w:p w:rsidR="00324CFF" w:rsidRPr="00B47761" w:rsidRDefault="00324CFF" w:rsidP="00324CFF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  <w:lang w:val="en-GB"/>
        </w:rPr>
      </w:pPr>
      <w:r w:rsidRPr="00B47761">
        <w:rPr>
          <w:rFonts w:ascii="Times New Roman" w:hAnsi="Times New Roman" w:cs="Times New Roman"/>
          <w:sz w:val="20"/>
          <w:szCs w:val="20"/>
          <w:lang w:val="en-GB"/>
        </w:rPr>
        <w:t>Abbreviations: n = number; NPV = negative predictive value; PPV = positive predictive value; 95%CI = 95% confidence interval</w:t>
      </w:r>
    </w:p>
    <w:p w:rsidR="00324CFF" w:rsidRPr="00B47761" w:rsidRDefault="00324CFF" w:rsidP="00324CFF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  <w:lang w:val="en-GB"/>
        </w:rPr>
      </w:pPr>
    </w:p>
    <w:p w:rsidR="00324CFF" w:rsidRPr="00B47761" w:rsidRDefault="00324CFF" w:rsidP="00324CFF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324CFF" w:rsidRPr="00B47761" w:rsidRDefault="00324CFF" w:rsidP="00324CFF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324CFF" w:rsidRPr="00B47761" w:rsidRDefault="00324CFF" w:rsidP="00324CFF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324CFF" w:rsidRPr="00B47761" w:rsidRDefault="00324CFF" w:rsidP="00324CFF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324CFF" w:rsidRDefault="00324CFF" w:rsidP="00324CFF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324CFF" w:rsidRDefault="00324CFF" w:rsidP="00324CFF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324CFF" w:rsidRPr="00B47761" w:rsidRDefault="00324CFF" w:rsidP="00324CFF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C307D5" w:rsidRPr="00324CFF" w:rsidRDefault="00C307D5">
      <w:pPr>
        <w:rPr>
          <w:lang w:val="en-GB"/>
        </w:rPr>
      </w:pPr>
    </w:p>
    <w:sectPr w:rsidR="00C307D5" w:rsidRPr="00324CFF" w:rsidSect="0020033E">
      <w:pgSz w:w="16838" w:h="11906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324CFF"/>
    <w:rsid w:val="000D15CA"/>
    <w:rsid w:val="00324CFF"/>
    <w:rsid w:val="00C30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C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39"/>
    <w:rsid w:val="00324CFF"/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324C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C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39"/>
    <w:rsid w:val="00324CFF"/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324C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377</Words>
  <Characters>2200</Characters>
  <Application>Microsoft Office Word</Application>
  <DocSecurity>0</DocSecurity>
  <Lines>137</Lines>
  <Paragraphs>95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Region Östergötland</Company>
  <LinksUpToDate>false</LinksUpToDate>
  <CharactersWithSpaces>2482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Böttiger Ylva</dc:creator>
  <cp:lastModifiedBy>LAMIRA</cp:lastModifiedBy>
  <cp:revision>2</cp:revision>
  <dcterms:created xsi:type="dcterms:W3CDTF">2018-09-14T13:05:00Z</dcterms:created>
  <dcterms:modified xsi:type="dcterms:W3CDTF">2019-06-03T14:13:00Z</dcterms:modified>
</cp:coreProperties>
</file>