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0691" w:rsidRPr="00D176BC" w:rsidRDefault="00CD0691" w:rsidP="00CD0691">
      <w:pPr>
        <w:spacing w:line="48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Appendix 1</w:t>
      </w:r>
      <w:r w:rsidRPr="00D176BC">
        <w:rPr>
          <w:b/>
          <w:sz w:val="24"/>
          <w:szCs w:val="24"/>
        </w:rPr>
        <w:t xml:space="preserve">: Potentially inappropriate medicines (PIMs) identified by the STOPP criteria for the entire patient group, for Māori and non-Māori patients. </w:t>
      </w:r>
    </w:p>
    <w:tbl>
      <w:tblPr>
        <w:tblStyle w:val="TableGrid"/>
        <w:tblW w:w="11194" w:type="dxa"/>
        <w:jc w:val="center"/>
        <w:tblLook w:val="04A0" w:firstRow="1" w:lastRow="0" w:firstColumn="1" w:lastColumn="0" w:noHBand="0" w:noVBand="1"/>
      </w:tblPr>
      <w:tblGrid>
        <w:gridCol w:w="6283"/>
        <w:gridCol w:w="1418"/>
        <w:gridCol w:w="1508"/>
        <w:gridCol w:w="1985"/>
      </w:tblGrid>
      <w:tr w:rsidR="00CD0691" w:rsidRPr="00D176BC" w:rsidTr="00D266B9">
        <w:trPr>
          <w:tblHeader/>
          <w:jc w:val="center"/>
        </w:trPr>
        <w:tc>
          <w:tcPr>
            <w:tcW w:w="6283" w:type="dxa"/>
            <w:vAlign w:val="center"/>
          </w:tcPr>
          <w:p w:rsidR="00CD0691" w:rsidRPr="00D176BC" w:rsidRDefault="00CD0691" w:rsidP="00D266B9">
            <w:pPr>
              <w:spacing w:line="480" w:lineRule="auto"/>
              <w:jc w:val="center"/>
              <w:rPr>
                <w:b/>
                <w:sz w:val="24"/>
                <w:szCs w:val="24"/>
              </w:rPr>
            </w:pPr>
            <w:r w:rsidRPr="00D176BC">
              <w:rPr>
                <w:b/>
                <w:sz w:val="24"/>
                <w:szCs w:val="24"/>
              </w:rPr>
              <w:t>Cardiovascular System</w:t>
            </w:r>
          </w:p>
        </w:tc>
        <w:tc>
          <w:tcPr>
            <w:tcW w:w="1418" w:type="dxa"/>
            <w:vAlign w:val="center"/>
          </w:tcPr>
          <w:p w:rsidR="00CD0691" w:rsidRPr="00D176BC" w:rsidRDefault="00CD0691" w:rsidP="00D266B9">
            <w:pPr>
              <w:spacing w:line="480" w:lineRule="auto"/>
              <w:jc w:val="center"/>
              <w:rPr>
                <w:b/>
                <w:sz w:val="24"/>
                <w:szCs w:val="24"/>
              </w:rPr>
            </w:pPr>
            <w:r w:rsidRPr="00D176BC">
              <w:rPr>
                <w:b/>
                <w:sz w:val="24"/>
                <w:szCs w:val="24"/>
              </w:rPr>
              <w:t>Total (n; %)</w:t>
            </w:r>
          </w:p>
        </w:tc>
        <w:tc>
          <w:tcPr>
            <w:tcW w:w="1508" w:type="dxa"/>
            <w:vAlign w:val="center"/>
          </w:tcPr>
          <w:p w:rsidR="00CD0691" w:rsidRPr="00D176BC" w:rsidRDefault="00CD0691" w:rsidP="00D266B9">
            <w:pPr>
              <w:spacing w:line="480" w:lineRule="auto"/>
              <w:jc w:val="center"/>
              <w:rPr>
                <w:b/>
                <w:sz w:val="24"/>
                <w:szCs w:val="24"/>
              </w:rPr>
            </w:pPr>
            <w:r w:rsidRPr="00D176BC">
              <w:rPr>
                <w:b/>
                <w:sz w:val="24"/>
                <w:szCs w:val="24"/>
              </w:rPr>
              <w:t>Māori (n; %)</w:t>
            </w:r>
          </w:p>
        </w:tc>
        <w:tc>
          <w:tcPr>
            <w:tcW w:w="1985" w:type="dxa"/>
            <w:vAlign w:val="center"/>
          </w:tcPr>
          <w:p w:rsidR="00CD0691" w:rsidRPr="00D176BC" w:rsidRDefault="00CD0691" w:rsidP="00D266B9">
            <w:pPr>
              <w:spacing w:line="48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Non-</w:t>
            </w:r>
            <w:r w:rsidRPr="00D176BC">
              <w:rPr>
                <w:b/>
                <w:sz w:val="24"/>
                <w:szCs w:val="24"/>
              </w:rPr>
              <w:t>Māori (n; %)</w:t>
            </w:r>
          </w:p>
        </w:tc>
      </w:tr>
      <w:tr w:rsidR="00CD0691" w:rsidRPr="00D176BC" w:rsidTr="00D266B9">
        <w:trPr>
          <w:jc w:val="center"/>
        </w:trPr>
        <w:tc>
          <w:tcPr>
            <w:tcW w:w="6283" w:type="dxa"/>
          </w:tcPr>
          <w:p w:rsidR="00CD0691" w:rsidRPr="00D176BC" w:rsidRDefault="00CD0691" w:rsidP="00D266B9">
            <w:pPr>
              <w:spacing w:line="480" w:lineRule="auto"/>
              <w:jc w:val="both"/>
              <w:rPr>
                <w:sz w:val="24"/>
                <w:szCs w:val="24"/>
              </w:rPr>
            </w:pPr>
            <w:r w:rsidRPr="00D176BC">
              <w:rPr>
                <w:sz w:val="24"/>
                <w:szCs w:val="24"/>
              </w:rPr>
              <w:t>Digoxin at a long-term dose &gt; 125µg/day with impaired renal function</w:t>
            </w:r>
          </w:p>
        </w:tc>
        <w:tc>
          <w:tcPr>
            <w:tcW w:w="1418" w:type="dxa"/>
            <w:vAlign w:val="center"/>
          </w:tcPr>
          <w:p w:rsidR="00CD0691" w:rsidRPr="00D176BC" w:rsidRDefault="00CD0691" w:rsidP="00D266B9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D176BC">
              <w:rPr>
                <w:sz w:val="24"/>
                <w:szCs w:val="24"/>
              </w:rPr>
              <w:t>1 (0.4)</w:t>
            </w:r>
          </w:p>
        </w:tc>
        <w:tc>
          <w:tcPr>
            <w:tcW w:w="1508" w:type="dxa"/>
            <w:vAlign w:val="center"/>
          </w:tcPr>
          <w:p w:rsidR="00CD0691" w:rsidRPr="00D176BC" w:rsidRDefault="00CD0691" w:rsidP="00D266B9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D176BC">
              <w:rPr>
                <w:sz w:val="24"/>
                <w:szCs w:val="24"/>
              </w:rPr>
              <w:t>1 (1.1)</w:t>
            </w:r>
          </w:p>
        </w:tc>
        <w:tc>
          <w:tcPr>
            <w:tcW w:w="1985" w:type="dxa"/>
            <w:vAlign w:val="center"/>
          </w:tcPr>
          <w:p w:rsidR="00CD0691" w:rsidRPr="00D176BC" w:rsidRDefault="00CD0691" w:rsidP="00D266B9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D176BC">
              <w:rPr>
                <w:sz w:val="24"/>
                <w:szCs w:val="24"/>
              </w:rPr>
              <w:t>-</w:t>
            </w:r>
          </w:p>
        </w:tc>
      </w:tr>
      <w:tr w:rsidR="00CD0691" w:rsidRPr="00D176BC" w:rsidTr="00D266B9">
        <w:trPr>
          <w:jc w:val="center"/>
        </w:trPr>
        <w:tc>
          <w:tcPr>
            <w:tcW w:w="6283" w:type="dxa"/>
          </w:tcPr>
          <w:p w:rsidR="00CD0691" w:rsidRPr="00D176BC" w:rsidRDefault="00CD0691" w:rsidP="00D266B9">
            <w:pPr>
              <w:spacing w:line="480" w:lineRule="auto"/>
              <w:jc w:val="both"/>
              <w:rPr>
                <w:sz w:val="24"/>
                <w:szCs w:val="24"/>
              </w:rPr>
            </w:pPr>
            <w:r w:rsidRPr="00D176BC">
              <w:rPr>
                <w:sz w:val="24"/>
                <w:szCs w:val="24"/>
              </w:rPr>
              <w:t>Loop diuretic as first-line monotherapy for hypertension</w:t>
            </w:r>
          </w:p>
        </w:tc>
        <w:tc>
          <w:tcPr>
            <w:tcW w:w="1418" w:type="dxa"/>
            <w:vAlign w:val="center"/>
          </w:tcPr>
          <w:p w:rsidR="00CD0691" w:rsidRPr="00D176BC" w:rsidRDefault="00CD0691" w:rsidP="00D266B9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D176BC">
              <w:rPr>
                <w:sz w:val="24"/>
                <w:szCs w:val="24"/>
              </w:rPr>
              <w:t>1 (0.4)</w:t>
            </w:r>
          </w:p>
        </w:tc>
        <w:tc>
          <w:tcPr>
            <w:tcW w:w="1508" w:type="dxa"/>
            <w:vAlign w:val="center"/>
          </w:tcPr>
          <w:p w:rsidR="00CD0691" w:rsidRPr="00D176BC" w:rsidRDefault="00CD0691" w:rsidP="00D266B9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D176BC">
              <w:rPr>
                <w:sz w:val="24"/>
                <w:szCs w:val="24"/>
              </w:rPr>
              <w:t>0</w:t>
            </w:r>
          </w:p>
        </w:tc>
        <w:tc>
          <w:tcPr>
            <w:tcW w:w="1985" w:type="dxa"/>
            <w:vAlign w:val="center"/>
          </w:tcPr>
          <w:p w:rsidR="00CD0691" w:rsidRPr="00D176BC" w:rsidRDefault="00CD0691" w:rsidP="00D266B9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D176BC">
              <w:rPr>
                <w:sz w:val="24"/>
                <w:szCs w:val="24"/>
              </w:rPr>
              <w:t>1 (0.6)</w:t>
            </w:r>
          </w:p>
        </w:tc>
      </w:tr>
      <w:tr w:rsidR="00CD0691" w:rsidRPr="00D176BC" w:rsidTr="00D266B9">
        <w:trPr>
          <w:jc w:val="center"/>
        </w:trPr>
        <w:tc>
          <w:tcPr>
            <w:tcW w:w="6283" w:type="dxa"/>
          </w:tcPr>
          <w:p w:rsidR="00CD0691" w:rsidRPr="00D176BC" w:rsidRDefault="00CD0691" w:rsidP="00D266B9">
            <w:pPr>
              <w:spacing w:line="480" w:lineRule="auto"/>
              <w:jc w:val="both"/>
              <w:rPr>
                <w:sz w:val="24"/>
                <w:szCs w:val="24"/>
              </w:rPr>
            </w:pPr>
            <w:r w:rsidRPr="00D176BC">
              <w:rPr>
                <w:sz w:val="24"/>
                <w:szCs w:val="24"/>
              </w:rPr>
              <w:t>Thiazide diuretic with a history of gout</w:t>
            </w:r>
          </w:p>
        </w:tc>
        <w:tc>
          <w:tcPr>
            <w:tcW w:w="1418" w:type="dxa"/>
            <w:vAlign w:val="center"/>
          </w:tcPr>
          <w:p w:rsidR="00CD0691" w:rsidRPr="00D176BC" w:rsidRDefault="00CD0691" w:rsidP="00D266B9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D176BC">
              <w:rPr>
                <w:sz w:val="24"/>
                <w:szCs w:val="24"/>
              </w:rPr>
              <w:t>10 (4.0)</w:t>
            </w:r>
          </w:p>
        </w:tc>
        <w:tc>
          <w:tcPr>
            <w:tcW w:w="1508" w:type="dxa"/>
            <w:vAlign w:val="center"/>
          </w:tcPr>
          <w:p w:rsidR="00CD0691" w:rsidRPr="00D176BC" w:rsidRDefault="00CD0691" w:rsidP="00D266B9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D176BC">
              <w:rPr>
                <w:sz w:val="24"/>
                <w:szCs w:val="24"/>
              </w:rPr>
              <w:t>7 (7.7)</w:t>
            </w:r>
          </w:p>
        </w:tc>
        <w:tc>
          <w:tcPr>
            <w:tcW w:w="1985" w:type="dxa"/>
            <w:vAlign w:val="center"/>
          </w:tcPr>
          <w:p w:rsidR="00CD0691" w:rsidRPr="00D176BC" w:rsidRDefault="00CD0691" w:rsidP="00D266B9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D176BC">
              <w:rPr>
                <w:sz w:val="24"/>
                <w:szCs w:val="24"/>
              </w:rPr>
              <w:t>3 (1.9)</w:t>
            </w:r>
          </w:p>
        </w:tc>
      </w:tr>
      <w:tr w:rsidR="00CD0691" w:rsidRPr="00D176BC" w:rsidTr="00D266B9">
        <w:trPr>
          <w:trHeight w:val="251"/>
          <w:jc w:val="center"/>
        </w:trPr>
        <w:tc>
          <w:tcPr>
            <w:tcW w:w="6283" w:type="dxa"/>
          </w:tcPr>
          <w:p w:rsidR="00CD0691" w:rsidRPr="00D176BC" w:rsidRDefault="00CD0691" w:rsidP="00D266B9">
            <w:pPr>
              <w:spacing w:line="480" w:lineRule="auto"/>
              <w:jc w:val="both"/>
              <w:rPr>
                <w:sz w:val="24"/>
                <w:szCs w:val="24"/>
              </w:rPr>
            </w:pPr>
            <w:r w:rsidRPr="00D176BC">
              <w:rPr>
                <w:sz w:val="24"/>
                <w:szCs w:val="24"/>
              </w:rPr>
              <w:t>Use of diltiazem or verapamil with NYHA Class III or IV heart failure</w:t>
            </w:r>
          </w:p>
        </w:tc>
        <w:tc>
          <w:tcPr>
            <w:tcW w:w="1418" w:type="dxa"/>
            <w:vAlign w:val="center"/>
          </w:tcPr>
          <w:p w:rsidR="00CD0691" w:rsidRPr="00D176BC" w:rsidRDefault="00CD0691" w:rsidP="00D266B9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D176BC">
              <w:rPr>
                <w:sz w:val="24"/>
                <w:szCs w:val="24"/>
              </w:rPr>
              <w:t>16 (6.5)</w:t>
            </w:r>
          </w:p>
        </w:tc>
        <w:tc>
          <w:tcPr>
            <w:tcW w:w="1508" w:type="dxa"/>
            <w:vAlign w:val="center"/>
          </w:tcPr>
          <w:p w:rsidR="00CD0691" w:rsidRPr="00D176BC" w:rsidRDefault="00CD0691" w:rsidP="00D266B9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D176BC">
              <w:rPr>
                <w:sz w:val="24"/>
                <w:szCs w:val="24"/>
              </w:rPr>
              <w:t>9 (10.0)</w:t>
            </w:r>
          </w:p>
        </w:tc>
        <w:tc>
          <w:tcPr>
            <w:tcW w:w="1985" w:type="dxa"/>
            <w:vAlign w:val="center"/>
          </w:tcPr>
          <w:p w:rsidR="00CD0691" w:rsidRPr="00D176BC" w:rsidRDefault="00CD0691" w:rsidP="00D266B9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D176BC">
              <w:rPr>
                <w:sz w:val="24"/>
                <w:szCs w:val="24"/>
              </w:rPr>
              <w:t>7 (4.5)</w:t>
            </w:r>
          </w:p>
        </w:tc>
      </w:tr>
      <w:tr w:rsidR="00CD0691" w:rsidRPr="00D176BC" w:rsidTr="00D266B9">
        <w:trPr>
          <w:jc w:val="center"/>
        </w:trPr>
        <w:tc>
          <w:tcPr>
            <w:tcW w:w="6283" w:type="dxa"/>
          </w:tcPr>
          <w:p w:rsidR="00CD0691" w:rsidRPr="00D176BC" w:rsidRDefault="00CD0691" w:rsidP="00D266B9">
            <w:pPr>
              <w:spacing w:line="480" w:lineRule="auto"/>
              <w:jc w:val="both"/>
              <w:rPr>
                <w:sz w:val="24"/>
                <w:szCs w:val="24"/>
              </w:rPr>
            </w:pPr>
            <w:r w:rsidRPr="00D176BC">
              <w:rPr>
                <w:sz w:val="24"/>
                <w:szCs w:val="24"/>
              </w:rPr>
              <w:t>Calcium channel blockers with chronic constipation</w:t>
            </w:r>
          </w:p>
        </w:tc>
        <w:tc>
          <w:tcPr>
            <w:tcW w:w="1418" w:type="dxa"/>
            <w:vAlign w:val="center"/>
          </w:tcPr>
          <w:p w:rsidR="00CD0691" w:rsidRPr="00D176BC" w:rsidRDefault="00CD0691" w:rsidP="00D266B9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D176BC">
              <w:rPr>
                <w:sz w:val="24"/>
                <w:szCs w:val="24"/>
              </w:rPr>
              <w:t>8 (3.2)</w:t>
            </w:r>
          </w:p>
        </w:tc>
        <w:tc>
          <w:tcPr>
            <w:tcW w:w="1508" w:type="dxa"/>
            <w:vAlign w:val="center"/>
          </w:tcPr>
          <w:p w:rsidR="00CD0691" w:rsidRPr="00D176BC" w:rsidRDefault="00CD0691" w:rsidP="00D266B9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D176BC">
              <w:rPr>
                <w:sz w:val="24"/>
                <w:szCs w:val="24"/>
              </w:rPr>
              <w:t>3 (3.3)</w:t>
            </w:r>
          </w:p>
        </w:tc>
        <w:tc>
          <w:tcPr>
            <w:tcW w:w="1985" w:type="dxa"/>
            <w:vAlign w:val="center"/>
          </w:tcPr>
          <w:p w:rsidR="00CD0691" w:rsidRPr="00D176BC" w:rsidRDefault="00CD0691" w:rsidP="00D266B9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D176BC">
              <w:rPr>
                <w:sz w:val="24"/>
                <w:szCs w:val="24"/>
              </w:rPr>
              <w:t>5 (3.2)</w:t>
            </w:r>
          </w:p>
        </w:tc>
      </w:tr>
      <w:tr w:rsidR="00CD0691" w:rsidRPr="00D176BC" w:rsidTr="00D266B9">
        <w:trPr>
          <w:trHeight w:val="542"/>
          <w:jc w:val="center"/>
        </w:trPr>
        <w:tc>
          <w:tcPr>
            <w:tcW w:w="6283" w:type="dxa"/>
          </w:tcPr>
          <w:p w:rsidR="00CD0691" w:rsidRPr="00D176BC" w:rsidRDefault="00CD0691" w:rsidP="00D266B9">
            <w:pPr>
              <w:spacing w:line="480" w:lineRule="auto"/>
              <w:jc w:val="both"/>
              <w:rPr>
                <w:sz w:val="24"/>
                <w:szCs w:val="24"/>
              </w:rPr>
            </w:pPr>
            <w:r w:rsidRPr="00D176BC">
              <w:rPr>
                <w:sz w:val="24"/>
                <w:szCs w:val="24"/>
              </w:rPr>
              <w:t>Use of aspirin and warfarin in combination without histamine H</w:t>
            </w:r>
            <w:r w:rsidRPr="00D176BC">
              <w:rPr>
                <w:sz w:val="24"/>
                <w:szCs w:val="24"/>
                <w:vertAlign w:val="subscript"/>
              </w:rPr>
              <w:t>2</w:t>
            </w:r>
            <w:r w:rsidRPr="00D176BC">
              <w:rPr>
                <w:sz w:val="24"/>
                <w:szCs w:val="24"/>
              </w:rPr>
              <w:t xml:space="preserve"> receptor antagonist</w:t>
            </w:r>
          </w:p>
        </w:tc>
        <w:tc>
          <w:tcPr>
            <w:tcW w:w="1418" w:type="dxa"/>
            <w:vAlign w:val="center"/>
          </w:tcPr>
          <w:p w:rsidR="00CD0691" w:rsidRPr="00D176BC" w:rsidRDefault="00CD0691" w:rsidP="00D266B9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D176BC">
              <w:rPr>
                <w:sz w:val="24"/>
                <w:szCs w:val="24"/>
              </w:rPr>
              <w:t>6 (2.4)</w:t>
            </w:r>
          </w:p>
        </w:tc>
        <w:tc>
          <w:tcPr>
            <w:tcW w:w="1508" w:type="dxa"/>
            <w:vAlign w:val="center"/>
          </w:tcPr>
          <w:p w:rsidR="00CD0691" w:rsidRPr="00D176BC" w:rsidRDefault="00CD0691" w:rsidP="00D266B9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D176BC">
              <w:rPr>
                <w:sz w:val="24"/>
                <w:szCs w:val="24"/>
              </w:rPr>
              <w:t>1 (1.1)</w:t>
            </w:r>
          </w:p>
        </w:tc>
        <w:tc>
          <w:tcPr>
            <w:tcW w:w="1985" w:type="dxa"/>
            <w:vAlign w:val="center"/>
          </w:tcPr>
          <w:p w:rsidR="00CD0691" w:rsidRPr="00D176BC" w:rsidRDefault="00CD0691" w:rsidP="00D266B9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D176BC">
              <w:rPr>
                <w:sz w:val="24"/>
                <w:szCs w:val="24"/>
              </w:rPr>
              <w:t>5 (3.2)</w:t>
            </w:r>
          </w:p>
        </w:tc>
      </w:tr>
      <w:tr w:rsidR="00CD0691" w:rsidRPr="00D176BC" w:rsidTr="00D266B9">
        <w:trPr>
          <w:jc w:val="center"/>
        </w:trPr>
        <w:tc>
          <w:tcPr>
            <w:tcW w:w="6283" w:type="dxa"/>
          </w:tcPr>
          <w:p w:rsidR="00CD0691" w:rsidRPr="00D176BC" w:rsidRDefault="00CD0691" w:rsidP="00D266B9">
            <w:pPr>
              <w:spacing w:line="480" w:lineRule="auto"/>
              <w:jc w:val="both"/>
              <w:rPr>
                <w:sz w:val="24"/>
                <w:szCs w:val="24"/>
              </w:rPr>
            </w:pPr>
            <w:r w:rsidRPr="00D176BC">
              <w:rPr>
                <w:sz w:val="24"/>
                <w:szCs w:val="24"/>
              </w:rPr>
              <w:t>Dipyridamole as monotherapy for cardiovascular secondary prevention</w:t>
            </w:r>
          </w:p>
        </w:tc>
        <w:tc>
          <w:tcPr>
            <w:tcW w:w="1418" w:type="dxa"/>
            <w:vAlign w:val="center"/>
          </w:tcPr>
          <w:p w:rsidR="00CD0691" w:rsidRPr="00D176BC" w:rsidRDefault="00CD0691" w:rsidP="00D266B9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D176BC">
              <w:rPr>
                <w:sz w:val="24"/>
                <w:szCs w:val="24"/>
              </w:rPr>
              <w:t>1 (0.4)</w:t>
            </w:r>
          </w:p>
        </w:tc>
        <w:tc>
          <w:tcPr>
            <w:tcW w:w="1508" w:type="dxa"/>
            <w:vAlign w:val="center"/>
          </w:tcPr>
          <w:p w:rsidR="00CD0691" w:rsidRPr="00D176BC" w:rsidRDefault="00CD0691" w:rsidP="00D266B9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D176BC">
              <w:rPr>
                <w:sz w:val="24"/>
                <w:szCs w:val="24"/>
              </w:rPr>
              <w:t>1 (1.1)</w:t>
            </w:r>
          </w:p>
        </w:tc>
        <w:tc>
          <w:tcPr>
            <w:tcW w:w="1985" w:type="dxa"/>
            <w:vAlign w:val="center"/>
          </w:tcPr>
          <w:p w:rsidR="00CD0691" w:rsidRPr="00D176BC" w:rsidRDefault="00CD0691" w:rsidP="00D266B9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D176BC">
              <w:rPr>
                <w:sz w:val="24"/>
                <w:szCs w:val="24"/>
              </w:rPr>
              <w:t>-</w:t>
            </w:r>
          </w:p>
        </w:tc>
      </w:tr>
      <w:tr w:rsidR="00CD0691" w:rsidRPr="00D176BC" w:rsidTr="00D266B9">
        <w:trPr>
          <w:jc w:val="center"/>
        </w:trPr>
        <w:tc>
          <w:tcPr>
            <w:tcW w:w="6283" w:type="dxa"/>
          </w:tcPr>
          <w:p w:rsidR="00CD0691" w:rsidRPr="00D176BC" w:rsidRDefault="00CD0691" w:rsidP="00D266B9">
            <w:pPr>
              <w:spacing w:line="480" w:lineRule="auto"/>
              <w:jc w:val="both"/>
              <w:rPr>
                <w:sz w:val="24"/>
                <w:szCs w:val="24"/>
              </w:rPr>
            </w:pPr>
            <w:r w:rsidRPr="00D176BC">
              <w:rPr>
                <w:sz w:val="24"/>
                <w:szCs w:val="24"/>
              </w:rPr>
              <w:t>Aspirin at dose &gt; 150mg day</w:t>
            </w:r>
          </w:p>
        </w:tc>
        <w:tc>
          <w:tcPr>
            <w:tcW w:w="1418" w:type="dxa"/>
            <w:vAlign w:val="center"/>
          </w:tcPr>
          <w:p w:rsidR="00CD0691" w:rsidRPr="00D176BC" w:rsidRDefault="00CD0691" w:rsidP="00D266B9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D176BC">
              <w:rPr>
                <w:sz w:val="24"/>
                <w:szCs w:val="24"/>
              </w:rPr>
              <w:t>16 (6.5)</w:t>
            </w:r>
          </w:p>
        </w:tc>
        <w:tc>
          <w:tcPr>
            <w:tcW w:w="1508" w:type="dxa"/>
            <w:vAlign w:val="center"/>
          </w:tcPr>
          <w:p w:rsidR="00CD0691" w:rsidRPr="00D176BC" w:rsidRDefault="00CD0691" w:rsidP="00D266B9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D176BC">
              <w:rPr>
                <w:sz w:val="24"/>
                <w:szCs w:val="24"/>
              </w:rPr>
              <w:t>9 (10.0)</w:t>
            </w:r>
          </w:p>
        </w:tc>
        <w:tc>
          <w:tcPr>
            <w:tcW w:w="1985" w:type="dxa"/>
            <w:vAlign w:val="center"/>
          </w:tcPr>
          <w:p w:rsidR="00CD0691" w:rsidRPr="00D176BC" w:rsidRDefault="00CD0691" w:rsidP="00D266B9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D176BC">
              <w:rPr>
                <w:sz w:val="24"/>
                <w:szCs w:val="24"/>
              </w:rPr>
              <w:t>7 (4.5)</w:t>
            </w:r>
          </w:p>
        </w:tc>
      </w:tr>
      <w:tr w:rsidR="00CD0691" w:rsidRPr="00D176BC" w:rsidTr="00D266B9">
        <w:trPr>
          <w:jc w:val="center"/>
        </w:trPr>
        <w:tc>
          <w:tcPr>
            <w:tcW w:w="6283" w:type="dxa"/>
          </w:tcPr>
          <w:p w:rsidR="00CD0691" w:rsidRPr="00D176BC" w:rsidRDefault="00CD0691" w:rsidP="00D266B9">
            <w:pPr>
              <w:spacing w:line="480" w:lineRule="auto"/>
              <w:jc w:val="both"/>
              <w:rPr>
                <w:sz w:val="24"/>
                <w:szCs w:val="24"/>
              </w:rPr>
            </w:pPr>
            <w:r w:rsidRPr="00D176BC">
              <w:rPr>
                <w:sz w:val="24"/>
                <w:szCs w:val="24"/>
              </w:rPr>
              <w:t>Aspirin with no history of coronary, cerebral or PVD symptom or occlusive event</w:t>
            </w:r>
          </w:p>
        </w:tc>
        <w:tc>
          <w:tcPr>
            <w:tcW w:w="1418" w:type="dxa"/>
            <w:vAlign w:val="center"/>
          </w:tcPr>
          <w:p w:rsidR="00CD0691" w:rsidRPr="00D176BC" w:rsidRDefault="00CD0691" w:rsidP="00D266B9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D176BC">
              <w:rPr>
                <w:sz w:val="24"/>
                <w:szCs w:val="24"/>
              </w:rPr>
              <w:t>20 (8.1)</w:t>
            </w:r>
          </w:p>
        </w:tc>
        <w:tc>
          <w:tcPr>
            <w:tcW w:w="1508" w:type="dxa"/>
            <w:vAlign w:val="center"/>
          </w:tcPr>
          <w:p w:rsidR="00CD0691" w:rsidRPr="00D176BC" w:rsidRDefault="00CD0691" w:rsidP="00D266B9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D176BC">
              <w:rPr>
                <w:sz w:val="24"/>
                <w:szCs w:val="24"/>
              </w:rPr>
              <w:t>10 (11.1)</w:t>
            </w:r>
          </w:p>
        </w:tc>
        <w:tc>
          <w:tcPr>
            <w:tcW w:w="1985" w:type="dxa"/>
            <w:vAlign w:val="center"/>
          </w:tcPr>
          <w:p w:rsidR="00CD0691" w:rsidRPr="00D176BC" w:rsidRDefault="00CD0691" w:rsidP="00D266B9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D176BC">
              <w:rPr>
                <w:sz w:val="24"/>
                <w:szCs w:val="24"/>
              </w:rPr>
              <w:t>10 (6.4)</w:t>
            </w:r>
          </w:p>
        </w:tc>
      </w:tr>
      <w:tr w:rsidR="00CD0691" w:rsidRPr="00D176BC" w:rsidTr="00D266B9">
        <w:trPr>
          <w:jc w:val="center"/>
        </w:trPr>
        <w:tc>
          <w:tcPr>
            <w:tcW w:w="6283" w:type="dxa"/>
          </w:tcPr>
          <w:p w:rsidR="00CD0691" w:rsidRPr="00D176BC" w:rsidRDefault="00CD0691" w:rsidP="00D266B9">
            <w:pPr>
              <w:spacing w:line="480" w:lineRule="auto"/>
              <w:jc w:val="both"/>
              <w:rPr>
                <w:sz w:val="24"/>
                <w:szCs w:val="24"/>
              </w:rPr>
            </w:pPr>
            <w:r w:rsidRPr="00D176BC">
              <w:rPr>
                <w:sz w:val="24"/>
                <w:szCs w:val="24"/>
              </w:rPr>
              <w:t>Tricyclic antidepressants (TCA’s) with dementia</w:t>
            </w:r>
          </w:p>
        </w:tc>
        <w:tc>
          <w:tcPr>
            <w:tcW w:w="1418" w:type="dxa"/>
            <w:vAlign w:val="center"/>
          </w:tcPr>
          <w:p w:rsidR="00CD0691" w:rsidRPr="00D176BC" w:rsidRDefault="00CD0691" w:rsidP="00D266B9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D176BC">
              <w:rPr>
                <w:sz w:val="24"/>
                <w:szCs w:val="24"/>
              </w:rPr>
              <w:t>1 (0.4)</w:t>
            </w:r>
          </w:p>
        </w:tc>
        <w:tc>
          <w:tcPr>
            <w:tcW w:w="1508" w:type="dxa"/>
            <w:vAlign w:val="center"/>
          </w:tcPr>
          <w:p w:rsidR="00CD0691" w:rsidRPr="00D176BC" w:rsidRDefault="00CD0691" w:rsidP="00D266B9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D176BC">
              <w:rPr>
                <w:sz w:val="24"/>
                <w:szCs w:val="24"/>
              </w:rPr>
              <w:t>-</w:t>
            </w:r>
          </w:p>
        </w:tc>
        <w:tc>
          <w:tcPr>
            <w:tcW w:w="1985" w:type="dxa"/>
            <w:vAlign w:val="center"/>
          </w:tcPr>
          <w:p w:rsidR="00CD0691" w:rsidRPr="00D176BC" w:rsidRDefault="00CD0691" w:rsidP="00D266B9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D176BC">
              <w:rPr>
                <w:sz w:val="24"/>
                <w:szCs w:val="24"/>
              </w:rPr>
              <w:t>1 (0.6)</w:t>
            </w:r>
          </w:p>
        </w:tc>
      </w:tr>
      <w:tr w:rsidR="00CD0691" w:rsidRPr="00D176BC" w:rsidTr="00D266B9">
        <w:trPr>
          <w:jc w:val="center"/>
        </w:trPr>
        <w:tc>
          <w:tcPr>
            <w:tcW w:w="6283" w:type="dxa"/>
          </w:tcPr>
          <w:p w:rsidR="00CD0691" w:rsidRPr="00D176BC" w:rsidRDefault="00CD0691" w:rsidP="00D266B9">
            <w:pPr>
              <w:spacing w:line="480" w:lineRule="auto"/>
              <w:jc w:val="both"/>
              <w:rPr>
                <w:sz w:val="24"/>
                <w:szCs w:val="24"/>
              </w:rPr>
            </w:pPr>
            <w:r w:rsidRPr="00D176BC">
              <w:rPr>
                <w:sz w:val="24"/>
                <w:szCs w:val="24"/>
              </w:rPr>
              <w:t>TCA’s with glaucoma</w:t>
            </w:r>
          </w:p>
        </w:tc>
        <w:tc>
          <w:tcPr>
            <w:tcW w:w="1418" w:type="dxa"/>
            <w:vAlign w:val="center"/>
          </w:tcPr>
          <w:p w:rsidR="00CD0691" w:rsidRPr="00D176BC" w:rsidRDefault="00CD0691" w:rsidP="00D266B9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D176BC">
              <w:rPr>
                <w:sz w:val="24"/>
                <w:szCs w:val="24"/>
              </w:rPr>
              <w:t>1 (0.4)</w:t>
            </w:r>
          </w:p>
        </w:tc>
        <w:tc>
          <w:tcPr>
            <w:tcW w:w="1508" w:type="dxa"/>
            <w:vAlign w:val="center"/>
          </w:tcPr>
          <w:p w:rsidR="00CD0691" w:rsidRPr="00D176BC" w:rsidRDefault="00CD0691" w:rsidP="00D266B9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D176BC">
              <w:rPr>
                <w:sz w:val="24"/>
                <w:szCs w:val="24"/>
              </w:rPr>
              <w:t>-</w:t>
            </w:r>
          </w:p>
        </w:tc>
        <w:tc>
          <w:tcPr>
            <w:tcW w:w="1985" w:type="dxa"/>
            <w:vAlign w:val="center"/>
          </w:tcPr>
          <w:p w:rsidR="00CD0691" w:rsidRPr="00D176BC" w:rsidRDefault="00CD0691" w:rsidP="00D266B9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D176BC">
              <w:rPr>
                <w:sz w:val="24"/>
                <w:szCs w:val="24"/>
              </w:rPr>
              <w:t>1 (0.6)</w:t>
            </w:r>
          </w:p>
        </w:tc>
      </w:tr>
      <w:tr w:rsidR="00CD0691" w:rsidRPr="00D176BC" w:rsidTr="00D266B9">
        <w:trPr>
          <w:jc w:val="center"/>
        </w:trPr>
        <w:tc>
          <w:tcPr>
            <w:tcW w:w="6283" w:type="dxa"/>
          </w:tcPr>
          <w:p w:rsidR="00CD0691" w:rsidRPr="00D176BC" w:rsidRDefault="00CD0691" w:rsidP="00D266B9">
            <w:pPr>
              <w:spacing w:line="480" w:lineRule="auto"/>
              <w:jc w:val="both"/>
              <w:rPr>
                <w:sz w:val="24"/>
                <w:szCs w:val="24"/>
              </w:rPr>
            </w:pPr>
            <w:r w:rsidRPr="00D176BC">
              <w:rPr>
                <w:sz w:val="24"/>
                <w:szCs w:val="24"/>
              </w:rPr>
              <w:t>TCA’s with constipation</w:t>
            </w:r>
          </w:p>
        </w:tc>
        <w:tc>
          <w:tcPr>
            <w:tcW w:w="1418" w:type="dxa"/>
            <w:vAlign w:val="center"/>
          </w:tcPr>
          <w:p w:rsidR="00CD0691" w:rsidRPr="00D176BC" w:rsidRDefault="00CD0691" w:rsidP="00D266B9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D176BC">
              <w:rPr>
                <w:sz w:val="24"/>
                <w:szCs w:val="24"/>
              </w:rPr>
              <w:t>4 (1.6)</w:t>
            </w:r>
          </w:p>
        </w:tc>
        <w:tc>
          <w:tcPr>
            <w:tcW w:w="1508" w:type="dxa"/>
            <w:vAlign w:val="center"/>
          </w:tcPr>
          <w:p w:rsidR="00CD0691" w:rsidRPr="00D176BC" w:rsidRDefault="00CD0691" w:rsidP="00D266B9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D176BC">
              <w:rPr>
                <w:sz w:val="24"/>
                <w:szCs w:val="24"/>
              </w:rPr>
              <w:t>-</w:t>
            </w:r>
          </w:p>
        </w:tc>
        <w:tc>
          <w:tcPr>
            <w:tcW w:w="1985" w:type="dxa"/>
            <w:vAlign w:val="center"/>
          </w:tcPr>
          <w:p w:rsidR="00CD0691" w:rsidRPr="00D176BC" w:rsidRDefault="00CD0691" w:rsidP="00D266B9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D176BC">
              <w:rPr>
                <w:sz w:val="24"/>
                <w:szCs w:val="24"/>
              </w:rPr>
              <w:t>4 (2.5)</w:t>
            </w:r>
          </w:p>
        </w:tc>
      </w:tr>
      <w:tr w:rsidR="00CD0691" w:rsidRPr="00D176BC" w:rsidTr="00D266B9">
        <w:trPr>
          <w:jc w:val="center"/>
        </w:trPr>
        <w:tc>
          <w:tcPr>
            <w:tcW w:w="6283" w:type="dxa"/>
          </w:tcPr>
          <w:p w:rsidR="00CD0691" w:rsidRPr="00D176BC" w:rsidRDefault="00CD0691" w:rsidP="00D266B9">
            <w:pPr>
              <w:spacing w:line="480" w:lineRule="auto"/>
              <w:jc w:val="both"/>
              <w:rPr>
                <w:sz w:val="24"/>
                <w:szCs w:val="24"/>
              </w:rPr>
            </w:pPr>
            <w:r w:rsidRPr="00D176BC">
              <w:rPr>
                <w:sz w:val="24"/>
                <w:szCs w:val="24"/>
              </w:rPr>
              <w:t>TCA’s with an opiate or calcium channel blocker</w:t>
            </w:r>
          </w:p>
        </w:tc>
        <w:tc>
          <w:tcPr>
            <w:tcW w:w="1418" w:type="dxa"/>
            <w:vAlign w:val="center"/>
          </w:tcPr>
          <w:p w:rsidR="00CD0691" w:rsidRPr="00D176BC" w:rsidRDefault="00CD0691" w:rsidP="00D266B9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D176BC">
              <w:rPr>
                <w:sz w:val="24"/>
                <w:szCs w:val="24"/>
              </w:rPr>
              <w:t>11 (4.5)</w:t>
            </w:r>
          </w:p>
        </w:tc>
        <w:tc>
          <w:tcPr>
            <w:tcW w:w="1508" w:type="dxa"/>
            <w:vAlign w:val="center"/>
          </w:tcPr>
          <w:p w:rsidR="00CD0691" w:rsidRPr="00D176BC" w:rsidRDefault="00CD0691" w:rsidP="00D266B9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D176BC">
              <w:rPr>
                <w:sz w:val="24"/>
                <w:szCs w:val="24"/>
              </w:rPr>
              <w:t>1 (1.1)</w:t>
            </w:r>
          </w:p>
        </w:tc>
        <w:tc>
          <w:tcPr>
            <w:tcW w:w="1985" w:type="dxa"/>
            <w:vAlign w:val="center"/>
          </w:tcPr>
          <w:p w:rsidR="00CD0691" w:rsidRPr="00D176BC" w:rsidRDefault="00CD0691" w:rsidP="00D266B9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D176BC">
              <w:rPr>
                <w:sz w:val="24"/>
                <w:szCs w:val="24"/>
              </w:rPr>
              <w:t>10 (6.4)</w:t>
            </w:r>
          </w:p>
        </w:tc>
      </w:tr>
      <w:tr w:rsidR="00CD0691" w:rsidRPr="00D176BC" w:rsidTr="00D266B9">
        <w:trPr>
          <w:jc w:val="center"/>
        </w:trPr>
        <w:tc>
          <w:tcPr>
            <w:tcW w:w="6283" w:type="dxa"/>
          </w:tcPr>
          <w:p w:rsidR="00CD0691" w:rsidRPr="00D176BC" w:rsidRDefault="00CD0691" w:rsidP="00D266B9">
            <w:pPr>
              <w:spacing w:line="480" w:lineRule="auto"/>
              <w:jc w:val="both"/>
              <w:rPr>
                <w:color w:val="FF0000"/>
                <w:sz w:val="24"/>
                <w:szCs w:val="24"/>
              </w:rPr>
            </w:pPr>
            <w:r w:rsidRPr="00D176BC">
              <w:rPr>
                <w:sz w:val="24"/>
                <w:szCs w:val="24"/>
              </w:rPr>
              <w:t xml:space="preserve">Long-term (i.e. &gt; 1 month), long-acting benzodiazepines e.g. </w:t>
            </w:r>
            <w:proofErr w:type="spellStart"/>
            <w:r w:rsidRPr="00D176BC">
              <w:rPr>
                <w:sz w:val="24"/>
                <w:szCs w:val="24"/>
              </w:rPr>
              <w:t>chlordiazepoxide</w:t>
            </w:r>
            <w:proofErr w:type="spellEnd"/>
            <w:r w:rsidRPr="00D176BC">
              <w:rPr>
                <w:sz w:val="24"/>
                <w:szCs w:val="24"/>
              </w:rPr>
              <w:t xml:space="preserve">, </w:t>
            </w:r>
            <w:proofErr w:type="spellStart"/>
            <w:r w:rsidRPr="00D176BC">
              <w:rPr>
                <w:sz w:val="24"/>
                <w:szCs w:val="24"/>
              </w:rPr>
              <w:t>fluazepam</w:t>
            </w:r>
            <w:proofErr w:type="spellEnd"/>
            <w:r w:rsidRPr="00D176BC">
              <w:rPr>
                <w:sz w:val="24"/>
                <w:szCs w:val="24"/>
              </w:rPr>
              <w:t xml:space="preserve">, </w:t>
            </w:r>
            <w:proofErr w:type="spellStart"/>
            <w:r w:rsidRPr="00D176BC">
              <w:rPr>
                <w:sz w:val="24"/>
                <w:szCs w:val="24"/>
              </w:rPr>
              <w:t>nitrazepam</w:t>
            </w:r>
            <w:proofErr w:type="spellEnd"/>
            <w:r w:rsidRPr="00D176BC">
              <w:rPr>
                <w:sz w:val="24"/>
                <w:szCs w:val="24"/>
              </w:rPr>
              <w:t xml:space="preserve">, </w:t>
            </w:r>
            <w:proofErr w:type="spellStart"/>
            <w:r w:rsidRPr="00D176BC">
              <w:rPr>
                <w:sz w:val="24"/>
                <w:szCs w:val="24"/>
              </w:rPr>
              <w:t>chlorazepate</w:t>
            </w:r>
            <w:proofErr w:type="spellEnd"/>
            <w:r w:rsidRPr="00D176BC">
              <w:rPr>
                <w:sz w:val="24"/>
                <w:szCs w:val="24"/>
              </w:rPr>
              <w:t xml:space="preserve"> and </w:t>
            </w:r>
            <w:r w:rsidRPr="00D176BC">
              <w:rPr>
                <w:sz w:val="24"/>
                <w:szCs w:val="24"/>
              </w:rPr>
              <w:lastRenderedPageBreak/>
              <w:t>benzodiazepines with long-acting metabolites</w:t>
            </w:r>
          </w:p>
        </w:tc>
        <w:tc>
          <w:tcPr>
            <w:tcW w:w="1418" w:type="dxa"/>
            <w:vAlign w:val="center"/>
          </w:tcPr>
          <w:p w:rsidR="00CD0691" w:rsidRPr="00D176BC" w:rsidRDefault="00CD0691" w:rsidP="00D266B9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D176BC">
              <w:rPr>
                <w:sz w:val="24"/>
                <w:szCs w:val="24"/>
              </w:rPr>
              <w:lastRenderedPageBreak/>
              <w:t>4 (1.6)</w:t>
            </w:r>
          </w:p>
        </w:tc>
        <w:tc>
          <w:tcPr>
            <w:tcW w:w="1508" w:type="dxa"/>
            <w:vAlign w:val="center"/>
          </w:tcPr>
          <w:p w:rsidR="00CD0691" w:rsidRPr="00D176BC" w:rsidRDefault="00CD0691" w:rsidP="00D266B9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D176BC">
              <w:rPr>
                <w:sz w:val="24"/>
                <w:szCs w:val="24"/>
              </w:rPr>
              <w:t>1 (1.1)</w:t>
            </w:r>
          </w:p>
        </w:tc>
        <w:tc>
          <w:tcPr>
            <w:tcW w:w="1985" w:type="dxa"/>
            <w:vAlign w:val="center"/>
          </w:tcPr>
          <w:p w:rsidR="00CD0691" w:rsidRPr="00D176BC" w:rsidRDefault="00CD0691" w:rsidP="00D266B9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D176BC">
              <w:rPr>
                <w:sz w:val="24"/>
                <w:szCs w:val="24"/>
              </w:rPr>
              <w:t>3 (1.9)</w:t>
            </w:r>
          </w:p>
        </w:tc>
      </w:tr>
      <w:tr w:rsidR="00CD0691" w:rsidRPr="00D176BC" w:rsidTr="00D266B9">
        <w:trPr>
          <w:jc w:val="center"/>
        </w:trPr>
        <w:tc>
          <w:tcPr>
            <w:tcW w:w="6283" w:type="dxa"/>
          </w:tcPr>
          <w:p w:rsidR="00CD0691" w:rsidRPr="00D176BC" w:rsidRDefault="00CD0691" w:rsidP="00D266B9">
            <w:pPr>
              <w:spacing w:line="480" w:lineRule="auto"/>
              <w:jc w:val="both"/>
              <w:rPr>
                <w:sz w:val="24"/>
                <w:szCs w:val="24"/>
              </w:rPr>
            </w:pPr>
            <w:r w:rsidRPr="00D176BC">
              <w:rPr>
                <w:sz w:val="24"/>
                <w:szCs w:val="24"/>
              </w:rPr>
              <w:lastRenderedPageBreak/>
              <w:t xml:space="preserve">Prolonged use (&gt; 1 week) of first generation antihistamines </w:t>
            </w:r>
          </w:p>
        </w:tc>
        <w:tc>
          <w:tcPr>
            <w:tcW w:w="1418" w:type="dxa"/>
            <w:vAlign w:val="center"/>
          </w:tcPr>
          <w:p w:rsidR="00CD0691" w:rsidRPr="00D176BC" w:rsidRDefault="00CD0691" w:rsidP="00D266B9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D176BC">
              <w:rPr>
                <w:sz w:val="24"/>
                <w:szCs w:val="24"/>
              </w:rPr>
              <w:t>4 (1.6)</w:t>
            </w:r>
          </w:p>
        </w:tc>
        <w:tc>
          <w:tcPr>
            <w:tcW w:w="1508" w:type="dxa"/>
            <w:vAlign w:val="center"/>
          </w:tcPr>
          <w:p w:rsidR="00CD0691" w:rsidRPr="00D176BC" w:rsidRDefault="00CD0691" w:rsidP="00D266B9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D176BC">
              <w:rPr>
                <w:sz w:val="24"/>
                <w:szCs w:val="24"/>
              </w:rPr>
              <w:t>1 (1.1)</w:t>
            </w:r>
          </w:p>
        </w:tc>
        <w:tc>
          <w:tcPr>
            <w:tcW w:w="1985" w:type="dxa"/>
            <w:vAlign w:val="center"/>
          </w:tcPr>
          <w:p w:rsidR="00CD0691" w:rsidRPr="00D176BC" w:rsidRDefault="00CD0691" w:rsidP="00D266B9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D176BC">
              <w:rPr>
                <w:sz w:val="24"/>
                <w:szCs w:val="24"/>
              </w:rPr>
              <w:t>3 (1.9)</w:t>
            </w:r>
          </w:p>
        </w:tc>
      </w:tr>
      <w:tr w:rsidR="00CD0691" w:rsidRPr="00D176BC" w:rsidTr="00D266B9">
        <w:trPr>
          <w:jc w:val="center"/>
        </w:trPr>
        <w:tc>
          <w:tcPr>
            <w:tcW w:w="6283" w:type="dxa"/>
          </w:tcPr>
          <w:p w:rsidR="00CD0691" w:rsidRPr="00D176BC" w:rsidRDefault="00CD0691" w:rsidP="00D266B9">
            <w:pPr>
              <w:spacing w:line="480" w:lineRule="auto"/>
              <w:jc w:val="both"/>
              <w:rPr>
                <w:b/>
                <w:sz w:val="24"/>
                <w:szCs w:val="24"/>
              </w:rPr>
            </w:pPr>
            <w:r w:rsidRPr="00D176BC">
              <w:rPr>
                <w:b/>
                <w:sz w:val="24"/>
                <w:szCs w:val="24"/>
              </w:rPr>
              <w:t>Gastro-intestinal System</w:t>
            </w:r>
          </w:p>
        </w:tc>
        <w:tc>
          <w:tcPr>
            <w:tcW w:w="1418" w:type="dxa"/>
            <w:vAlign w:val="center"/>
          </w:tcPr>
          <w:p w:rsidR="00CD0691" w:rsidRPr="00D176BC" w:rsidRDefault="00CD0691" w:rsidP="00D266B9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08" w:type="dxa"/>
            <w:vAlign w:val="center"/>
          </w:tcPr>
          <w:p w:rsidR="00CD0691" w:rsidRPr="00D176BC" w:rsidRDefault="00CD0691" w:rsidP="00D266B9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CD0691" w:rsidRPr="00D176BC" w:rsidRDefault="00CD0691" w:rsidP="00D266B9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</w:tr>
      <w:tr w:rsidR="00CD0691" w:rsidRPr="00D176BC" w:rsidTr="00D266B9">
        <w:trPr>
          <w:jc w:val="center"/>
        </w:trPr>
        <w:tc>
          <w:tcPr>
            <w:tcW w:w="6283" w:type="dxa"/>
          </w:tcPr>
          <w:p w:rsidR="00CD0691" w:rsidRPr="00D176BC" w:rsidRDefault="00CD0691" w:rsidP="00D266B9">
            <w:pPr>
              <w:spacing w:line="480" w:lineRule="auto"/>
              <w:jc w:val="both"/>
              <w:rPr>
                <w:sz w:val="24"/>
                <w:szCs w:val="24"/>
              </w:rPr>
            </w:pPr>
            <w:r w:rsidRPr="00D176BC">
              <w:rPr>
                <w:sz w:val="24"/>
                <w:szCs w:val="24"/>
              </w:rPr>
              <w:t>PPI for peptic ulcer disease at full therapeutic dosage for &gt; 8 weeks</w:t>
            </w:r>
          </w:p>
        </w:tc>
        <w:tc>
          <w:tcPr>
            <w:tcW w:w="1418" w:type="dxa"/>
            <w:vAlign w:val="center"/>
          </w:tcPr>
          <w:p w:rsidR="00CD0691" w:rsidRPr="00D176BC" w:rsidRDefault="00CD0691" w:rsidP="00D266B9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D176BC">
              <w:rPr>
                <w:sz w:val="24"/>
                <w:szCs w:val="24"/>
              </w:rPr>
              <w:t>42 (17.0)</w:t>
            </w:r>
          </w:p>
        </w:tc>
        <w:tc>
          <w:tcPr>
            <w:tcW w:w="1508" w:type="dxa"/>
            <w:vAlign w:val="center"/>
          </w:tcPr>
          <w:p w:rsidR="00CD0691" w:rsidRPr="00D176BC" w:rsidRDefault="00CD0691" w:rsidP="00D266B9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D176BC">
              <w:rPr>
                <w:sz w:val="24"/>
                <w:szCs w:val="24"/>
              </w:rPr>
              <w:t>15 (16.6)</w:t>
            </w:r>
          </w:p>
        </w:tc>
        <w:tc>
          <w:tcPr>
            <w:tcW w:w="1985" w:type="dxa"/>
            <w:vAlign w:val="center"/>
          </w:tcPr>
          <w:p w:rsidR="00CD0691" w:rsidRPr="00D176BC" w:rsidRDefault="00CD0691" w:rsidP="00D266B9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D176BC">
              <w:rPr>
                <w:sz w:val="24"/>
                <w:szCs w:val="24"/>
              </w:rPr>
              <w:t>27 (17.2)</w:t>
            </w:r>
          </w:p>
        </w:tc>
      </w:tr>
      <w:tr w:rsidR="00CD0691" w:rsidRPr="00D176BC" w:rsidTr="00D266B9">
        <w:trPr>
          <w:jc w:val="center"/>
        </w:trPr>
        <w:tc>
          <w:tcPr>
            <w:tcW w:w="6283" w:type="dxa"/>
          </w:tcPr>
          <w:p w:rsidR="00CD0691" w:rsidRPr="00D176BC" w:rsidRDefault="00CD0691" w:rsidP="00D266B9">
            <w:pPr>
              <w:spacing w:line="480" w:lineRule="auto"/>
              <w:jc w:val="both"/>
              <w:rPr>
                <w:b/>
                <w:sz w:val="24"/>
                <w:szCs w:val="24"/>
              </w:rPr>
            </w:pPr>
            <w:r w:rsidRPr="00D176BC">
              <w:rPr>
                <w:b/>
                <w:sz w:val="24"/>
                <w:szCs w:val="24"/>
              </w:rPr>
              <w:t xml:space="preserve">Respiratory System </w:t>
            </w:r>
          </w:p>
        </w:tc>
        <w:tc>
          <w:tcPr>
            <w:tcW w:w="1418" w:type="dxa"/>
            <w:vAlign w:val="center"/>
          </w:tcPr>
          <w:p w:rsidR="00CD0691" w:rsidRPr="00D176BC" w:rsidRDefault="00CD0691" w:rsidP="00D266B9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08" w:type="dxa"/>
            <w:vAlign w:val="center"/>
          </w:tcPr>
          <w:p w:rsidR="00CD0691" w:rsidRPr="00D176BC" w:rsidRDefault="00CD0691" w:rsidP="00D266B9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CD0691" w:rsidRPr="00D176BC" w:rsidRDefault="00CD0691" w:rsidP="00D266B9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</w:tr>
      <w:tr w:rsidR="00CD0691" w:rsidRPr="00D176BC" w:rsidTr="00D266B9">
        <w:trPr>
          <w:jc w:val="center"/>
        </w:trPr>
        <w:tc>
          <w:tcPr>
            <w:tcW w:w="6283" w:type="dxa"/>
          </w:tcPr>
          <w:p w:rsidR="00CD0691" w:rsidRPr="00D176BC" w:rsidRDefault="00CD0691" w:rsidP="00D266B9">
            <w:pPr>
              <w:spacing w:line="480" w:lineRule="auto"/>
              <w:jc w:val="both"/>
              <w:rPr>
                <w:sz w:val="24"/>
                <w:szCs w:val="24"/>
              </w:rPr>
            </w:pPr>
            <w:r w:rsidRPr="00D176BC">
              <w:rPr>
                <w:sz w:val="24"/>
                <w:szCs w:val="24"/>
              </w:rPr>
              <w:t>Systemic corticosteroids instead of inhaled corticosteroids for maintenance therapy in moderate-severe COPD</w:t>
            </w:r>
          </w:p>
        </w:tc>
        <w:tc>
          <w:tcPr>
            <w:tcW w:w="1418" w:type="dxa"/>
            <w:vAlign w:val="center"/>
          </w:tcPr>
          <w:p w:rsidR="00CD0691" w:rsidRPr="00D176BC" w:rsidRDefault="00CD0691" w:rsidP="00D266B9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D176BC">
              <w:rPr>
                <w:sz w:val="24"/>
                <w:szCs w:val="24"/>
              </w:rPr>
              <w:t>5 (2.0)</w:t>
            </w:r>
          </w:p>
        </w:tc>
        <w:tc>
          <w:tcPr>
            <w:tcW w:w="1508" w:type="dxa"/>
            <w:vAlign w:val="center"/>
          </w:tcPr>
          <w:p w:rsidR="00CD0691" w:rsidRPr="00D176BC" w:rsidRDefault="00CD0691" w:rsidP="00D266B9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D176BC">
              <w:rPr>
                <w:sz w:val="24"/>
                <w:szCs w:val="24"/>
              </w:rPr>
              <w:t>3 (3.3)</w:t>
            </w:r>
          </w:p>
        </w:tc>
        <w:tc>
          <w:tcPr>
            <w:tcW w:w="1985" w:type="dxa"/>
            <w:vAlign w:val="center"/>
          </w:tcPr>
          <w:p w:rsidR="00CD0691" w:rsidRPr="00D176BC" w:rsidRDefault="00CD0691" w:rsidP="00D266B9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D176BC">
              <w:rPr>
                <w:sz w:val="24"/>
                <w:szCs w:val="24"/>
              </w:rPr>
              <w:t>2 (1.3)</w:t>
            </w:r>
          </w:p>
        </w:tc>
      </w:tr>
      <w:tr w:rsidR="00CD0691" w:rsidRPr="00D176BC" w:rsidTr="00D266B9">
        <w:trPr>
          <w:jc w:val="center"/>
        </w:trPr>
        <w:tc>
          <w:tcPr>
            <w:tcW w:w="6283" w:type="dxa"/>
          </w:tcPr>
          <w:p w:rsidR="00CD0691" w:rsidRPr="00D176BC" w:rsidRDefault="00CD0691" w:rsidP="00D266B9">
            <w:pPr>
              <w:spacing w:line="480" w:lineRule="auto"/>
              <w:jc w:val="both"/>
              <w:rPr>
                <w:b/>
                <w:sz w:val="24"/>
                <w:szCs w:val="24"/>
              </w:rPr>
            </w:pPr>
            <w:r w:rsidRPr="00D176BC">
              <w:rPr>
                <w:b/>
                <w:sz w:val="24"/>
                <w:szCs w:val="24"/>
              </w:rPr>
              <w:t xml:space="preserve">Musculoskeletal System </w:t>
            </w:r>
          </w:p>
        </w:tc>
        <w:tc>
          <w:tcPr>
            <w:tcW w:w="1418" w:type="dxa"/>
            <w:vAlign w:val="center"/>
          </w:tcPr>
          <w:p w:rsidR="00CD0691" w:rsidRPr="00D176BC" w:rsidRDefault="00CD0691" w:rsidP="00D266B9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08" w:type="dxa"/>
            <w:vAlign w:val="center"/>
          </w:tcPr>
          <w:p w:rsidR="00CD0691" w:rsidRPr="00D176BC" w:rsidRDefault="00CD0691" w:rsidP="00D266B9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CD0691" w:rsidRPr="00D176BC" w:rsidRDefault="00CD0691" w:rsidP="00D266B9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</w:tr>
      <w:tr w:rsidR="00CD0691" w:rsidRPr="00D176BC" w:rsidTr="00D266B9">
        <w:trPr>
          <w:jc w:val="center"/>
        </w:trPr>
        <w:tc>
          <w:tcPr>
            <w:tcW w:w="6283" w:type="dxa"/>
          </w:tcPr>
          <w:p w:rsidR="00CD0691" w:rsidRPr="00D176BC" w:rsidRDefault="00CD0691" w:rsidP="00D266B9">
            <w:pPr>
              <w:spacing w:line="480" w:lineRule="auto"/>
              <w:jc w:val="both"/>
              <w:rPr>
                <w:sz w:val="24"/>
                <w:szCs w:val="24"/>
              </w:rPr>
            </w:pPr>
            <w:r w:rsidRPr="00D176BC">
              <w:rPr>
                <w:sz w:val="24"/>
                <w:szCs w:val="24"/>
              </w:rPr>
              <w:t>NSAID with moderate-severe hypertension</w:t>
            </w:r>
          </w:p>
        </w:tc>
        <w:tc>
          <w:tcPr>
            <w:tcW w:w="1418" w:type="dxa"/>
            <w:vAlign w:val="center"/>
          </w:tcPr>
          <w:p w:rsidR="00CD0691" w:rsidRPr="00D176BC" w:rsidRDefault="00CD0691" w:rsidP="00D266B9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D176BC">
              <w:rPr>
                <w:sz w:val="24"/>
                <w:szCs w:val="24"/>
              </w:rPr>
              <w:t>11 (4.5)</w:t>
            </w:r>
          </w:p>
        </w:tc>
        <w:tc>
          <w:tcPr>
            <w:tcW w:w="1508" w:type="dxa"/>
            <w:vAlign w:val="center"/>
          </w:tcPr>
          <w:p w:rsidR="00CD0691" w:rsidRPr="00D176BC" w:rsidRDefault="00CD0691" w:rsidP="00D266B9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D176BC">
              <w:rPr>
                <w:sz w:val="24"/>
                <w:szCs w:val="24"/>
              </w:rPr>
              <w:t>1 (1.1)</w:t>
            </w:r>
          </w:p>
        </w:tc>
        <w:tc>
          <w:tcPr>
            <w:tcW w:w="1985" w:type="dxa"/>
            <w:vAlign w:val="center"/>
          </w:tcPr>
          <w:p w:rsidR="00CD0691" w:rsidRPr="00D176BC" w:rsidRDefault="00CD0691" w:rsidP="00D266B9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D176BC">
              <w:rPr>
                <w:sz w:val="24"/>
                <w:szCs w:val="24"/>
              </w:rPr>
              <w:t>10 (6.4)</w:t>
            </w:r>
          </w:p>
        </w:tc>
      </w:tr>
      <w:tr w:rsidR="00CD0691" w:rsidRPr="00D176BC" w:rsidTr="00D266B9">
        <w:trPr>
          <w:jc w:val="center"/>
        </w:trPr>
        <w:tc>
          <w:tcPr>
            <w:tcW w:w="6283" w:type="dxa"/>
          </w:tcPr>
          <w:p w:rsidR="00CD0691" w:rsidRPr="00D176BC" w:rsidRDefault="00CD0691" w:rsidP="00D266B9">
            <w:pPr>
              <w:spacing w:line="480" w:lineRule="auto"/>
              <w:jc w:val="both"/>
              <w:rPr>
                <w:sz w:val="24"/>
                <w:szCs w:val="24"/>
              </w:rPr>
            </w:pPr>
            <w:r w:rsidRPr="00D176BC">
              <w:rPr>
                <w:sz w:val="24"/>
                <w:szCs w:val="24"/>
              </w:rPr>
              <w:t>NSAID with heart failure</w:t>
            </w:r>
          </w:p>
        </w:tc>
        <w:tc>
          <w:tcPr>
            <w:tcW w:w="1418" w:type="dxa"/>
            <w:vAlign w:val="center"/>
          </w:tcPr>
          <w:p w:rsidR="00CD0691" w:rsidRPr="00D176BC" w:rsidRDefault="00CD0691" w:rsidP="00D266B9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D176BC">
              <w:rPr>
                <w:sz w:val="24"/>
                <w:szCs w:val="24"/>
              </w:rPr>
              <w:t>5 (2.0)</w:t>
            </w:r>
          </w:p>
        </w:tc>
        <w:tc>
          <w:tcPr>
            <w:tcW w:w="1508" w:type="dxa"/>
            <w:vAlign w:val="center"/>
          </w:tcPr>
          <w:p w:rsidR="00CD0691" w:rsidRPr="00D176BC" w:rsidRDefault="00CD0691" w:rsidP="00D266B9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D176BC">
              <w:rPr>
                <w:sz w:val="24"/>
                <w:szCs w:val="24"/>
              </w:rPr>
              <w:t>3 (3.3)</w:t>
            </w:r>
          </w:p>
        </w:tc>
        <w:tc>
          <w:tcPr>
            <w:tcW w:w="1985" w:type="dxa"/>
            <w:vAlign w:val="center"/>
          </w:tcPr>
          <w:p w:rsidR="00CD0691" w:rsidRPr="00D176BC" w:rsidRDefault="00CD0691" w:rsidP="00D266B9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D176BC">
              <w:rPr>
                <w:sz w:val="24"/>
                <w:szCs w:val="24"/>
              </w:rPr>
              <w:t>2 (1.3)</w:t>
            </w:r>
          </w:p>
        </w:tc>
      </w:tr>
      <w:tr w:rsidR="00CD0691" w:rsidRPr="00D176BC" w:rsidTr="00D266B9">
        <w:trPr>
          <w:jc w:val="center"/>
        </w:trPr>
        <w:tc>
          <w:tcPr>
            <w:tcW w:w="6283" w:type="dxa"/>
          </w:tcPr>
          <w:p w:rsidR="00CD0691" w:rsidRPr="00D176BC" w:rsidRDefault="00CD0691" w:rsidP="00D266B9">
            <w:pPr>
              <w:spacing w:line="480" w:lineRule="auto"/>
              <w:jc w:val="both"/>
              <w:rPr>
                <w:sz w:val="24"/>
                <w:szCs w:val="24"/>
              </w:rPr>
            </w:pPr>
            <w:r w:rsidRPr="00D176BC">
              <w:rPr>
                <w:sz w:val="24"/>
                <w:szCs w:val="24"/>
              </w:rPr>
              <w:t>Warfarin and NSAID together</w:t>
            </w:r>
          </w:p>
        </w:tc>
        <w:tc>
          <w:tcPr>
            <w:tcW w:w="1418" w:type="dxa"/>
            <w:vAlign w:val="center"/>
          </w:tcPr>
          <w:p w:rsidR="00CD0691" w:rsidRPr="00D176BC" w:rsidRDefault="00CD0691" w:rsidP="00D266B9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D176BC">
              <w:rPr>
                <w:sz w:val="24"/>
                <w:szCs w:val="24"/>
              </w:rPr>
              <w:t>1 (0.4)</w:t>
            </w:r>
          </w:p>
        </w:tc>
        <w:tc>
          <w:tcPr>
            <w:tcW w:w="1508" w:type="dxa"/>
            <w:vAlign w:val="center"/>
          </w:tcPr>
          <w:p w:rsidR="00CD0691" w:rsidRPr="00D176BC" w:rsidRDefault="00CD0691" w:rsidP="00D266B9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D176BC">
              <w:rPr>
                <w:sz w:val="24"/>
                <w:szCs w:val="24"/>
              </w:rPr>
              <w:t>-</w:t>
            </w:r>
          </w:p>
        </w:tc>
        <w:tc>
          <w:tcPr>
            <w:tcW w:w="1985" w:type="dxa"/>
            <w:vAlign w:val="center"/>
          </w:tcPr>
          <w:p w:rsidR="00CD0691" w:rsidRPr="00D176BC" w:rsidRDefault="00CD0691" w:rsidP="00D266B9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D176BC">
              <w:rPr>
                <w:sz w:val="24"/>
                <w:szCs w:val="24"/>
              </w:rPr>
              <w:t>1 (0.6)</w:t>
            </w:r>
          </w:p>
        </w:tc>
      </w:tr>
      <w:tr w:rsidR="00CD0691" w:rsidRPr="00D176BC" w:rsidTr="00D266B9">
        <w:trPr>
          <w:jc w:val="center"/>
        </w:trPr>
        <w:tc>
          <w:tcPr>
            <w:tcW w:w="6283" w:type="dxa"/>
          </w:tcPr>
          <w:p w:rsidR="00CD0691" w:rsidRPr="00D176BC" w:rsidRDefault="00CD0691" w:rsidP="00D266B9">
            <w:pPr>
              <w:spacing w:line="480" w:lineRule="auto"/>
              <w:jc w:val="both"/>
              <w:rPr>
                <w:sz w:val="24"/>
                <w:szCs w:val="24"/>
              </w:rPr>
            </w:pPr>
            <w:r w:rsidRPr="00D176BC">
              <w:rPr>
                <w:sz w:val="24"/>
                <w:szCs w:val="24"/>
              </w:rPr>
              <w:t>NSAID with chronic renal failure</w:t>
            </w:r>
          </w:p>
        </w:tc>
        <w:tc>
          <w:tcPr>
            <w:tcW w:w="1418" w:type="dxa"/>
            <w:vAlign w:val="center"/>
          </w:tcPr>
          <w:p w:rsidR="00CD0691" w:rsidRPr="00D176BC" w:rsidRDefault="00CD0691" w:rsidP="00D266B9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D176BC">
              <w:rPr>
                <w:sz w:val="24"/>
                <w:szCs w:val="24"/>
              </w:rPr>
              <w:t>4 (1.6)</w:t>
            </w:r>
          </w:p>
        </w:tc>
        <w:tc>
          <w:tcPr>
            <w:tcW w:w="1508" w:type="dxa"/>
            <w:vAlign w:val="center"/>
          </w:tcPr>
          <w:p w:rsidR="00CD0691" w:rsidRPr="00D176BC" w:rsidRDefault="00CD0691" w:rsidP="00D266B9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D176BC">
              <w:rPr>
                <w:sz w:val="24"/>
                <w:szCs w:val="24"/>
              </w:rPr>
              <w:t>3 (3.3)</w:t>
            </w:r>
          </w:p>
        </w:tc>
        <w:tc>
          <w:tcPr>
            <w:tcW w:w="1985" w:type="dxa"/>
            <w:vAlign w:val="center"/>
          </w:tcPr>
          <w:p w:rsidR="00CD0691" w:rsidRPr="00D176BC" w:rsidRDefault="00CD0691" w:rsidP="00D266B9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D176BC">
              <w:rPr>
                <w:sz w:val="24"/>
                <w:szCs w:val="24"/>
              </w:rPr>
              <w:t>1 (0.6)</w:t>
            </w:r>
          </w:p>
        </w:tc>
      </w:tr>
      <w:tr w:rsidR="00CD0691" w:rsidRPr="00D176BC" w:rsidTr="00D266B9">
        <w:trPr>
          <w:jc w:val="center"/>
        </w:trPr>
        <w:tc>
          <w:tcPr>
            <w:tcW w:w="6283" w:type="dxa"/>
          </w:tcPr>
          <w:p w:rsidR="00CD0691" w:rsidRPr="00D176BC" w:rsidRDefault="00CD0691" w:rsidP="00D266B9">
            <w:pPr>
              <w:spacing w:line="480" w:lineRule="auto"/>
              <w:jc w:val="both"/>
              <w:rPr>
                <w:sz w:val="24"/>
                <w:szCs w:val="24"/>
              </w:rPr>
            </w:pPr>
            <w:r w:rsidRPr="00D176BC">
              <w:rPr>
                <w:sz w:val="24"/>
                <w:szCs w:val="24"/>
              </w:rPr>
              <w:t>Long-term corticosteroids (&gt;3 months) as monotherapy for rheumatoid arthritis or osteoarthritis.</w:t>
            </w:r>
          </w:p>
        </w:tc>
        <w:tc>
          <w:tcPr>
            <w:tcW w:w="1418" w:type="dxa"/>
            <w:vAlign w:val="center"/>
          </w:tcPr>
          <w:p w:rsidR="00CD0691" w:rsidRPr="00D176BC" w:rsidRDefault="00CD0691" w:rsidP="00D266B9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D176BC">
              <w:rPr>
                <w:sz w:val="24"/>
                <w:szCs w:val="24"/>
              </w:rPr>
              <w:t>5 (2.0)</w:t>
            </w:r>
          </w:p>
        </w:tc>
        <w:tc>
          <w:tcPr>
            <w:tcW w:w="1508" w:type="dxa"/>
            <w:vAlign w:val="center"/>
          </w:tcPr>
          <w:p w:rsidR="00CD0691" w:rsidRPr="00D176BC" w:rsidRDefault="00CD0691" w:rsidP="00D266B9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D176BC">
              <w:rPr>
                <w:sz w:val="24"/>
                <w:szCs w:val="24"/>
              </w:rPr>
              <w:t>1 (1.1)</w:t>
            </w:r>
          </w:p>
        </w:tc>
        <w:tc>
          <w:tcPr>
            <w:tcW w:w="1985" w:type="dxa"/>
            <w:vAlign w:val="center"/>
          </w:tcPr>
          <w:p w:rsidR="00CD0691" w:rsidRPr="00D176BC" w:rsidRDefault="00CD0691" w:rsidP="00D266B9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D176BC">
              <w:rPr>
                <w:sz w:val="24"/>
                <w:szCs w:val="24"/>
              </w:rPr>
              <w:t>4 (2.5)</w:t>
            </w:r>
          </w:p>
        </w:tc>
      </w:tr>
      <w:tr w:rsidR="00CD0691" w:rsidRPr="00D176BC" w:rsidTr="00D266B9">
        <w:trPr>
          <w:trHeight w:val="600"/>
          <w:jc w:val="center"/>
        </w:trPr>
        <w:tc>
          <w:tcPr>
            <w:tcW w:w="6283" w:type="dxa"/>
          </w:tcPr>
          <w:p w:rsidR="00CD0691" w:rsidRPr="00D176BC" w:rsidRDefault="00CD0691" w:rsidP="00D266B9">
            <w:pPr>
              <w:spacing w:line="480" w:lineRule="auto"/>
              <w:jc w:val="both"/>
              <w:rPr>
                <w:sz w:val="24"/>
                <w:szCs w:val="24"/>
              </w:rPr>
            </w:pPr>
            <w:r w:rsidRPr="00D176BC">
              <w:rPr>
                <w:sz w:val="24"/>
                <w:szCs w:val="24"/>
              </w:rPr>
              <w:t>Long-term NSAID or colchicine for chronic treatment of gout where there is no contraindication to allopurinol</w:t>
            </w:r>
          </w:p>
        </w:tc>
        <w:tc>
          <w:tcPr>
            <w:tcW w:w="1418" w:type="dxa"/>
            <w:vAlign w:val="center"/>
          </w:tcPr>
          <w:p w:rsidR="00CD0691" w:rsidRPr="00D176BC" w:rsidRDefault="00CD0691" w:rsidP="00D266B9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D176BC">
              <w:rPr>
                <w:sz w:val="24"/>
                <w:szCs w:val="24"/>
              </w:rPr>
              <w:t>12 (4.9)</w:t>
            </w:r>
          </w:p>
        </w:tc>
        <w:tc>
          <w:tcPr>
            <w:tcW w:w="1508" w:type="dxa"/>
            <w:vAlign w:val="center"/>
          </w:tcPr>
          <w:p w:rsidR="00CD0691" w:rsidRPr="00D176BC" w:rsidRDefault="00CD0691" w:rsidP="00D266B9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D176BC">
              <w:rPr>
                <w:sz w:val="24"/>
                <w:szCs w:val="24"/>
              </w:rPr>
              <w:t>8 (8.9)</w:t>
            </w:r>
          </w:p>
        </w:tc>
        <w:tc>
          <w:tcPr>
            <w:tcW w:w="1985" w:type="dxa"/>
            <w:vAlign w:val="center"/>
          </w:tcPr>
          <w:p w:rsidR="00CD0691" w:rsidRPr="00D176BC" w:rsidRDefault="00CD0691" w:rsidP="00D266B9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D176BC">
              <w:rPr>
                <w:sz w:val="24"/>
                <w:szCs w:val="24"/>
              </w:rPr>
              <w:t>4 (2.5)</w:t>
            </w:r>
          </w:p>
        </w:tc>
      </w:tr>
      <w:tr w:rsidR="00CD0691" w:rsidRPr="00D176BC" w:rsidTr="00D266B9">
        <w:trPr>
          <w:trHeight w:val="282"/>
          <w:jc w:val="center"/>
        </w:trPr>
        <w:tc>
          <w:tcPr>
            <w:tcW w:w="6283" w:type="dxa"/>
          </w:tcPr>
          <w:p w:rsidR="00CD0691" w:rsidRPr="00D176BC" w:rsidRDefault="00CD0691" w:rsidP="00D266B9">
            <w:pPr>
              <w:spacing w:line="480" w:lineRule="auto"/>
              <w:jc w:val="both"/>
              <w:rPr>
                <w:b/>
                <w:sz w:val="24"/>
                <w:szCs w:val="24"/>
              </w:rPr>
            </w:pPr>
            <w:r w:rsidRPr="00D176BC">
              <w:rPr>
                <w:b/>
                <w:sz w:val="24"/>
                <w:szCs w:val="24"/>
              </w:rPr>
              <w:t>Falls</w:t>
            </w:r>
          </w:p>
        </w:tc>
        <w:tc>
          <w:tcPr>
            <w:tcW w:w="1418" w:type="dxa"/>
            <w:vAlign w:val="center"/>
          </w:tcPr>
          <w:p w:rsidR="00CD0691" w:rsidRPr="00D176BC" w:rsidRDefault="00CD0691" w:rsidP="00D266B9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08" w:type="dxa"/>
            <w:vAlign w:val="center"/>
          </w:tcPr>
          <w:p w:rsidR="00CD0691" w:rsidRPr="00D176BC" w:rsidRDefault="00CD0691" w:rsidP="00D266B9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CD0691" w:rsidRPr="00D176BC" w:rsidRDefault="00CD0691" w:rsidP="00D266B9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</w:tr>
      <w:tr w:rsidR="00CD0691" w:rsidRPr="00D176BC" w:rsidTr="00D266B9">
        <w:trPr>
          <w:trHeight w:val="279"/>
          <w:jc w:val="center"/>
        </w:trPr>
        <w:tc>
          <w:tcPr>
            <w:tcW w:w="6283" w:type="dxa"/>
          </w:tcPr>
          <w:p w:rsidR="00CD0691" w:rsidRPr="00D176BC" w:rsidRDefault="00CD0691" w:rsidP="00D266B9">
            <w:pPr>
              <w:spacing w:line="480" w:lineRule="auto"/>
              <w:jc w:val="both"/>
              <w:rPr>
                <w:sz w:val="24"/>
                <w:szCs w:val="24"/>
              </w:rPr>
            </w:pPr>
            <w:r w:rsidRPr="00D176BC">
              <w:rPr>
                <w:sz w:val="24"/>
                <w:szCs w:val="24"/>
              </w:rPr>
              <w:t>Benzodiazepines</w:t>
            </w:r>
          </w:p>
        </w:tc>
        <w:tc>
          <w:tcPr>
            <w:tcW w:w="1418" w:type="dxa"/>
            <w:vAlign w:val="center"/>
          </w:tcPr>
          <w:p w:rsidR="00CD0691" w:rsidRPr="00D176BC" w:rsidRDefault="00CD0691" w:rsidP="00D266B9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D176BC">
              <w:rPr>
                <w:sz w:val="24"/>
                <w:szCs w:val="24"/>
              </w:rPr>
              <w:t>14 (5.7)</w:t>
            </w:r>
          </w:p>
        </w:tc>
        <w:tc>
          <w:tcPr>
            <w:tcW w:w="1508" w:type="dxa"/>
            <w:vAlign w:val="center"/>
          </w:tcPr>
          <w:p w:rsidR="00CD0691" w:rsidRPr="00D176BC" w:rsidRDefault="00CD0691" w:rsidP="00D266B9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D176BC">
              <w:rPr>
                <w:sz w:val="24"/>
                <w:szCs w:val="24"/>
              </w:rPr>
              <w:t>3 (3.3)</w:t>
            </w:r>
          </w:p>
        </w:tc>
        <w:tc>
          <w:tcPr>
            <w:tcW w:w="1985" w:type="dxa"/>
            <w:vAlign w:val="center"/>
          </w:tcPr>
          <w:p w:rsidR="00CD0691" w:rsidRPr="00D176BC" w:rsidRDefault="00CD0691" w:rsidP="00D266B9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D176BC">
              <w:rPr>
                <w:sz w:val="24"/>
                <w:szCs w:val="24"/>
              </w:rPr>
              <w:t>11 (7.0)</w:t>
            </w:r>
          </w:p>
        </w:tc>
      </w:tr>
      <w:tr w:rsidR="00CD0691" w:rsidRPr="00D176BC" w:rsidTr="00D266B9">
        <w:trPr>
          <w:trHeight w:val="301"/>
          <w:jc w:val="center"/>
        </w:trPr>
        <w:tc>
          <w:tcPr>
            <w:tcW w:w="6283" w:type="dxa"/>
          </w:tcPr>
          <w:p w:rsidR="00CD0691" w:rsidRPr="00D176BC" w:rsidRDefault="00CD0691" w:rsidP="00D266B9">
            <w:pPr>
              <w:spacing w:line="480" w:lineRule="auto"/>
              <w:jc w:val="both"/>
              <w:rPr>
                <w:sz w:val="24"/>
                <w:szCs w:val="24"/>
              </w:rPr>
            </w:pPr>
            <w:r w:rsidRPr="00D176BC">
              <w:rPr>
                <w:sz w:val="24"/>
                <w:szCs w:val="24"/>
              </w:rPr>
              <w:t>Neuroleptic drugs</w:t>
            </w:r>
          </w:p>
        </w:tc>
        <w:tc>
          <w:tcPr>
            <w:tcW w:w="1418" w:type="dxa"/>
            <w:vAlign w:val="center"/>
          </w:tcPr>
          <w:p w:rsidR="00CD0691" w:rsidRPr="00D176BC" w:rsidRDefault="00CD0691" w:rsidP="00D266B9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D176BC">
              <w:rPr>
                <w:sz w:val="24"/>
                <w:szCs w:val="24"/>
              </w:rPr>
              <w:t>6 (2.4)</w:t>
            </w:r>
          </w:p>
        </w:tc>
        <w:tc>
          <w:tcPr>
            <w:tcW w:w="1508" w:type="dxa"/>
            <w:vAlign w:val="center"/>
          </w:tcPr>
          <w:p w:rsidR="00CD0691" w:rsidRPr="00D176BC" w:rsidRDefault="00CD0691" w:rsidP="00D266B9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D176BC">
              <w:rPr>
                <w:sz w:val="24"/>
                <w:szCs w:val="24"/>
              </w:rPr>
              <w:t>-</w:t>
            </w:r>
          </w:p>
        </w:tc>
        <w:tc>
          <w:tcPr>
            <w:tcW w:w="1985" w:type="dxa"/>
            <w:vAlign w:val="center"/>
          </w:tcPr>
          <w:p w:rsidR="00CD0691" w:rsidRPr="00D176BC" w:rsidRDefault="00CD0691" w:rsidP="00D266B9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D176BC">
              <w:rPr>
                <w:sz w:val="24"/>
                <w:szCs w:val="24"/>
              </w:rPr>
              <w:t>6 (3.8)</w:t>
            </w:r>
          </w:p>
        </w:tc>
      </w:tr>
      <w:tr w:rsidR="00CD0691" w:rsidRPr="00D176BC" w:rsidTr="00D266B9">
        <w:trPr>
          <w:trHeight w:val="262"/>
          <w:jc w:val="center"/>
        </w:trPr>
        <w:tc>
          <w:tcPr>
            <w:tcW w:w="6283" w:type="dxa"/>
          </w:tcPr>
          <w:p w:rsidR="00CD0691" w:rsidRPr="00D176BC" w:rsidRDefault="00CD0691" w:rsidP="00D266B9">
            <w:pPr>
              <w:spacing w:line="480" w:lineRule="auto"/>
              <w:jc w:val="both"/>
              <w:rPr>
                <w:sz w:val="24"/>
                <w:szCs w:val="24"/>
              </w:rPr>
            </w:pPr>
            <w:r w:rsidRPr="00D176BC">
              <w:rPr>
                <w:sz w:val="24"/>
                <w:szCs w:val="24"/>
              </w:rPr>
              <w:t>First generation antihistamines</w:t>
            </w:r>
          </w:p>
        </w:tc>
        <w:tc>
          <w:tcPr>
            <w:tcW w:w="1418" w:type="dxa"/>
            <w:vAlign w:val="center"/>
          </w:tcPr>
          <w:p w:rsidR="00CD0691" w:rsidRPr="00D176BC" w:rsidRDefault="00CD0691" w:rsidP="00D266B9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D176BC">
              <w:rPr>
                <w:sz w:val="24"/>
                <w:szCs w:val="24"/>
              </w:rPr>
              <w:t>6 (2.4)</w:t>
            </w:r>
          </w:p>
        </w:tc>
        <w:tc>
          <w:tcPr>
            <w:tcW w:w="1508" w:type="dxa"/>
            <w:vAlign w:val="center"/>
          </w:tcPr>
          <w:p w:rsidR="00CD0691" w:rsidRPr="00D176BC" w:rsidRDefault="00CD0691" w:rsidP="00D266B9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D176BC">
              <w:rPr>
                <w:sz w:val="24"/>
                <w:szCs w:val="24"/>
              </w:rPr>
              <w:t>1 (1.1)</w:t>
            </w:r>
          </w:p>
        </w:tc>
        <w:tc>
          <w:tcPr>
            <w:tcW w:w="1985" w:type="dxa"/>
            <w:vAlign w:val="center"/>
          </w:tcPr>
          <w:p w:rsidR="00CD0691" w:rsidRPr="00D176BC" w:rsidRDefault="00CD0691" w:rsidP="00D266B9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D176BC">
              <w:rPr>
                <w:sz w:val="24"/>
                <w:szCs w:val="24"/>
              </w:rPr>
              <w:t>5 (3.2)</w:t>
            </w:r>
          </w:p>
        </w:tc>
      </w:tr>
      <w:tr w:rsidR="00CD0691" w:rsidRPr="00D176BC" w:rsidTr="00D266B9">
        <w:trPr>
          <w:trHeight w:val="564"/>
          <w:jc w:val="center"/>
        </w:trPr>
        <w:tc>
          <w:tcPr>
            <w:tcW w:w="6283" w:type="dxa"/>
          </w:tcPr>
          <w:p w:rsidR="00CD0691" w:rsidRPr="00D176BC" w:rsidRDefault="00CD0691" w:rsidP="00D266B9">
            <w:pPr>
              <w:spacing w:line="480" w:lineRule="auto"/>
              <w:jc w:val="both"/>
              <w:rPr>
                <w:sz w:val="24"/>
                <w:szCs w:val="24"/>
              </w:rPr>
            </w:pPr>
            <w:r w:rsidRPr="00D176BC">
              <w:rPr>
                <w:sz w:val="24"/>
                <w:szCs w:val="24"/>
              </w:rPr>
              <w:t xml:space="preserve">Vasodilator drugs with persistent postural hypotension i.e. </w:t>
            </w:r>
            <w:r w:rsidRPr="00D176BC">
              <w:rPr>
                <w:sz w:val="24"/>
                <w:szCs w:val="24"/>
              </w:rPr>
              <w:lastRenderedPageBreak/>
              <w:t>recurrent &gt; 20mmHg drop in systolic blood pressure</w:t>
            </w:r>
          </w:p>
        </w:tc>
        <w:tc>
          <w:tcPr>
            <w:tcW w:w="1418" w:type="dxa"/>
            <w:vAlign w:val="center"/>
          </w:tcPr>
          <w:p w:rsidR="00CD0691" w:rsidRPr="00D176BC" w:rsidRDefault="00CD0691" w:rsidP="00D266B9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D176BC">
              <w:rPr>
                <w:sz w:val="24"/>
                <w:szCs w:val="24"/>
              </w:rPr>
              <w:lastRenderedPageBreak/>
              <w:t>9 (3.6)</w:t>
            </w:r>
          </w:p>
        </w:tc>
        <w:tc>
          <w:tcPr>
            <w:tcW w:w="1508" w:type="dxa"/>
            <w:vAlign w:val="center"/>
          </w:tcPr>
          <w:p w:rsidR="00CD0691" w:rsidRPr="00D176BC" w:rsidRDefault="00CD0691" w:rsidP="00D266B9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D176BC">
              <w:rPr>
                <w:sz w:val="24"/>
                <w:szCs w:val="24"/>
              </w:rPr>
              <w:t>2 (2.2)</w:t>
            </w:r>
          </w:p>
        </w:tc>
        <w:tc>
          <w:tcPr>
            <w:tcW w:w="1985" w:type="dxa"/>
            <w:vAlign w:val="center"/>
          </w:tcPr>
          <w:p w:rsidR="00CD0691" w:rsidRPr="00D176BC" w:rsidRDefault="00CD0691" w:rsidP="00D266B9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D176BC">
              <w:rPr>
                <w:sz w:val="24"/>
                <w:szCs w:val="24"/>
              </w:rPr>
              <w:t>7 (4.5)</w:t>
            </w:r>
          </w:p>
        </w:tc>
      </w:tr>
      <w:tr w:rsidR="00CD0691" w:rsidRPr="00D176BC" w:rsidTr="00D266B9">
        <w:trPr>
          <w:trHeight w:val="419"/>
          <w:jc w:val="center"/>
        </w:trPr>
        <w:tc>
          <w:tcPr>
            <w:tcW w:w="6283" w:type="dxa"/>
          </w:tcPr>
          <w:p w:rsidR="00CD0691" w:rsidRPr="00D176BC" w:rsidRDefault="00CD0691" w:rsidP="00D266B9">
            <w:pPr>
              <w:spacing w:line="480" w:lineRule="auto"/>
              <w:jc w:val="both"/>
              <w:rPr>
                <w:sz w:val="24"/>
                <w:szCs w:val="24"/>
              </w:rPr>
            </w:pPr>
            <w:r w:rsidRPr="00D176BC">
              <w:rPr>
                <w:sz w:val="24"/>
                <w:szCs w:val="24"/>
              </w:rPr>
              <w:lastRenderedPageBreak/>
              <w:t>Long-term opiates in those with recurrent falls</w:t>
            </w:r>
          </w:p>
        </w:tc>
        <w:tc>
          <w:tcPr>
            <w:tcW w:w="1418" w:type="dxa"/>
            <w:vAlign w:val="center"/>
          </w:tcPr>
          <w:p w:rsidR="00CD0691" w:rsidRPr="00D176BC" w:rsidRDefault="00CD0691" w:rsidP="00D266B9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D176BC">
              <w:rPr>
                <w:sz w:val="24"/>
                <w:szCs w:val="24"/>
              </w:rPr>
              <w:t>23 (9.3)</w:t>
            </w:r>
          </w:p>
        </w:tc>
        <w:tc>
          <w:tcPr>
            <w:tcW w:w="1508" w:type="dxa"/>
            <w:vAlign w:val="center"/>
          </w:tcPr>
          <w:p w:rsidR="00CD0691" w:rsidRPr="00D176BC" w:rsidRDefault="00CD0691" w:rsidP="00D266B9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D176BC">
              <w:rPr>
                <w:sz w:val="24"/>
                <w:szCs w:val="24"/>
              </w:rPr>
              <w:t>6 (6.7)</w:t>
            </w:r>
          </w:p>
        </w:tc>
        <w:tc>
          <w:tcPr>
            <w:tcW w:w="1985" w:type="dxa"/>
            <w:vAlign w:val="center"/>
          </w:tcPr>
          <w:p w:rsidR="00CD0691" w:rsidRPr="00D176BC" w:rsidRDefault="00CD0691" w:rsidP="00D266B9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D176BC">
              <w:rPr>
                <w:sz w:val="24"/>
                <w:szCs w:val="24"/>
              </w:rPr>
              <w:t>17 (10.8)</w:t>
            </w:r>
          </w:p>
        </w:tc>
      </w:tr>
      <w:tr w:rsidR="00CD0691" w:rsidRPr="00D176BC" w:rsidTr="00D266B9">
        <w:trPr>
          <w:trHeight w:val="267"/>
          <w:jc w:val="center"/>
        </w:trPr>
        <w:tc>
          <w:tcPr>
            <w:tcW w:w="6283" w:type="dxa"/>
          </w:tcPr>
          <w:p w:rsidR="00CD0691" w:rsidRPr="00D176BC" w:rsidRDefault="00CD0691" w:rsidP="00D266B9">
            <w:pPr>
              <w:spacing w:line="480" w:lineRule="auto"/>
              <w:jc w:val="both"/>
              <w:rPr>
                <w:b/>
                <w:sz w:val="24"/>
                <w:szCs w:val="24"/>
              </w:rPr>
            </w:pPr>
            <w:r w:rsidRPr="00D176BC">
              <w:rPr>
                <w:b/>
                <w:sz w:val="24"/>
                <w:szCs w:val="24"/>
              </w:rPr>
              <w:t xml:space="preserve">Total instances of PIP identified </w:t>
            </w:r>
          </w:p>
        </w:tc>
        <w:tc>
          <w:tcPr>
            <w:tcW w:w="1418" w:type="dxa"/>
            <w:vAlign w:val="center"/>
          </w:tcPr>
          <w:p w:rsidR="00CD0691" w:rsidRPr="00D176BC" w:rsidRDefault="00CD0691" w:rsidP="00D266B9">
            <w:pPr>
              <w:spacing w:line="480" w:lineRule="auto"/>
              <w:jc w:val="center"/>
              <w:rPr>
                <w:b/>
                <w:sz w:val="24"/>
                <w:szCs w:val="24"/>
              </w:rPr>
            </w:pPr>
            <w:r w:rsidRPr="00D176BC">
              <w:rPr>
                <w:b/>
                <w:sz w:val="24"/>
                <w:szCs w:val="24"/>
              </w:rPr>
              <w:t>247</w:t>
            </w:r>
          </w:p>
        </w:tc>
        <w:tc>
          <w:tcPr>
            <w:tcW w:w="1508" w:type="dxa"/>
            <w:vAlign w:val="center"/>
          </w:tcPr>
          <w:p w:rsidR="00CD0691" w:rsidRPr="00D176BC" w:rsidRDefault="00CD0691" w:rsidP="00D266B9">
            <w:pPr>
              <w:spacing w:line="480" w:lineRule="auto"/>
              <w:jc w:val="center"/>
              <w:rPr>
                <w:b/>
                <w:sz w:val="24"/>
                <w:szCs w:val="24"/>
              </w:rPr>
            </w:pPr>
            <w:r w:rsidRPr="00D176BC">
              <w:rPr>
                <w:b/>
                <w:sz w:val="24"/>
                <w:szCs w:val="24"/>
              </w:rPr>
              <w:t>90</w:t>
            </w:r>
          </w:p>
        </w:tc>
        <w:tc>
          <w:tcPr>
            <w:tcW w:w="1985" w:type="dxa"/>
            <w:vAlign w:val="center"/>
          </w:tcPr>
          <w:p w:rsidR="00CD0691" w:rsidRPr="00D176BC" w:rsidRDefault="00CD0691" w:rsidP="00D266B9">
            <w:pPr>
              <w:spacing w:line="480" w:lineRule="auto"/>
              <w:jc w:val="center"/>
              <w:rPr>
                <w:b/>
                <w:sz w:val="24"/>
                <w:szCs w:val="24"/>
              </w:rPr>
            </w:pPr>
            <w:r w:rsidRPr="00D176BC">
              <w:rPr>
                <w:b/>
                <w:sz w:val="24"/>
                <w:szCs w:val="24"/>
              </w:rPr>
              <w:t>157</w:t>
            </w:r>
          </w:p>
        </w:tc>
      </w:tr>
    </w:tbl>
    <w:p w:rsidR="00CD0691" w:rsidRPr="00D176BC" w:rsidRDefault="00CD0691" w:rsidP="00CD0691">
      <w:pPr>
        <w:spacing w:line="480" w:lineRule="auto"/>
        <w:jc w:val="both"/>
        <w:rPr>
          <w:sz w:val="24"/>
          <w:szCs w:val="24"/>
        </w:rPr>
      </w:pPr>
      <w:r w:rsidRPr="00D176BC">
        <w:rPr>
          <w:sz w:val="24"/>
          <w:szCs w:val="24"/>
        </w:rPr>
        <w:t>*Mann-Whitney U Test</w:t>
      </w:r>
    </w:p>
    <w:p w:rsidR="00950A9F" w:rsidRPr="00CD0691" w:rsidRDefault="00950A9F" w:rsidP="00CD0691">
      <w:bookmarkStart w:id="0" w:name="_GoBack"/>
      <w:bookmarkEnd w:id="0"/>
    </w:p>
    <w:sectPr w:rsidR="00950A9F" w:rsidRPr="00CD069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A9F"/>
    <w:rsid w:val="00504C6B"/>
    <w:rsid w:val="008F380E"/>
    <w:rsid w:val="00950A9F"/>
    <w:rsid w:val="00CD0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50A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0A9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D0691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50A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0A9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D0691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404</Words>
  <Characters>2301</Characters>
  <Application>Microsoft Office Word</Application>
  <DocSecurity>0</DocSecurity>
  <Lines>177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2019-12-06T05:08:00Z</dcterms:created>
  <dcterms:modified xsi:type="dcterms:W3CDTF">2019-12-06T05:08:00Z</dcterms:modified>
</cp:coreProperties>
</file>