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3F789" w14:textId="0005884E" w:rsidR="00045F12" w:rsidRPr="00B21A81" w:rsidRDefault="00A809C5" w:rsidP="00045F12">
      <w:pPr>
        <w:rPr>
          <w:rStyle w:val="Strong"/>
        </w:rPr>
      </w:pPr>
      <w:r>
        <w:rPr>
          <w:rStyle w:val="Strong"/>
        </w:rPr>
        <w:t>Additional file 6</w:t>
      </w:r>
      <w:r w:rsidR="00FF5418">
        <w:rPr>
          <w:rStyle w:val="Strong"/>
        </w:rPr>
        <w:t>:</w:t>
      </w:r>
      <w:r w:rsidR="0013176F" w:rsidRPr="009A3852">
        <w:rPr>
          <w:rStyle w:val="Strong"/>
        </w:rPr>
        <w:t xml:space="preserve"> </w:t>
      </w:r>
      <w:r w:rsidR="00045F12" w:rsidRPr="00B21A81">
        <w:rPr>
          <w:rStyle w:val="Strong"/>
        </w:rPr>
        <w:t>Characteristics, quality assessment, and results of the structural validity studies of instruments measuring falls-related self-efficacy or balance confidence in community-dwelling older adults</w:t>
      </w:r>
    </w:p>
    <w:p w14:paraId="675BF4AB" w14:textId="77777777" w:rsidR="00045F12" w:rsidRDefault="00045F12" w:rsidP="00045F12"/>
    <w:tbl>
      <w:tblPr>
        <w:tblW w:w="153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353"/>
        <w:gridCol w:w="1350"/>
        <w:gridCol w:w="810"/>
        <w:gridCol w:w="1260"/>
        <w:gridCol w:w="1440"/>
        <w:gridCol w:w="900"/>
        <w:gridCol w:w="1350"/>
        <w:gridCol w:w="1081"/>
        <w:gridCol w:w="1349"/>
        <w:gridCol w:w="1440"/>
        <w:gridCol w:w="1440"/>
      </w:tblGrid>
      <w:tr w:rsidR="00045F12" w:rsidRPr="00045F12" w14:paraId="06240E73" w14:textId="77777777" w:rsidTr="00CD6A5E">
        <w:trPr>
          <w:trHeight w:val="292"/>
        </w:trPr>
        <w:tc>
          <w:tcPr>
            <w:tcW w:w="1527" w:type="dxa"/>
          </w:tcPr>
          <w:p w14:paraId="4DC64347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Name abbreviation</w:t>
            </w:r>
          </w:p>
        </w:tc>
        <w:tc>
          <w:tcPr>
            <w:tcW w:w="1353" w:type="dxa"/>
          </w:tcPr>
          <w:p w14:paraId="4A0FCEA3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Reference</w:t>
            </w:r>
          </w:p>
        </w:tc>
        <w:tc>
          <w:tcPr>
            <w:tcW w:w="1350" w:type="dxa"/>
          </w:tcPr>
          <w:p w14:paraId="5B7726DE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Country (language)</w:t>
            </w:r>
          </w:p>
        </w:tc>
        <w:tc>
          <w:tcPr>
            <w:tcW w:w="810" w:type="dxa"/>
          </w:tcPr>
          <w:p w14:paraId="051B02D2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N</w:t>
            </w:r>
          </w:p>
        </w:tc>
        <w:tc>
          <w:tcPr>
            <w:tcW w:w="1260" w:type="dxa"/>
          </w:tcPr>
          <w:p w14:paraId="7847E28A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Female (%)</w:t>
            </w:r>
          </w:p>
        </w:tc>
        <w:tc>
          <w:tcPr>
            <w:tcW w:w="1440" w:type="dxa"/>
          </w:tcPr>
          <w:p w14:paraId="78CAC76F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Age</w:t>
            </w:r>
          </w:p>
        </w:tc>
        <w:tc>
          <w:tcPr>
            <w:tcW w:w="900" w:type="dxa"/>
          </w:tcPr>
          <w:p w14:paraId="1651DE8B" w14:textId="342B6636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Need </w:t>
            </w:r>
            <w:r w:rsidRPr="00045F12">
              <w:rPr>
                <w:b/>
                <w:lang w:val="en-GB"/>
              </w:rPr>
              <w:t>aids (%)</w:t>
            </w:r>
          </w:p>
        </w:tc>
        <w:tc>
          <w:tcPr>
            <w:tcW w:w="1350" w:type="dxa"/>
          </w:tcPr>
          <w:p w14:paraId="5DD33FA7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History of 1 or more falls</w:t>
            </w:r>
          </w:p>
        </w:tc>
        <w:tc>
          <w:tcPr>
            <w:tcW w:w="1081" w:type="dxa"/>
          </w:tcPr>
          <w:p w14:paraId="0C3DDC9D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Scale score</w:t>
            </w:r>
          </w:p>
        </w:tc>
        <w:tc>
          <w:tcPr>
            <w:tcW w:w="1349" w:type="dxa"/>
          </w:tcPr>
          <w:p w14:paraId="3C451893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COSMIN quality rating</w:t>
            </w:r>
          </w:p>
        </w:tc>
        <w:tc>
          <w:tcPr>
            <w:tcW w:w="1440" w:type="dxa"/>
          </w:tcPr>
          <w:p w14:paraId="41CC9951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Analysis model</w:t>
            </w:r>
          </w:p>
        </w:tc>
        <w:tc>
          <w:tcPr>
            <w:tcW w:w="1440" w:type="dxa"/>
          </w:tcPr>
          <w:p w14:paraId="61229110" w14:textId="77777777" w:rsidR="00045F12" w:rsidRPr="00045F12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 w:rsidRPr="00045F12">
              <w:rPr>
                <w:b/>
                <w:lang w:val="en-GB"/>
              </w:rPr>
              <w:t>Results</w:t>
            </w:r>
          </w:p>
        </w:tc>
      </w:tr>
      <w:tr w:rsidR="00045F12" w:rsidRPr="00FB51C3" w14:paraId="476633AF" w14:textId="77777777" w:rsidTr="00F14F48">
        <w:trPr>
          <w:trHeight w:val="292"/>
        </w:trPr>
        <w:tc>
          <w:tcPr>
            <w:tcW w:w="15300" w:type="dxa"/>
            <w:gridSpan w:val="12"/>
            <w:shd w:val="clear" w:color="auto" w:fill="auto"/>
            <w:noWrap/>
            <w:vAlign w:val="center"/>
          </w:tcPr>
          <w:p w14:paraId="304AFA04" w14:textId="77777777" w:rsidR="00045F12" w:rsidRPr="00FB51C3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List of f</w:t>
            </w:r>
            <w:r w:rsidRPr="00FB51C3">
              <w:rPr>
                <w:b/>
                <w:lang w:val="en-GB"/>
              </w:rPr>
              <w:t>alls</w:t>
            </w:r>
            <w:r>
              <w:rPr>
                <w:b/>
                <w:lang w:val="en-GB"/>
              </w:rPr>
              <w:t xml:space="preserve"> efficacy sc</w:t>
            </w:r>
            <w:r w:rsidRPr="00FB51C3">
              <w:rPr>
                <w:b/>
                <w:lang w:val="en-GB"/>
              </w:rPr>
              <w:t>ales</w:t>
            </w:r>
          </w:p>
        </w:tc>
      </w:tr>
      <w:tr w:rsidR="00045F12" w:rsidRPr="00045F12" w14:paraId="48AF1F59" w14:textId="77777777" w:rsidTr="00CD6A5E">
        <w:trPr>
          <w:trHeight w:val="292"/>
        </w:trPr>
        <w:tc>
          <w:tcPr>
            <w:tcW w:w="1527" w:type="dxa"/>
          </w:tcPr>
          <w:p w14:paraId="36D99E4F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FES-10</w:t>
            </w:r>
          </w:p>
        </w:tc>
        <w:tc>
          <w:tcPr>
            <w:tcW w:w="1353" w:type="dxa"/>
          </w:tcPr>
          <w:p w14:paraId="559B1F7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Hill, 1996</w:t>
            </w:r>
          </w:p>
        </w:tc>
        <w:tc>
          <w:tcPr>
            <w:tcW w:w="1350" w:type="dxa"/>
          </w:tcPr>
          <w:p w14:paraId="3B128E6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English (Australia)</w:t>
            </w:r>
          </w:p>
        </w:tc>
        <w:tc>
          <w:tcPr>
            <w:tcW w:w="810" w:type="dxa"/>
          </w:tcPr>
          <w:p w14:paraId="51EE5A3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179</w:t>
            </w:r>
          </w:p>
        </w:tc>
        <w:tc>
          <w:tcPr>
            <w:tcW w:w="1260" w:type="dxa"/>
          </w:tcPr>
          <w:p w14:paraId="4007C46D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79.9</w:t>
            </w:r>
          </w:p>
        </w:tc>
        <w:tc>
          <w:tcPr>
            <w:tcW w:w="1440" w:type="dxa"/>
          </w:tcPr>
          <w:p w14:paraId="0507584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79.2 ± 6.6 (n=68 with fall)</w:t>
            </w:r>
          </w:p>
          <w:p w14:paraId="05D244A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74 ± 4.1 (n=111 no fall)</w:t>
            </w:r>
          </w:p>
        </w:tc>
        <w:tc>
          <w:tcPr>
            <w:tcW w:w="900" w:type="dxa"/>
          </w:tcPr>
          <w:p w14:paraId="6E9FAE1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7EE6FE9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38% in the past year</w:t>
            </w:r>
          </w:p>
        </w:tc>
        <w:tc>
          <w:tcPr>
            <w:tcW w:w="1081" w:type="dxa"/>
          </w:tcPr>
          <w:p w14:paraId="7EC1333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49" w:type="dxa"/>
          </w:tcPr>
          <w:p w14:paraId="54D7329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Very good</w:t>
            </w:r>
          </w:p>
          <w:p w14:paraId="5EBC3101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74B0DA0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3FA89F7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42F9CA1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440" w:type="dxa"/>
          </w:tcPr>
          <w:p w14:paraId="03CA502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PAF with eigenvalues &gt; 1</w:t>
            </w:r>
          </w:p>
        </w:tc>
        <w:tc>
          <w:tcPr>
            <w:tcW w:w="1440" w:type="dxa"/>
          </w:tcPr>
          <w:p w14:paraId="0372082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One factor accounting for 69% of the sample variance</w:t>
            </w:r>
          </w:p>
        </w:tc>
      </w:tr>
      <w:tr w:rsidR="00045F12" w:rsidRPr="00045F12" w14:paraId="368D432B" w14:textId="77777777" w:rsidTr="00CD6A5E">
        <w:trPr>
          <w:trHeight w:val="292"/>
        </w:trPr>
        <w:tc>
          <w:tcPr>
            <w:tcW w:w="1527" w:type="dxa"/>
          </w:tcPr>
          <w:p w14:paraId="0152841C" w14:textId="7FDF08B3" w:rsidR="00045F12" w:rsidRPr="00217040" w:rsidRDefault="00F0368A" w:rsidP="009F174F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M</w:t>
            </w:r>
            <w:bookmarkStart w:id="0" w:name="_GoBack"/>
            <w:bookmarkEnd w:id="0"/>
            <w:r w:rsidR="00045F12" w:rsidRPr="00217040">
              <w:rPr>
                <w:lang w:val="en-GB"/>
              </w:rPr>
              <w:t>FES-14</w:t>
            </w:r>
          </w:p>
        </w:tc>
        <w:tc>
          <w:tcPr>
            <w:tcW w:w="1353" w:type="dxa"/>
          </w:tcPr>
          <w:p w14:paraId="55A2D36D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Perrot, 2018</w:t>
            </w:r>
          </w:p>
        </w:tc>
        <w:tc>
          <w:tcPr>
            <w:tcW w:w="1350" w:type="dxa"/>
          </w:tcPr>
          <w:p w14:paraId="6295F1B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France (French)</w:t>
            </w:r>
          </w:p>
        </w:tc>
        <w:tc>
          <w:tcPr>
            <w:tcW w:w="810" w:type="dxa"/>
          </w:tcPr>
          <w:p w14:paraId="2D66B4C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310</w:t>
            </w:r>
          </w:p>
        </w:tc>
        <w:tc>
          <w:tcPr>
            <w:tcW w:w="1260" w:type="dxa"/>
          </w:tcPr>
          <w:p w14:paraId="5830F73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64.2</w:t>
            </w:r>
          </w:p>
        </w:tc>
        <w:tc>
          <w:tcPr>
            <w:tcW w:w="1440" w:type="dxa"/>
          </w:tcPr>
          <w:p w14:paraId="69893EDD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74.7 ± 8.7</w:t>
            </w:r>
          </w:p>
        </w:tc>
        <w:tc>
          <w:tcPr>
            <w:tcW w:w="900" w:type="dxa"/>
          </w:tcPr>
          <w:p w14:paraId="513D997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4335941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081" w:type="dxa"/>
          </w:tcPr>
          <w:p w14:paraId="797F2E1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49" w:type="dxa"/>
          </w:tcPr>
          <w:p w14:paraId="1F180C3D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Adequate</w:t>
            </w:r>
          </w:p>
        </w:tc>
        <w:tc>
          <w:tcPr>
            <w:tcW w:w="1440" w:type="dxa"/>
          </w:tcPr>
          <w:p w14:paraId="789A389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EFA extracting factors with eigenvalues &gt;1 with OFR</w:t>
            </w:r>
          </w:p>
        </w:tc>
        <w:tc>
          <w:tcPr>
            <w:tcW w:w="1440" w:type="dxa"/>
          </w:tcPr>
          <w:p w14:paraId="4F797D5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Two factors accounting for 68.1% of total variance. </w:t>
            </w:r>
          </w:p>
          <w:p w14:paraId="02CABBA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 single factor could account 61.7% of the variance.</w:t>
            </w:r>
          </w:p>
        </w:tc>
      </w:tr>
      <w:tr w:rsidR="00045F12" w:rsidRPr="00045F12" w14:paraId="10B60249" w14:textId="77777777" w:rsidTr="00CD6A5E">
        <w:trPr>
          <w:trHeight w:val="292"/>
        </w:trPr>
        <w:tc>
          <w:tcPr>
            <w:tcW w:w="1527" w:type="dxa"/>
          </w:tcPr>
          <w:p w14:paraId="6456922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3" w:type="dxa"/>
          </w:tcPr>
          <w:p w14:paraId="6830CDB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Hill, 1996</w:t>
            </w:r>
          </w:p>
        </w:tc>
        <w:tc>
          <w:tcPr>
            <w:tcW w:w="1350" w:type="dxa"/>
          </w:tcPr>
          <w:p w14:paraId="335185A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English (Australia)</w:t>
            </w:r>
          </w:p>
        </w:tc>
        <w:tc>
          <w:tcPr>
            <w:tcW w:w="810" w:type="dxa"/>
          </w:tcPr>
          <w:p w14:paraId="5981482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179</w:t>
            </w:r>
          </w:p>
        </w:tc>
        <w:tc>
          <w:tcPr>
            <w:tcW w:w="1260" w:type="dxa"/>
          </w:tcPr>
          <w:p w14:paraId="4FB932D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79.9</w:t>
            </w:r>
          </w:p>
        </w:tc>
        <w:tc>
          <w:tcPr>
            <w:tcW w:w="1440" w:type="dxa"/>
          </w:tcPr>
          <w:p w14:paraId="0EE050ED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79.2 ± 6.6 (n=68 with fall)</w:t>
            </w:r>
          </w:p>
          <w:p w14:paraId="4E8D606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20B7194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74 ± 4.1 (n=111 no fall)</w:t>
            </w:r>
          </w:p>
        </w:tc>
        <w:tc>
          <w:tcPr>
            <w:tcW w:w="900" w:type="dxa"/>
          </w:tcPr>
          <w:p w14:paraId="2B51301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64AF2C9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38% in the past year</w:t>
            </w:r>
          </w:p>
        </w:tc>
        <w:tc>
          <w:tcPr>
            <w:tcW w:w="1081" w:type="dxa"/>
          </w:tcPr>
          <w:p w14:paraId="2F4E59D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7.69 ±2.21</w:t>
            </w:r>
          </w:p>
          <w:p w14:paraId="6BD9AE2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18F9E8BB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4661FF0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3880EEF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9.76 ± 0.32</w:t>
            </w:r>
          </w:p>
        </w:tc>
        <w:tc>
          <w:tcPr>
            <w:tcW w:w="1349" w:type="dxa"/>
          </w:tcPr>
          <w:p w14:paraId="455BF0D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Very good</w:t>
            </w:r>
          </w:p>
        </w:tc>
        <w:tc>
          <w:tcPr>
            <w:tcW w:w="1440" w:type="dxa"/>
          </w:tcPr>
          <w:p w14:paraId="7332442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PAF with eigenvalues &gt; 1</w:t>
            </w:r>
          </w:p>
        </w:tc>
        <w:tc>
          <w:tcPr>
            <w:tcW w:w="1440" w:type="dxa"/>
          </w:tcPr>
          <w:p w14:paraId="6A6DC89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Two factors accounting for 75% of total variance</w:t>
            </w:r>
          </w:p>
        </w:tc>
      </w:tr>
      <w:tr w:rsidR="00045F12" w:rsidRPr="00045F12" w14:paraId="48A94389" w14:textId="77777777" w:rsidTr="00CD6A5E">
        <w:trPr>
          <w:trHeight w:val="292"/>
        </w:trPr>
        <w:tc>
          <w:tcPr>
            <w:tcW w:w="1527" w:type="dxa"/>
          </w:tcPr>
          <w:p w14:paraId="3182566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PAPMFR</w:t>
            </w:r>
          </w:p>
        </w:tc>
        <w:tc>
          <w:tcPr>
            <w:tcW w:w="1353" w:type="dxa"/>
          </w:tcPr>
          <w:p w14:paraId="703A7E5E" w14:textId="4097BC0B" w:rsidR="00045F12" w:rsidRPr="00217040" w:rsidRDefault="00641B72" w:rsidP="009F174F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Yoshikawa</w:t>
            </w:r>
            <w:r w:rsidR="00045F12" w:rsidRPr="00217040">
              <w:rPr>
                <w:lang w:val="en-GB"/>
              </w:rPr>
              <w:t>, 2019</w:t>
            </w:r>
          </w:p>
        </w:tc>
        <w:tc>
          <w:tcPr>
            <w:tcW w:w="1350" w:type="dxa"/>
          </w:tcPr>
          <w:p w14:paraId="0F0ED62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English (US)</w:t>
            </w:r>
          </w:p>
        </w:tc>
        <w:tc>
          <w:tcPr>
            <w:tcW w:w="810" w:type="dxa"/>
          </w:tcPr>
          <w:p w14:paraId="4739A51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522</w:t>
            </w:r>
          </w:p>
        </w:tc>
        <w:tc>
          <w:tcPr>
            <w:tcW w:w="1260" w:type="dxa"/>
          </w:tcPr>
          <w:p w14:paraId="097FAC9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82.4</w:t>
            </w:r>
          </w:p>
        </w:tc>
        <w:tc>
          <w:tcPr>
            <w:tcW w:w="1440" w:type="dxa"/>
          </w:tcPr>
          <w:p w14:paraId="020DD88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76.45 ± 7.79</w:t>
            </w:r>
          </w:p>
        </w:tc>
        <w:tc>
          <w:tcPr>
            <w:tcW w:w="900" w:type="dxa"/>
          </w:tcPr>
          <w:p w14:paraId="6838968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5DF45B1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18% in the past month</w:t>
            </w:r>
          </w:p>
        </w:tc>
        <w:tc>
          <w:tcPr>
            <w:tcW w:w="1081" w:type="dxa"/>
          </w:tcPr>
          <w:p w14:paraId="0257773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gramStart"/>
            <w:r w:rsidRPr="00217040">
              <w:rPr>
                <w:lang w:val="en-GB"/>
              </w:rPr>
              <w:t>3.33  ±</w:t>
            </w:r>
            <w:proofErr w:type="gramEnd"/>
            <w:r w:rsidRPr="00217040">
              <w:rPr>
                <w:lang w:val="en-GB"/>
              </w:rPr>
              <w:t xml:space="preserve"> 0.91 </w:t>
            </w:r>
            <w:r w:rsidRPr="00217040">
              <w:rPr>
                <w:lang w:val="en-GB"/>
              </w:rPr>
              <w:lastRenderedPageBreak/>
              <w:t>(those without a fall)</w:t>
            </w:r>
          </w:p>
          <w:p w14:paraId="70856E7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49EBC43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gramStart"/>
            <w:r w:rsidRPr="00217040">
              <w:rPr>
                <w:lang w:val="en-GB"/>
              </w:rPr>
              <w:t>2.47  ±</w:t>
            </w:r>
            <w:proofErr w:type="gramEnd"/>
            <w:r w:rsidRPr="00217040">
              <w:rPr>
                <w:lang w:val="en-GB"/>
              </w:rPr>
              <w:t xml:space="preserve"> 0.82 (those had one or more falls)</w:t>
            </w:r>
          </w:p>
        </w:tc>
        <w:tc>
          <w:tcPr>
            <w:tcW w:w="1349" w:type="dxa"/>
          </w:tcPr>
          <w:p w14:paraId="74D4566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lastRenderedPageBreak/>
              <w:t>Very good</w:t>
            </w:r>
          </w:p>
        </w:tc>
        <w:tc>
          <w:tcPr>
            <w:tcW w:w="1440" w:type="dxa"/>
          </w:tcPr>
          <w:p w14:paraId="1103FCD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EFA with CFA</w:t>
            </w:r>
          </w:p>
        </w:tc>
        <w:tc>
          <w:tcPr>
            <w:tcW w:w="1440" w:type="dxa"/>
          </w:tcPr>
          <w:p w14:paraId="6106D5B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EFA: one factor with </w:t>
            </w:r>
            <w:r w:rsidRPr="00217040">
              <w:rPr>
                <w:lang w:val="en-GB"/>
              </w:rPr>
              <w:lastRenderedPageBreak/>
              <w:t>eigenvalue &gt; 1</w:t>
            </w:r>
          </w:p>
          <w:p w14:paraId="5E42782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CFA: good fit 1-factor model with correlated items</w:t>
            </w:r>
          </w:p>
          <w:p w14:paraId="65B829B1" w14:textId="77777777" w:rsid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(RMSEA = 0.03, CFI = 1.00, WRMR = 0.23).</w:t>
            </w:r>
          </w:p>
          <w:p w14:paraId="68F1E014" w14:textId="77777777" w:rsidR="00B21A81" w:rsidRDefault="00B21A81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3707FE08" w14:textId="4544515B" w:rsidR="00B21A81" w:rsidRPr="00217040" w:rsidRDefault="00B21A81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</w:tr>
      <w:tr w:rsidR="00045F12" w:rsidRPr="00FB51C3" w14:paraId="6A889008" w14:textId="77777777" w:rsidTr="00F14F48">
        <w:trPr>
          <w:trHeight w:val="292"/>
        </w:trPr>
        <w:tc>
          <w:tcPr>
            <w:tcW w:w="15300" w:type="dxa"/>
            <w:gridSpan w:val="12"/>
            <w:shd w:val="clear" w:color="auto" w:fill="auto"/>
            <w:noWrap/>
            <w:vAlign w:val="center"/>
          </w:tcPr>
          <w:p w14:paraId="2090B550" w14:textId="77777777" w:rsidR="00045F12" w:rsidRPr="00FB51C3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List of b</w:t>
            </w:r>
            <w:r w:rsidRPr="00FB51C3">
              <w:rPr>
                <w:b/>
                <w:lang w:val="en-GB"/>
              </w:rPr>
              <w:t>alance confidence scales</w:t>
            </w:r>
          </w:p>
        </w:tc>
      </w:tr>
      <w:tr w:rsidR="00045F12" w:rsidRPr="00045F12" w14:paraId="69EF3BC1" w14:textId="77777777" w:rsidTr="00CD6A5E">
        <w:trPr>
          <w:trHeight w:val="292"/>
        </w:trPr>
        <w:tc>
          <w:tcPr>
            <w:tcW w:w="1527" w:type="dxa"/>
          </w:tcPr>
          <w:p w14:paraId="140A782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ABC-6</w:t>
            </w:r>
          </w:p>
        </w:tc>
        <w:tc>
          <w:tcPr>
            <w:tcW w:w="1353" w:type="dxa"/>
          </w:tcPr>
          <w:p w14:paraId="70B0EDB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Schott, 2014</w:t>
            </w:r>
          </w:p>
        </w:tc>
        <w:tc>
          <w:tcPr>
            <w:tcW w:w="1350" w:type="dxa"/>
          </w:tcPr>
          <w:p w14:paraId="4E9CC5D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Germany (German)</w:t>
            </w:r>
          </w:p>
        </w:tc>
        <w:tc>
          <w:tcPr>
            <w:tcW w:w="810" w:type="dxa"/>
          </w:tcPr>
          <w:p w14:paraId="6F5DED9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384</w:t>
            </w:r>
          </w:p>
        </w:tc>
        <w:tc>
          <w:tcPr>
            <w:tcW w:w="1260" w:type="dxa"/>
          </w:tcPr>
          <w:p w14:paraId="0171A88F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57.3</w:t>
            </w:r>
          </w:p>
        </w:tc>
        <w:tc>
          <w:tcPr>
            <w:tcW w:w="1440" w:type="dxa"/>
          </w:tcPr>
          <w:p w14:paraId="005C27A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71.1 </w:t>
            </w:r>
            <w:proofErr w:type="gramStart"/>
            <w:r w:rsidRPr="00217040">
              <w:rPr>
                <w:lang w:val="en-GB"/>
              </w:rPr>
              <w:t>±  9</w:t>
            </w:r>
            <w:proofErr w:type="gramEnd"/>
            <w:r w:rsidRPr="00217040">
              <w:rPr>
                <w:lang w:val="en-GB"/>
              </w:rPr>
              <w:t>.7</w:t>
            </w:r>
          </w:p>
        </w:tc>
        <w:tc>
          <w:tcPr>
            <w:tcW w:w="900" w:type="dxa"/>
          </w:tcPr>
          <w:p w14:paraId="6A690F5F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5B7FAA9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35.2% </w:t>
            </w:r>
            <w:proofErr w:type="gramStart"/>
            <w:r w:rsidRPr="00217040">
              <w:rPr>
                <w:lang w:val="en-GB"/>
              </w:rPr>
              <w:t>in  the</w:t>
            </w:r>
            <w:proofErr w:type="gramEnd"/>
            <w:r w:rsidRPr="00217040">
              <w:rPr>
                <w:lang w:val="en-GB"/>
              </w:rPr>
              <w:t xml:space="preserve"> past year</w:t>
            </w:r>
          </w:p>
        </w:tc>
        <w:tc>
          <w:tcPr>
            <w:tcW w:w="1081" w:type="dxa"/>
          </w:tcPr>
          <w:p w14:paraId="4BBFD5E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74.1 ± 27.1</w:t>
            </w:r>
          </w:p>
        </w:tc>
        <w:tc>
          <w:tcPr>
            <w:tcW w:w="1349" w:type="dxa"/>
          </w:tcPr>
          <w:p w14:paraId="197D7BC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Very good</w:t>
            </w:r>
          </w:p>
        </w:tc>
        <w:tc>
          <w:tcPr>
            <w:tcW w:w="1440" w:type="dxa"/>
          </w:tcPr>
          <w:p w14:paraId="7E021CA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PCA with VR</w:t>
            </w:r>
          </w:p>
        </w:tc>
        <w:tc>
          <w:tcPr>
            <w:tcW w:w="1440" w:type="dxa"/>
          </w:tcPr>
          <w:p w14:paraId="3211A4E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One factor accounted for 79.8% of total variance</w:t>
            </w:r>
          </w:p>
        </w:tc>
      </w:tr>
      <w:tr w:rsidR="00045F12" w:rsidRPr="00045F12" w14:paraId="6D7B105B" w14:textId="77777777" w:rsidTr="00CD6A5E">
        <w:trPr>
          <w:trHeight w:val="292"/>
        </w:trPr>
        <w:tc>
          <w:tcPr>
            <w:tcW w:w="1527" w:type="dxa"/>
          </w:tcPr>
          <w:p w14:paraId="19D44A2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ABC-15</w:t>
            </w:r>
          </w:p>
        </w:tc>
        <w:tc>
          <w:tcPr>
            <w:tcW w:w="1353" w:type="dxa"/>
          </w:tcPr>
          <w:p w14:paraId="002DC1B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spellStart"/>
            <w:r w:rsidRPr="00217040">
              <w:rPr>
                <w:lang w:val="en-GB"/>
              </w:rPr>
              <w:t>Filiatrault</w:t>
            </w:r>
            <w:proofErr w:type="spellEnd"/>
            <w:r w:rsidRPr="00217040">
              <w:rPr>
                <w:lang w:val="en-GB"/>
              </w:rPr>
              <w:t>, 2007</w:t>
            </w:r>
          </w:p>
        </w:tc>
        <w:tc>
          <w:tcPr>
            <w:tcW w:w="1350" w:type="dxa"/>
          </w:tcPr>
          <w:p w14:paraId="766D538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Canada (English)</w:t>
            </w:r>
          </w:p>
        </w:tc>
        <w:tc>
          <w:tcPr>
            <w:tcW w:w="810" w:type="dxa"/>
          </w:tcPr>
          <w:p w14:paraId="5B298DC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197</w:t>
            </w:r>
          </w:p>
        </w:tc>
        <w:tc>
          <w:tcPr>
            <w:tcW w:w="1260" w:type="dxa"/>
          </w:tcPr>
          <w:p w14:paraId="642FD9C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84</w:t>
            </w:r>
          </w:p>
        </w:tc>
        <w:tc>
          <w:tcPr>
            <w:tcW w:w="1440" w:type="dxa"/>
          </w:tcPr>
          <w:p w14:paraId="1AC2E87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73.9 ± 7.4</w:t>
            </w:r>
          </w:p>
        </w:tc>
        <w:tc>
          <w:tcPr>
            <w:tcW w:w="900" w:type="dxa"/>
          </w:tcPr>
          <w:p w14:paraId="425CB4AF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798C71C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38% in the past year</w:t>
            </w:r>
          </w:p>
        </w:tc>
        <w:tc>
          <w:tcPr>
            <w:tcW w:w="1081" w:type="dxa"/>
          </w:tcPr>
          <w:p w14:paraId="1BF658E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6.4 ± 2.1</w:t>
            </w:r>
          </w:p>
        </w:tc>
        <w:tc>
          <w:tcPr>
            <w:tcW w:w="1349" w:type="dxa"/>
          </w:tcPr>
          <w:p w14:paraId="54BC8B6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Very good</w:t>
            </w:r>
          </w:p>
        </w:tc>
        <w:tc>
          <w:tcPr>
            <w:tcW w:w="1440" w:type="dxa"/>
          </w:tcPr>
          <w:p w14:paraId="603BC15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Polytomous IRT</w:t>
            </w:r>
            <w:r w:rsidRPr="00217040">
              <w:rPr>
                <w:lang w:val="en-GB"/>
              </w:rPr>
              <w:t xml:space="preserve"> (SGRM)</w:t>
            </w:r>
          </w:p>
        </w:tc>
        <w:tc>
          <w:tcPr>
            <w:tcW w:w="1440" w:type="dxa"/>
          </w:tcPr>
          <w:p w14:paraId="6F74C37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Two factors accounted for 27% of the variance.</w:t>
            </w:r>
          </w:p>
        </w:tc>
      </w:tr>
      <w:tr w:rsidR="00045F12" w:rsidRPr="00045F12" w14:paraId="24DAC8A4" w14:textId="77777777" w:rsidTr="00CD6A5E">
        <w:trPr>
          <w:trHeight w:val="292"/>
        </w:trPr>
        <w:tc>
          <w:tcPr>
            <w:tcW w:w="1527" w:type="dxa"/>
          </w:tcPr>
          <w:p w14:paraId="252F5D6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ABC-16</w:t>
            </w:r>
          </w:p>
        </w:tc>
        <w:tc>
          <w:tcPr>
            <w:tcW w:w="1353" w:type="dxa"/>
          </w:tcPr>
          <w:p w14:paraId="251E48D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spellStart"/>
            <w:r w:rsidRPr="00217040">
              <w:rPr>
                <w:lang w:val="en-GB"/>
              </w:rPr>
              <w:t>Qiang</w:t>
            </w:r>
            <w:proofErr w:type="spellEnd"/>
            <w:r w:rsidRPr="00217040">
              <w:rPr>
                <w:lang w:val="en-GB"/>
              </w:rPr>
              <w:t xml:space="preserve"> Guan, 2011</w:t>
            </w:r>
          </w:p>
        </w:tc>
        <w:tc>
          <w:tcPr>
            <w:tcW w:w="1350" w:type="dxa"/>
          </w:tcPr>
          <w:p w14:paraId="15DD9B4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China </w:t>
            </w:r>
          </w:p>
          <w:p w14:paraId="719AC29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(Chinese-Mandarin)</w:t>
            </w:r>
          </w:p>
        </w:tc>
        <w:tc>
          <w:tcPr>
            <w:tcW w:w="810" w:type="dxa"/>
          </w:tcPr>
          <w:p w14:paraId="592805D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61</w:t>
            </w:r>
          </w:p>
        </w:tc>
        <w:tc>
          <w:tcPr>
            <w:tcW w:w="1260" w:type="dxa"/>
          </w:tcPr>
          <w:p w14:paraId="6F7564B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57</w:t>
            </w:r>
          </w:p>
        </w:tc>
        <w:tc>
          <w:tcPr>
            <w:tcW w:w="1440" w:type="dxa"/>
          </w:tcPr>
          <w:p w14:paraId="05A5CF9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76.3 ± 7.5</w:t>
            </w:r>
          </w:p>
        </w:tc>
        <w:tc>
          <w:tcPr>
            <w:tcW w:w="900" w:type="dxa"/>
          </w:tcPr>
          <w:p w14:paraId="4519D1A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16</w:t>
            </w:r>
          </w:p>
        </w:tc>
        <w:tc>
          <w:tcPr>
            <w:tcW w:w="1350" w:type="dxa"/>
          </w:tcPr>
          <w:p w14:paraId="0A8D194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21% in the past 6 months</w:t>
            </w:r>
          </w:p>
        </w:tc>
        <w:tc>
          <w:tcPr>
            <w:tcW w:w="1081" w:type="dxa"/>
          </w:tcPr>
          <w:p w14:paraId="620EE32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74.6 ± 12.4</w:t>
            </w:r>
          </w:p>
        </w:tc>
        <w:tc>
          <w:tcPr>
            <w:tcW w:w="1349" w:type="dxa"/>
          </w:tcPr>
          <w:p w14:paraId="702D116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Inadequate</w:t>
            </w:r>
          </w:p>
        </w:tc>
        <w:tc>
          <w:tcPr>
            <w:tcW w:w="1440" w:type="dxa"/>
          </w:tcPr>
          <w:p w14:paraId="0C018C2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PCA with VR</w:t>
            </w:r>
          </w:p>
        </w:tc>
        <w:tc>
          <w:tcPr>
            <w:tcW w:w="1440" w:type="dxa"/>
          </w:tcPr>
          <w:p w14:paraId="3269EDF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Two factors accounted for 52.5% and 13.6% respectively</w:t>
            </w:r>
          </w:p>
        </w:tc>
      </w:tr>
      <w:tr w:rsidR="00045F12" w:rsidRPr="00045F12" w14:paraId="629754DE" w14:textId="77777777" w:rsidTr="00CD6A5E">
        <w:trPr>
          <w:trHeight w:val="292"/>
        </w:trPr>
        <w:tc>
          <w:tcPr>
            <w:tcW w:w="1527" w:type="dxa"/>
          </w:tcPr>
          <w:p w14:paraId="784FFFF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3" w:type="dxa"/>
          </w:tcPr>
          <w:p w14:paraId="301C608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spellStart"/>
            <w:r w:rsidRPr="00217040">
              <w:rPr>
                <w:lang w:val="en-GB"/>
              </w:rPr>
              <w:t>Arnadotti</w:t>
            </w:r>
            <w:proofErr w:type="spellEnd"/>
            <w:r w:rsidRPr="00217040">
              <w:rPr>
                <w:lang w:val="en-GB"/>
              </w:rPr>
              <w:t>, 2010</w:t>
            </w:r>
          </w:p>
        </w:tc>
        <w:tc>
          <w:tcPr>
            <w:tcW w:w="1350" w:type="dxa"/>
          </w:tcPr>
          <w:p w14:paraId="4BB0102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Iceland (Icelandic)</w:t>
            </w:r>
          </w:p>
        </w:tc>
        <w:tc>
          <w:tcPr>
            <w:tcW w:w="810" w:type="dxa"/>
          </w:tcPr>
          <w:p w14:paraId="3C68A4B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183</w:t>
            </w:r>
          </w:p>
        </w:tc>
        <w:tc>
          <w:tcPr>
            <w:tcW w:w="1260" w:type="dxa"/>
          </w:tcPr>
          <w:p w14:paraId="15833C8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47.5</w:t>
            </w:r>
          </w:p>
        </w:tc>
        <w:tc>
          <w:tcPr>
            <w:tcW w:w="1440" w:type="dxa"/>
          </w:tcPr>
          <w:p w14:paraId="66B59DD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73.8 ± 6.2</w:t>
            </w:r>
          </w:p>
        </w:tc>
        <w:tc>
          <w:tcPr>
            <w:tcW w:w="900" w:type="dxa"/>
          </w:tcPr>
          <w:p w14:paraId="6074638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13.7</w:t>
            </w:r>
          </w:p>
        </w:tc>
        <w:tc>
          <w:tcPr>
            <w:tcW w:w="1350" w:type="dxa"/>
          </w:tcPr>
          <w:p w14:paraId="6C1AC42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31.6% in the past year</w:t>
            </w:r>
          </w:p>
        </w:tc>
        <w:tc>
          <w:tcPr>
            <w:tcW w:w="1081" w:type="dxa"/>
          </w:tcPr>
          <w:p w14:paraId="59E4CA8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83.3 ± 18.3</w:t>
            </w:r>
          </w:p>
        </w:tc>
        <w:tc>
          <w:tcPr>
            <w:tcW w:w="1349" w:type="dxa"/>
          </w:tcPr>
          <w:p w14:paraId="393AE20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Adequate</w:t>
            </w:r>
          </w:p>
        </w:tc>
        <w:tc>
          <w:tcPr>
            <w:tcW w:w="1440" w:type="dxa"/>
          </w:tcPr>
          <w:p w14:paraId="22FE14D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Rasch (model not specified)</w:t>
            </w:r>
          </w:p>
        </w:tc>
        <w:tc>
          <w:tcPr>
            <w:tcW w:w="1440" w:type="dxa"/>
          </w:tcPr>
          <w:p w14:paraId="08723DF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Three items failed to show </w:t>
            </w:r>
            <w:r w:rsidRPr="00217040">
              <w:rPr>
                <w:lang w:val="en-GB"/>
              </w:rPr>
              <w:lastRenderedPageBreak/>
              <w:t>acceptable levels of fit.</w:t>
            </w:r>
          </w:p>
          <w:p w14:paraId="21C01FF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(Item 7 “sweep the floor”, infit mean square = 1.45, outfit mean square = 1.96; Item 3 “pick up a slipper”, infit mean square = 1.81, outfit mean square = 1.77; Item 15 “on/off escalator while holding parcels”, infit mean square = 1.40, outfit mean square = 1.24) </w:t>
            </w:r>
          </w:p>
        </w:tc>
      </w:tr>
      <w:tr w:rsidR="00045F12" w:rsidRPr="00045F12" w14:paraId="481CD939" w14:textId="77777777" w:rsidTr="00CD6A5E">
        <w:trPr>
          <w:trHeight w:val="292"/>
        </w:trPr>
        <w:tc>
          <w:tcPr>
            <w:tcW w:w="1527" w:type="dxa"/>
          </w:tcPr>
          <w:p w14:paraId="629FB871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3" w:type="dxa"/>
          </w:tcPr>
          <w:p w14:paraId="2473A131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Wang, 2018</w:t>
            </w:r>
          </w:p>
        </w:tc>
        <w:tc>
          <w:tcPr>
            <w:tcW w:w="1350" w:type="dxa"/>
          </w:tcPr>
          <w:p w14:paraId="02FB9BFD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English (US)</w:t>
            </w:r>
          </w:p>
        </w:tc>
        <w:tc>
          <w:tcPr>
            <w:tcW w:w="810" w:type="dxa"/>
          </w:tcPr>
          <w:p w14:paraId="099BDB7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5012</w:t>
            </w:r>
          </w:p>
        </w:tc>
        <w:tc>
          <w:tcPr>
            <w:tcW w:w="1260" w:type="dxa"/>
          </w:tcPr>
          <w:p w14:paraId="3B3EC0D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65</w:t>
            </w:r>
          </w:p>
        </w:tc>
        <w:tc>
          <w:tcPr>
            <w:tcW w:w="1440" w:type="dxa"/>
          </w:tcPr>
          <w:p w14:paraId="7179D94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73.6 ± 5.8</w:t>
            </w:r>
          </w:p>
        </w:tc>
        <w:tc>
          <w:tcPr>
            <w:tcW w:w="900" w:type="dxa"/>
          </w:tcPr>
          <w:p w14:paraId="6A927FF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11451A7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081" w:type="dxa"/>
          </w:tcPr>
          <w:p w14:paraId="23148C3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49" w:type="dxa"/>
          </w:tcPr>
          <w:p w14:paraId="6652E22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>
              <w:rPr>
                <w:lang w:val="en-GB"/>
              </w:rPr>
              <w:t>Very good</w:t>
            </w:r>
          </w:p>
        </w:tc>
        <w:tc>
          <w:tcPr>
            <w:tcW w:w="1440" w:type="dxa"/>
          </w:tcPr>
          <w:p w14:paraId="14BBE94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Rasch PCM</w:t>
            </w:r>
          </w:p>
          <w:p w14:paraId="07F06E0F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2DBAEA3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76B77B91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780C701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103543D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6677E04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lastRenderedPageBreak/>
              <w:t>EFA and CFA</w:t>
            </w:r>
          </w:p>
        </w:tc>
        <w:tc>
          <w:tcPr>
            <w:tcW w:w="1440" w:type="dxa"/>
          </w:tcPr>
          <w:p w14:paraId="1FE3C97B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lastRenderedPageBreak/>
              <w:t xml:space="preserve">Two items (item 16 and item 4) were noted for marginal misfit, where fit </w:t>
            </w:r>
            <w:r w:rsidRPr="00217040">
              <w:rPr>
                <w:lang w:val="en-GB"/>
              </w:rPr>
              <w:lastRenderedPageBreak/>
              <w:t>statistics were greater than 1.40.</w:t>
            </w:r>
          </w:p>
          <w:p w14:paraId="00B52451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403EE67B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First factor accounted for 77% of the variance, second 6% and third 3%</w:t>
            </w:r>
          </w:p>
        </w:tc>
      </w:tr>
      <w:tr w:rsidR="00045F12" w:rsidRPr="00045F12" w14:paraId="338614B9" w14:textId="77777777" w:rsidTr="00CD6A5E">
        <w:trPr>
          <w:trHeight w:val="292"/>
        </w:trPr>
        <w:tc>
          <w:tcPr>
            <w:tcW w:w="1527" w:type="dxa"/>
          </w:tcPr>
          <w:p w14:paraId="15C62B2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3" w:type="dxa"/>
          </w:tcPr>
          <w:p w14:paraId="6E729A5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Schott, 2014</w:t>
            </w:r>
          </w:p>
        </w:tc>
        <w:tc>
          <w:tcPr>
            <w:tcW w:w="1350" w:type="dxa"/>
          </w:tcPr>
          <w:p w14:paraId="3D98ACC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Germany (German)</w:t>
            </w:r>
          </w:p>
        </w:tc>
        <w:tc>
          <w:tcPr>
            <w:tcW w:w="810" w:type="dxa"/>
          </w:tcPr>
          <w:p w14:paraId="2529947B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384</w:t>
            </w:r>
          </w:p>
        </w:tc>
        <w:tc>
          <w:tcPr>
            <w:tcW w:w="1260" w:type="dxa"/>
          </w:tcPr>
          <w:p w14:paraId="4731F70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57.3</w:t>
            </w:r>
          </w:p>
        </w:tc>
        <w:tc>
          <w:tcPr>
            <w:tcW w:w="1440" w:type="dxa"/>
          </w:tcPr>
          <w:p w14:paraId="62DE4777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71.1 </w:t>
            </w:r>
            <w:proofErr w:type="gramStart"/>
            <w:r w:rsidRPr="00217040">
              <w:rPr>
                <w:lang w:val="en-GB"/>
              </w:rPr>
              <w:t>±  9</w:t>
            </w:r>
            <w:proofErr w:type="gramEnd"/>
            <w:r w:rsidRPr="00217040">
              <w:rPr>
                <w:lang w:val="en-GB"/>
              </w:rPr>
              <w:t>.7</w:t>
            </w:r>
          </w:p>
        </w:tc>
        <w:tc>
          <w:tcPr>
            <w:tcW w:w="900" w:type="dxa"/>
          </w:tcPr>
          <w:p w14:paraId="0468997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3BD4400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 xml:space="preserve">35.2% </w:t>
            </w:r>
            <w:proofErr w:type="gramStart"/>
            <w:r w:rsidRPr="00217040">
              <w:rPr>
                <w:lang w:val="en-GB"/>
              </w:rPr>
              <w:t>in  the</w:t>
            </w:r>
            <w:proofErr w:type="gramEnd"/>
            <w:r w:rsidRPr="00217040">
              <w:rPr>
                <w:lang w:val="en-GB"/>
              </w:rPr>
              <w:t xml:space="preserve"> past year</w:t>
            </w:r>
          </w:p>
        </w:tc>
        <w:tc>
          <w:tcPr>
            <w:tcW w:w="1081" w:type="dxa"/>
          </w:tcPr>
          <w:p w14:paraId="58A8FF31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83.4 ± 21.7</w:t>
            </w:r>
          </w:p>
        </w:tc>
        <w:tc>
          <w:tcPr>
            <w:tcW w:w="1349" w:type="dxa"/>
          </w:tcPr>
          <w:p w14:paraId="6652F2E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Very good</w:t>
            </w:r>
          </w:p>
        </w:tc>
        <w:tc>
          <w:tcPr>
            <w:tcW w:w="1440" w:type="dxa"/>
          </w:tcPr>
          <w:p w14:paraId="173DB501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PCA with VR</w:t>
            </w:r>
          </w:p>
        </w:tc>
        <w:tc>
          <w:tcPr>
            <w:tcW w:w="1440" w:type="dxa"/>
          </w:tcPr>
          <w:p w14:paraId="3555B17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One factor accounted for 72.6% of total variance</w:t>
            </w:r>
          </w:p>
        </w:tc>
      </w:tr>
      <w:tr w:rsidR="00045F12" w:rsidRPr="00045F12" w14:paraId="2CD53350" w14:textId="77777777" w:rsidTr="00CD6A5E">
        <w:trPr>
          <w:trHeight w:val="292"/>
        </w:trPr>
        <w:tc>
          <w:tcPr>
            <w:tcW w:w="1527" w:type="dxa"/>
          </w:tcPr>
          <w:p w14:paraId="39D5C5AA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3" w:type="dxa"/>
          </w:tcPr>
          <w:p w14:paraId="590CD70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spellStart"/>
            <w:r w:rsidRPr="00217040">
              <w:rPr>
                <w:lang w:val="en-GB"/>
              </w:rPr>
              <w:t>Ayhan</w:t>
            </w:r>
            <w:proofErr w:type="spellEnd"/>
            <w:r w:rsidRPr="00217040">
              <w:rPr>
                <w:lang w:val="en-GB"/>
              </w:rPr>
              <w:t>, 2014</w:t>
            </w:r>
          </w:p>
        </w:tc>
        <w:tc>
          <w:tcPr>
            <w:tcW w:w="1350" w:type="dxa"/>
          </w:tcPr>
          <w:p w14:paraId="5CA24AA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Turkey (Turkish)</w:t>
            </w:r>
          </w:p>
        </w:tc>
        <w:tc>
          <w:tcPr>
            <w:tcW w:w="810" w:type="dxa"/>
          </w:tcPr>
          <w:p w14:paraId="59171FCB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106</w:t>
            </w:r>
          </w:p>
        </w:tc>
        <w:tc>
          <w:tcPr>
            <w:tcW w:w="1260" w:type="dxa"/>
          </w:tcPr>
          <w:p w14:paraId="672B85E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46</w:t>
            </w:r>
          </w:p>
        </w:tc>
        <w:tc>
          <w:tcPr>
            <w:tcW w:w="1440" w:type="dxa"/>
          </w:tcPr>
          <w:p w14:paraId="0BBC38D3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69.52 ± 5.17</w:t>
            </w:r>
          </w:p>
        </w:tc>
        <w:tc>
          <w:tcPr>
            <w:tcW w:w="900" w:type="dxa"/>
          </w:tcPr>
          <w:p w14:paraId="4EDCA49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01A2CF3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54.7% in the past year</w:t>
            </w:r>
          </w:p>
        </w:tc>
        <w:tc>
          <w:tcPr>
            <w:tcW w:w="1081" w:type="dxa"/>
          </w:tcPr>
          <w:p w14:paraId="5DF4E1E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86.97 ± 22</w:t>
            </w:r>
          </w:p>
        </w:tc>
        <w:tc>
          <w:tcPr>
            <w:tcW w:w="1349" w:type="dxa"/>
          </w:tcPr>
          <w:p w14:paraId="168A273E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Adequate</w:t>
            </w:r>
          </w:p>
        </w:tc>
        <w:tc>
          <w:tcPr>
            <w:tcW w:w="1440" w:type="dxa"/>
          </w:tcPr>
          <w:p w14:paraId="4D1044C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PCA with VR</w:t>
            </w:r>
          </w:p>
        </w:tc>
        <w:tc>
          <w:tcPr>
            <w:tcW w:w="1440" w:type="dxa"/>
          </w:tcPr>
          <w:p w14:paraId="042C26B2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Two factors accounted for 68.651% and 9.978% respectively of the variance</w:t>
            </w:r>
          </w:p>
        </w:tc>
      </w:tr>
      <w:tr w:rsidR="00045F12" w:rsidRPr="00045F12" w14:paraId="427BC985" w14:textId="77777777" w:rsidTr="00CD6A5E">
        <w:trPr>
          <w:trHeight w:val="292"/>
        </w:trPr>
        <w:tc>
          <w:tcPr>
            <w:tcW w:w="1527" w:type="dxa"/>
          </w:tcPr>
          <w:p w14:paraId="0A1E43D5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3" w:type="dxa"/>
          </w:tcPr>
          <w:p w14:paraId="461CE598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spellStart"/>
            <w:r w:rsidRPr="00217040">
              <w:rPr>
                <w:lang w:val="en-GB"/>
              </w:rPr>
              <w:t>Mak</w:t>
            </w:r>
            <w:proofErr w:type="spellEnd"/>
            <w:r w:rsidRPr="00217040">
              <w:rPr>
                <w:lang w:val="en-GB"/>
              </w:rPr>
              <w:t>, 2007</w:t>
            </w:r>
          </w:p>
        </w:tc>
        <w:tc>
          <w:tcPr>
            <w:tcW w:w="1350" w:type="dxa"/>
          </w:tcPr>
          <w:p w14:paraId="5DA0E04B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China HK (</w:t>
            </w:r>
            <w:proofErr w:type="gramStart"/>
            <w:r w:rsidRPr="00217040">
              <w:rPr>
                <w:lang w:val="en-GB"/>
              </w:rPr>
              <w:t>Chinese-Cantonese</w:t>
            </w:r>
            <w:proofErr w:type="gramEnd"/>
            <w:r w:rsidRPr="00217040">
              <w:rPr>
                <w:lang w:val="en-GB"/>
              </w:rPr>
              <w:t>)</w:t>
            </w:r>
          </w:p>
        </w:tc>
        <w:tc>
          <w:tcPr>
            <w:tcW w:w="810" w:type="dxa"/>
          </w:tcPr>
          <w:p w14:paraId="7FC9828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100</w:t>
            </w:r>
          </w:p>
        </w:tc>
        <w:tc>
          <w:tcPr>
            <w:tcW w:w="1260" w:type="dxa"/>
          </w:tcPr>
          <w:p w14:paraId="70A224E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57</w:t>
            </w:r>
          </w:p>
        </w:tc>
        <w:tc>
          <w:tcPr>
            <w:tcW w:w="1440" w:type="dxa"/>
          </w:tcPr>
          <w:p w14:paraId="176D947F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71.6 ± 23.7</w:t>
            </w:r>
          </w:p>
        </w:tc>
        <w:tc>
          <w:tcPr>
            <w:tcW w:w="900" w:type="dxa"/>
          </w:tcPr>
          <w:p w14:paraId="61E68DFF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37</w:t>
            </w:r>
          </w:p>
        </w:tc>
        <w:tc>
          <w:tcPr>
            <w:tcW w:w="1350" w:type="dxa"/>
          </w:tcPr>
          <w:p w14:paraId="64E262E0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13% in the past 6 months</w:t>
            </w:r>
          </w:p>
        </w:tc>
        <w:tc>
          <w:tcPr>
            <w:tcW w:w="1081" w:type="dxa"/>
          </w:tcPr>
          <w:p w14:paraId="5BF81326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71.6 ± 23.7</w:t>
            </w:r>
          </w:p>
        </w:tc>
        <w:tc>
          <w:tcPr>
            <w:tcW w:w="1349" w:type="dxa"/>
          </w:tcPr>
          <w:p w14:paraId="5703889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Adequate</w:t>
            </w:r>
          </w:p>
        </w:tc>
        <w:tc>
          <w:tcPr>
            <w:tcW w:w="1440" w:type="dxa"/>
          </w:tcPr>
          <w:p w14:paraId="3D9C2FB9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PCA with VR on factors with eigenvalues &gt; 1</w:t>
            </w:r>
          </w:p>
          <w:p w14:paraId="2BDF9364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440" w:type="dxa"/>
          </w:tcPr>
          <w:p w14:paraId="3B262C3C" w14:textId="77777777" w:rsidR="00045F12" w:rsidRPr="00217040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217040">
              <w:rPr>
                <w:lang w:val="en-GB"/>
              </w:rPr>
              <w:t>One factor accounted for 69.66% of total variance</w:t>
            </w:r>
          </w:p>
        </w:tc>
      </w:tr>
      <w:tr w:rsidR="00045F12" w:rsidRPr="00FB51C3" w14:paraId="2E839FE6" w14:textId="77777777" w:rsidTr="00F14F48">
        <w:trPr>
          <w:trHeight w:val="292"/>
        </w:trPr>
        <w:tc>
          <w:tcPr>
            <w:tcW w:w="15300" w:type="dxa"/>
            <w:gridSpan w:val="12"/>
            <w:shd w:val="clear" w:color="auto" w:fill="auto"/>
            <w:noWrap/>
            <w:vAlign w:val="center"/>
          </w:tcPr>
          <w:p w14:paraId="6FB5DA46" w14:textId="77777777" w:rsidR="00045F12" w:rsidRPr="00FB51C3" w:rsidRDefault="00045F12" w:rsidP="009F174F">
            <w:pPr>
              <w:spacing w:line="240" w:lineRule="auto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List of s</w:t>
            </w:r>
            <w:r w:rsidRPr="007A2411">
              <w:rPr>
                <w:b/>
                <w:lang w:val="en-GB"/>
              </w:rPr>
              <w:t>cales not measuring falls efficacy or balance confidence</w:t>
            </w:r>
          </w:p>
        </w:tc>
      </w:tr>
      <w:tr w:rsidR="001A324A" w:rsidRPr="00045F12" w14:paraId="2C2FDE79" w14:textId="77777777" w:rsidTr="00CD6A5E">
        <w:trPr>
          <w:trHeight w:val="292"/>
        </w:trPr>
        <w:tc>
          <w:tcPr>
            <w:tcW w:w="1527" w:type="dxa"/>
          </w:tcPr>
          <w:p w14:paraId="0A9A06C3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Icon-FES</w:t>
            </w:r>
          </w:p>
        </w:tc>
        <w:tc>
          <w:tcPr>
            <w:tcW w:w="1353" w:type="dxa"/>
          </w:tcPr>
          <w:p w14:paraId="52020FE6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proofErr w:type="spellStart"/>
            <w:r w:rsidRPr="00045F12">
              <w:rPr>
                <w:lang w:val="en-GB"/>
              </w:rPr>
              <w:t>Delbaere</w:t>
            </w:r>
            <w:proofErr w:type="spellEnd"/>
            <w:r w:rsidRPr="00045F12">
              <w:rPr>
                <w:lang w:val="en-GB"/>
              </w:rPr>
              <w:t>, 2011</w:t>
            </w:r>
          </w:p>
        </w:tc>
        <w:tc>
          <w:tcPr>
            <w:tcW w:w="1350" w:type="dxa"/>
          </w:tcPr>
          <w:p w14:paraId="3428D913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English (Australia)</w:t>
            </w:r>
          </w:p>
        </w:tc>
        <w:tc>
          <w:tcPr>
            <w:tcW w:w="810" w:type="dxa"/>
          </w:tcPr>
          <w:p w14:paraId="1E1C84AC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250</w:t>
            </w:r>
          </w:p>
        </w:tc>
        <w:tc>
          <w:tcPr>
            <w:tcW w:w="1260" w:type="dxa"/>
          </w:tcPr>
          <w:p w14:paraId="471A7AFF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53.2</w:t>
            </w:r>
          </w:p>
        </w:tc>
        <w:tc>
          <w:tcPr>
            <w:tcW w:w="1440" w:type="dxa"/>
          </w:tcPr>
          <w:p w14:paraId="5DED7189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80.2 ± 5.1</w:t>
            </w:r>
          </w:p>
        </w:tc>
        <w:tc>
          <w:tcPr>
            <w:tcW w:w="900" w:type="dxa"/>
          </w:tcPr>
          <w:p w14:paraId="792979FF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473A14B0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36% in the past year</w:t>
            </w:r>
          </w:p>
        </w:tc>
        <w:tc>
          <w:tcPr>
            <w:tcW w:w="1081" w:type="dxa"/>
          </w:tcPr>
          <w:p w14:paraId="1A3870E4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 xml:space="preserve">48.75 ± 14.65 (those </w:t>
            </w:r>
            <w:r w:rsidRPr="00045F12">
              <w:rPr>
                <w:lang w:val="en-GB"/>
              </w:rPr>
              <w:lastRenderedPageBreak/>
              <w:t>without a fall)</w:t>
            </w:r>
          </w:p>
          <w:p w14:paraId="024FA337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443513ED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58.02 ± 19.46 (those had one or more falls)</w:t>
            </w:r>
          </w:p>
        </w:tc>
        <w:tc>
          <w:tcPr>
            <w:tcW w:w="1349" w:type="dxa"/>
          </w:tcPr>
          <w:p w14:paraId="434A459D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lastRenderedPageBreak/>
              <w:t>Very good</w:t>
            </w:r>
          </w:p>
        </w:tc>
        <w:tc>
          <w:tcPr>
            <w:tcW w:w="1440" w:type="dxa"/>
          </w:tcPr>
          <w:p w14:paraId="135D72B4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Rasch (model not specified)</w:t>
            </w:r>
          </w:p>
          <w:p w14:paraId="03060EA1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1A6BE28C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37DEE735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7D58BEA2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509639A6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2E2E6541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PCA with VR</w:t>
            </w:r>
          </w:p>
        </w:tc>
        <w:tc>
          <w:tcPr>
            <w:tcW w:w="1440" w:type="dxa"/>
          </w:tcPr>
          <w:p w14:paraId="44EF412F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lastRenderedPageBreak/>
              <w:t xml:space="preserve">Excellent overall fit for most </w:t>
            </w:r>
            <w:r w:rsidRPr="00045F12">
              <w:rPr>
                <w:lang w:val="en-GB"/>
              </w:rPr>
              <w:lastRenderedPageBreak/>
              <w:t>items except for "Catching the bus when you have to stand" which the item was then deleted.</w:t>
            </w:r>
          </w:p>
          <w:p w14:paraId="29A4885C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280FF48F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  <w:p w14:paraId="0725E234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Two factors accounted for 29.43% and 23.25% of the variance respectively. Single factor able to explain 45.6% of the variance.</w:t>
            </w:r>
          </w:p>
          <w:p w14:paraId="5363869C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</w:tr>
      <w:tr w:rsidR="001A324A" w:rsidRPr="00045F12" w14:paraId="678CEAAE" w14:textId="77777777" w:rsidTr="00CD6A5E">
        <w:trPr>
          <w:trHeight w:val="292"/>
        </w:trPr>
        <w:tc>
          <w:tcPr>
            <w:tcW w:w="1527" w:type="dxa"/>
          </w:tcPr>
          <w:p w14:paraId="43768C97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lastRenderedPageBreak/>
              <w:t>FES-I</w:t>
            </w:r>
          </w:p>
        </w:tc>
        <w:tc>
          <w:tcPr>
            <w:tcW w:w="1353" w:type="dxa"/>
          </w:tcPr>
          <w:p w14:paraId="35FC6562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Yardley, 2005</w:t>
            </w:r>
          </w:p>
        </w:tc>
        <w:tc>
          <w:tcPr>
            <w:tcW w:w="1350" w:type="dxa"/>
          </w:tcPr>
          <w:p w14:paraId="2ECA22FD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English (UK)</w:t>
            </w:r>
          </w:p>
        </w:tc>
        <w:tc>
          <w:tcPr>
            <w:tcW w:w="810" w:type="dxa"/>
          </w:tcPr>
          <w:p w14:paraId="1BAD1B34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704</w:t>
            </w:r>
          </w:p>
        </w:tc>
        <w:tc>
          <w:tcPr>
            <w:tcW w:w="1260" w:type="dxa"/>
          </w:tcPr>
          <w:p w14:paraId="5AF964D1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72.9</w:t>
            </w:r>
          </w:p>
        </w:tc>
        <w:tc>
          <w:tcPr>
            <w:tcW w:w="1440" w:type="dxa"/>
          </w:tcPr>
          <w:p w14:paraId="2C9D9858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74.7 ± 7.1</w:t>
            </w:r>
          </w:p>
        </w:tc>
        <w:tc>
          <w:tcPr>
            <w:tcW w:w="900" w:type="dxa"/>
          </w:tcPr>
          <w:p w14:paraId="34EA2975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50" w:type="dxa"/>
          </w:tcPr>
          <w:p w14:paraId="16453DE8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53.4% in the past year</w:t>
            </w:r>
          </w:p>
        </w:tc>
        <w:tc>
          <w:tcPr>
            <w:tcW w:w="1081" w:type="dxa"/>
          </w:tcPr>
          <w:p w14:paraId="79649CEF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349" w:type="dxa"/>
          </w:tcPr>
          <w:p w14:paraId="23E56ABF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Very good</w:t>
            </w:r>
          </w:p>
          <w:p w14:paraId="333CE6D9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</w:p>
        </w:tc>
        <w:tc>
          <w:tcPr>
            <w:tcW w:w="1440" w:type="dxa"/>
          </w:tcPr>
          <w:p w14:paraId="4270D4EB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PCA with VR</w:t>
            </w:r>
          </w:p>
        </w:tc>
        <w:tc>
          <w:tcPr>
            <w:tcW w:w="1440" w:type="dxa"/>
          </w:tcPr>
          <w:p w14:paraId="7DA51D26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t>Two factors accounted for 36.8% and 32.7% of the variance respectively.</w:t>
            </w:r>
          </w:p>
          <w:p w14:paraId="425C3C95" w14:textId="77777777" w:rsidR="00045F12" w:rsidRPr="00045F12" w:rsidRDefault="00045F12" w:rsidP="009F174F">
            <w:pPr>
              <w:spacing w:line="240" w:lineRule="auto"/>
              <w:jc w:val="left"/>
              <w:rPr>
                <w:lang w:val="en-GB"/>
              </w:rPr>
            </w:pPr>
            <w:r w:rsidRPr="00045F12">
              <w:rPr>
                <w:lang w:val="en-GB"/>
              </w:rPr>
              <w:lastRenderedPageBreak/>
              <w:t>A single factor could account 61.7% of the variance</w:t>
            </w:r>
          </w:p>
        </w:tc>
      </w:tr>
    </w:tbl>
    <w:p w14:paraId="24140B26" w14:textId="78BCB251" w:rsidR="00045F12" w:rsidRDefault="00045F12" w:rsidP="00045F12"/>
    <w:p w14:paraId="7A11D69E" w14:textId="08EA76F7" w:rsidR="001A324A" w:rsidRPr="00B21A81" w:rsidRDefault="00B21A81" w:rsidP="00045F12">
      <w:pPr>
        <w:rPr>
          <w:rStyle w:val="Strong"/>
        </w:rPr>
      </w:pPr>
      <w:r w:rsidRPr="00B21A81">
        <w:rPr>
          <w:rStyle w:val="Strong"/>
        </w:rPr>
        <w:t>Footnotes</w:t>
      </w:r>
    </w:p>
    <w:p w14:paraId="2FFC86E6" w14:textId="61886361" w:rsidR="00045F12" w:rsidRDefault="001A324A" w:rsidP="00045F12">
      <w:r>
        <w:t>PAF:</w:t>
      </w:r>
      <w:r w:rsidR="00045F12">
        <w:t xml:space="preserve"> Principle Axis Facto</w:t>
      </w:r>
      <w:r>
        <w:t xml:space="preserve">ring. EFA: Exploratory Factor Analysis. OFR: Oblique Factor Rotation. CFA: Confirmatory Factor Analysis. RMSEA: Root Mean Square Error of Approximation. CFI: Confirmatory Fit Index. WRMR: Weighted Root Mean Square Residual. PCA: Principal Component Analysis. VR: varimax rotation. IRT: Item Response Theory. SGRM: </w:t>
      </w:r>
      <w:proofErr w:type="spellStart"/>
      <w:r>
        <w:t>Samejima’s</w:t>
      </w:r>
      <w:proofErr w:type="spellEnd"/>
      <w:r>
        <w:t xml:space="preserve"> graded response model. </w:t>
      </w:r>
      <w:r w:rsidR="00D06356">
        <w:t xml:space="preserve">PCM: Partial Credit Model. </w:t>
      </w:r>
    </w:p>
    <w:p w14:paraId="59CF8BEE" w14:textId="1261338F" w:rsidR="00045F12" w:rsidRPr="00045F12" w:rsidRDefault="00045F12">
      <w:pPr>
        <w:rPr>
          <w:rStyle w:val="Strong"/>
        </w:rPr>
      </w:pPr>
    </w:p>
    <w:sectPr w:rsidR="00045F12" w:rsidRPr="00045F12" w:rsidSect="00B6293F">
      <w:footerReference w:type="default" r:id="rId7"/>
      <w:pgSz w:w="16834" w:h="11909" w:orient="landscape" w:code="9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A1185" w14:textId="77777777" w:rsidR="00BF2E90" w:rsidRDefault="00BF2E90" w:rsidP="00576BDE">
      <w:pPr>
        <w:spacing w:line="240" w:lineRule="auto"/>
      </w:pPr>
      <w:r>
        <w:separator/>
      </w:r>
    </w:p>
  </w:endnote>
  <w:endnote w:type="continuationSeparator" w:id="0">
    <w:p w14:paraId="4F3AF9BD" w14:textId="77777777" w:rsidR="00BF2E90" w:rsidRDefault="00BF2E90" w:rsidP="00576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7417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A3AA88" w14:textId="62C4D425" w:rsidR="00475DBE" w:rsidRDefault="00475DBE" w:rsidP="00576BDE">
        <w:pPr>
          <w:pStyle w:val="Footer"/>
          <w:spacing w:line="480" w:lineRule="aut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67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EA11C1" w14:textId="77777777" w:rsidR="00475DBE" w:rsidRDefault="00475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11E7E" w14:textId="77777777" w:rsidR="00BF2E90" w:rsidRDefault="00BF2E90" w:rsidP="00576BDE">
      <w:pPr>
        <w:spacing w:line="240" w:lineRule="auto"/>
      </w:pPr>
      <w:r>
        <w:separator/>
      </w:r>
    </w:p>
  </w:footnote>
  <w:footnote w:type="continuationSeparator" w:id="0">
    <w:p w14:paraId="477306A2" w14:textId="77777777" w:rsidR="00BF2E90" w:rsidRDefault="00BF2E90" w:rsidP="00576B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50C"/>
    <w:multiLevelType w:val="hybridMultilevel"/>
    <w:tmpl w:val="EFC4B02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4019F"/>
    <w:multiLevelType w:val="hybridMultilevel"/>
    <w:tmpl w:val="AD7C07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C67D4A"/>
    <w:multiLevelType w:val="hybridMultilevel"/>
    <w:tmpl w:val="D9F87A6C"/>
    <w:lvl w:ilvl="0" w:tplc="F2E0280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43907"/>
    <w:multiLevelType w:val="hybridMultilevel"/>
    <w:tmpl w:val="370C2388"/>
    <w:lvl w:ilvl="0" w:tplc="F2E039F0">
      <w:start w:val="7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F5CA1"/>
    <w:multiLevelType w:val="hybridMultilevel"/>
    <w:tmpl w:val="0B4E1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83A99"/>
    <w:multiLevelType w:val="hybridMultilevel"/>
    <w:tmpl w:val="9C666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C3EED"/>
    <w:multiLevelType w:val="hybridMultilevel"/>
    <w:tmpl w:val="3F609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64F"/>
    <w:multiLevelType w:val="hybridMultilevel"/>
    <w:tmpl w:val="82F6B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9561F"/>
    <w:multiLevelType w:val="hybridMultilevel"/>
    <w:tmpl w:val="6E5A0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B2461"/>
    <w:multiLevelType w:val="hybridMultilevel"/>
    <w:tmpl w:val="801E5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940F0"/>
    <w:multiLevelType w:val="hybridMultilevel"/>
    <w:tmpl w:val="92C04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04F10"/>
    <w:multiLevelType w:val="hybridMultilevel"/>
    <w:tmpl w:val="759ED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A543E"/>
    <w:multiLevelType w:val="hybridMultilevel"/>
    <w:tmpl w:val="A06CFD14"/>
    <w:lvl w:ilvl="0" w:tplc="82EC2CD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04644"/>
    <w:multiLevelType w:val="hybridMultilevel"/>
    <w:tmpl w:val="E70A30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767AE4"/>
    <w:multiLevelType w:val="hybridMultilevel"/>
    <w:tmpl w:val="FDC054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2"/>
  </w:num>
  <w:num w:numId="9">
    <w:abstractNumId w:val="13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activeWritingStyle w:appName="MSWord" w:lang="fr-CA" w:vendorID="64" w:dllVersion="6" w:nlCheck="1" w:checkStyle="0"/>
  <w:activeWritingStyle w:appName="MSWord" w:lang="en-CA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0NjayMDY3MzA2MjNQ0lEKTi0uzszPAykwNK4FAPlaHU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1&lt;/FontSize&gt;&lt;ReflistTitle&gt;Reference List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twevee59xf5qeetflvtpd49299z2v2952w&quot;&gt;Shawn EndNote Library&lt;record-ids&gt;&lt;item&gt;579&lt;/item&gt;&lt;item&gt;850&lt;/item&gt;&lt;item&gt;886&lt;/item&gt;&lt;item&gt;3519&lt;/item&gt;&lt;item&gt;4259&lt;/item&gt;&lt;item&gt;4284&lt;/item&gt;&lt;item&gt;4970&lt;/item&gt;&lt;item&gt;7039&lt;/item&gt;&lt;item&gt;7144&lt;/item&gt;&lt;item&gt;7234&lt;/item&gt;&lt;item&gt;7403&lt;/item&gt;&lt;item&gt;7562&lt;/item&gt;&lt;item&gt;7703&lt;/item&gt;&lt;item&gt;7781&lt;/item&gt;&lt;item&gt;7841&lt;/item&gt;&lt;item&gt;7870&lt;/item&gt;&lt;item&gt;8004&lt;/item&gt;&lt;item&gt;8031&lt;/item&gt;&lt;item&gt;8180&lt;/item&gt;&lt;item&gt;8206&lt;/item&gt;&lt;item&gt;8239&lt;/item&gt;&lt;item&gt;8488&lt;/item&gt;&lt;item&gt;8691&lt;/item&gt;&lt;item&gt;8933&lt;/item&gt;&lt;item&gt;8937&lt;/item&gt;&lt;item&gt;8941&lt;/item&gt;&lt;item&gt;8959&lt;/item&gt;&lt;item&gt;8964&lt;/item&gt;&lt;item&gt;9132&lt;/item&gt;&lt;item&gt;9794&lt;/item&gt;&lt;item&gt;9795&lt;/item&gt;&lt;item&gt;10046&lt;/item&gt;&lt;item&gt;10187&lt;/item&gt;&lt;item&gt;10202&lt;/item&gt;&lt;item&gt;10323&lt;/item&gt;&lt;item&gt;11182&lt;/item&gt;&lt;item&gt;11407&lt;/item&gt;&lt;item&gt;12978&lt;/item&gt;&lt;item&gt;13608&lt;/item&gt;&lt;item&gt;14678&lt;/item&gt;&lt;item&gt;23349&lt;/item&gt;&lt;item&gt;23350&lt;/item&gt;&lt;item&gt;23359&lt;/item&gt;&lt;item&gt;23410&lt;/item&gt;&lt;item&gt;23424&lt;/item&gt;&lt;/record-ids&gt;&lt;/item&gt;&lt;/Libraries&gt;"/>
  </w:docVars>
  <w:rsids>
    <w:rsidRoot w:val="004F3CF4"/>
    <w:rsid w:val="00000486"/>
    <w:rsid w:val="0000137D"/>
    <w:rsid w:val="0000274B"/>
    <w:rsid w:val="0000336B"/>
    <w:rsid w:val="000044EF"/>
    <w:rsid w:val="00005F65"/>
    <w:rsid w:val="00010B68"/>
    <w:rsid w:val="00011263"/>
    <w:rsid w:val="00011B5F"/>
    <w:rsid w:val="000126B2"/>
    <w:rsid w:val="000126E2"/>
    <w:rsid w:val="00012950"/>
    <w:rsid w:val="00012A3A"/>
    <w:rsid w:val="00015DB3"/>
    <w:rsid w:val="0001675F"/>
    <w:rsid w:val="000224A0"/>
    <w:rsid w:val="0002329A"/>
    <w:rsid w:val="0002333A"/>
    <w:rsid w:val="00024397"/>
    <w:rsid w:val="0002581E"/>
    <w:rsid w:val="0003098C"/>
    <w:rsid w:val="00030E3A"/>
    <w:rsid w:val="00030E42"/>
    <w:rsid w:val="000318EC"/>
    <w:rsid w:val="00031E3F"/>
    <w:rsid w:val="000330C1"/>
    <w:rsid w:val="00033367"/>
    <w:rsid w:val="00034B28"/>
    <w:rsid w:val="00036997"/>
    <w:rsid w:val="00037D18"/>
    <w:rsid w:val="000402FA"/>
    <w:rsid w:val="000414C9"/>
    <w:rsid w:val="00041C7F"/>
    <w:rsid w:val="00041D7F"/>
    <w:rsid w:val="00043AEB"/>
    <w:rsid w:val="00044130"/>
    <w:rsid w:val="000443FD"/>
    <w:rsid w:val="00045F12"/>
    <w:rsid w:val="000471E3"/>
    <w:rsid w:val="000501F7"/>
    <w:rsid w:val="0005134F"/>
    <w:rsid w:val="00051714"/>
    <w:rsid w:val="00051E7B"/>
    <w:rsid w:val="00053C23"/>
    <w:rsid w:val="00054A50"/>
    <w:rsid w:val="00054BA0"/>
    <w:rsid w:val="00055A28"/>
    <w:rsid w:val="00056DA5"/>
    <w:rsid w:val="00056E9B"/>
    <w:rsid w:val="00057709"/>
    <w:rsid w:val="0006080B"/>
    <w:rsid w:val="0006094B"/>
    <w:rsid w:val="0006162A"/>
    <w:rsid w:val="00062E7F"/>
    <w:rsid w:val="00063722"/>
    <w:rsid w:val="00063F63"/>
    <w:rsid w:val="00064C09"/>
    <w:rsid w:val="00064CDC"/>
    <w:rsid w:val="000651C1"/>
    <w:rsid w:val="00065FAE"/>
    <w:rsid w:val="00067593"/>
    <w:rsid w:val="00070A5A"/>
    <w:rsid w:val="0007382E"/>
    <w:rsid w:val="00073FAC"/>
    <w:rsid w:val="00074596"/>
    <w:rsid w:val="00075C94"/>
    <w:rsid w:val="00076319"/>
    <w:rsid w:val="000765A8"/>
    <w:rsid w:val="0007689F"/>
    <w:rsid w:val="00076E13"/>
    <w:rsid w:val="000770AB"/>
    <w:rsid w:val="00077168"/>
    <w:rsid w:val="00083477"/>
    <w:rsid w:val="00083931"/>
    <w:rsid w:val="00083FEF"/>
    <w:rsid w:val="00084C2E"/>
    <w:rsid w:val="00090148"/>
    <w:rsid w:val="0009128D"/>
    <w:rsid w:val="00091B03"/>
    <w:rsid w:val="000965CF"/>
    <w:rsid w:val="00097155"/>
    <w:rsid w:val="000973A1"/>
    <w:rsid w:val="000A1DF2"/>
    <w:rsid w:val="000A2115"/>
    <w:rsid w:val="000A4352"/>
    <w:rsid w:val="000A4567"/>
    <w:rsid w:val="000A6F88"/>
    <w:rsid w:val="000B0B2F"/>
    <w:rsid w:val="000B3B1D"/>
    <w:rsid w:val="000B3DF7"/>
    <w:rsid w:val="000B3EAD"/>
    <w:rsid w:val="000B4E6B"/>
    <w:rsid w:val="000B4F76"/>
    <w:rsid w:val="000B5054"/>
    <w:rsid w:val="000B590A"/>
    <w:rsid w:val="000B6AF6"/>
    <w:rsid w:val="000B6C42"/>
    <w:rsid w:val="000C181D"/>
    <w:rsid w:val="000C1A7D"/>
    <w:rsid w:val="000C5D28"/>
    <w:rsid w:val="000D4F08"/>
    <w:rsid w:val="000E0304"/>
    <w:rsid w:val="000E1F3D"/>
    <w:rsid w:val="000E3243"/>
    <w:rsid w:val="000E375D"/>
    <w:rsid w:val="000E608D"/>
    <w:rsid w:val="000E7C83"/>
    <w:rsid w:val="000E7F78"/>
    <w:rsid w:val="000F03E9"/>
    <w:rsid w:val="000F5F4D"/>
    <w:rsid w:val="000F6356"/>
    <w:rsid w:val="000F6E1F"/>
    <w:rsid w:val="000F756A"/>
    <w:rsid w:val="001002E7"/>
    <w:rsid w:val="001012B5"/>
    <w:rsid w:val="00101631"/>
    <w:rsid w:val="00101E5F"/>
    <w:rsid w:val="00102FE6"/>
    <w:rsid w:val="00105CEB"/>
    <w:rsid w:val="001069FE"/>
    <w:rsid w:val="00107EC1"/>
    <w:rsid w:val="00107FD2"/>
    <w:rsid w:val="00110171"/>
    <w:rsid w:val="001120B5"/>
    <w:rsid w:val="001130B7"/>
    <w:rsid w:val="00113DC9"/>
    <w:rsid w:val="00116463"/>
    <w:rsid w:val="001212FA"/>
    <w:rsid w:val="00121309"/>
    <w:rsid w:val="00121AC5"/>
    <w:rsid w:val="00122EA5"/>
    <w:rsid w:val="0012371A"/>
    <w:rsid w:val="00124673"/>
    <w:rsid w:val="001253C6"/>
    <w:rsid w:val="001254A2"/>
    <w:rsid w:val="0012554F"/>
    <w:rsid w:val="001262F2"/>
    <w:rsid w:val="00127B9A"/>
    <w:rsid w:val="00130CED"/>
    <w:rsid w:val="0013176F"/>
    <w:rsid w:val="00132812"/>
    <w:rsid w:val="00132980"/>
    <w:rsid w:val="001336EB"/>
    <w:rsid w:val="00133768"/>
    <w:rsid w:val="001338D2"/>
    <w:rsid w:val="001346CD"/>
    <w:rsid w:val="00137AC1"/>
    <w:rsid w:val="00137EAC"/>
    <w:rsid w:val="00141B4C"/>
    <w:rsid w:val="00144583"/>
    <w:rsid w:val="00146B8B"/>
    <w:rsid w:val="00147D66"/>
    <w:rsid w:val="00151D62"/>
    <w:rsid w:val="001535D0"/>
    <w:rsid w:val="00153A6F"/>
    <w:rsid w:val="001553AE"/>
    <w:rsid w:val="00155F19"/>
    <w:rsid w:val="001565D5"/>
    <w:rsid w:val="001569CE"/>
    <w:rsid w:val="00157A89"/>
    <w:rsid w:val="00157F52"/>
    <w:rsid w:val="0016046D"/>
    <w:rsid w:val="00160C4B"/>
    <w:rsid w:val="00160E5B"/>
    <w:rsid w:val="00161ADC"/>
    <w:rsid w:val="00162DD5"/>
    <w:rsid w:val="00162DE5"/>
    <w:rsid w:val="001635F8"/>
    <w:rsid w:val="001645E8"/>
    <w:rsid w:val="0016576B"/>
    <w:rsid w:val="001659D0"/>
    <w:rsid w:val="00166B0B"/>
    <w:rsid w:val="00167668"/>
    <w:rsid w:val="00170EAF"/>
    <w:rsid w:val="001754C8"/>
    <w:rsid w:val="001757E1"/>
    <w:rsid w:val="00180FB2"/>
    <w:rsid w:val="00181170"/>
    <w:rsid w:val="00181CCB"/>
    <w:rsid w:val="001862D3"/>
    <w:rsid w:val="001873B6"/>
    <w:rsid w:val="0018740E"/>
    <w:rsid w:val="0018787E"/>
    <w:rsid w:val="001902F1"/>
    <w:rsid w:val="00191266"/>
    <w:rsid w:val="001914AD"/>
    <w:rsid w:val="00191DED"/>
    <w:rsid w:val="00194C36"/>
    <w:rsid w:val="00197D42"/>
    <w:rsid w:val="001A16CD"/>
    <w:rsid w:val="001A186D"/>
    <w:rsid w:val="001A3249"/>
    <w:rsid w:val="001A324A"/>
    <w:rsid w:val="001A4BB4"/>
    <w:rsid w:val="001A5327"/>
    <w:rsid w:val="001A634F"/>
    <w:rsid w:val="001A7EA6"/>
    <w:rsid w:val="001B35B5"/>
    <w:rsid w:val="001B38BC"/>
    <w:rsid w:val="001B3A56"/>
    <w:rsid w:val="001B5CF0"/>
    <w:rsid w:val="001B63EF"/>
    <w:rsid w:val="001B79D4"/>
    <w:rsid w:val="001B7E4E"/>
    <w:rsid w:val="001C0B06"/>
    <w:rsid w:val="001C13DE"/>
    <w:rsid w:val="001C3395"/>
    <w:rsid w:val="001C3673"/>
    <w:rsid w:val="001C3A3A"/>
    <w:rsid w:val="001C5B01"/>
    <w:rsid w:val="001C734B"/>
    <w:rsid w:val="001C7C95"/>
    <w:rsid w:val="001D197C"/>
    <w:rsid w:val="001D22B7"/>
    <w:rsid w:val="001D4673"/>
    <w:rsid w:val="001E1470"/>
    <w:rsid w:val="001E3B91"/>
    <w:rsid w:val="001E5D74"/>
    <w:rsid w:val="001E6215"/>
    <w:rsid w:val="001F009D"/>
    <w:rsid w:val="001F1913"/>
    <w:rsid w:val="001F3E2C"/>
    <w:rsid w:val="001F47D5"/>
    <w:rsid w:val="001F4EFD"/>
    <w:rsid w:val="001F540E"/>
    <w:rsid w:val="001F5B52"/>
    <w:rsid w:val="001F6E49"/>
    <w:rsid w:val="001F7491"/>
    <w:rsid w:val="0021097B"/>
    <w:rsid w:val="00211581"/>
    <w:rsid w:val="002118AB"/>
    <w:rsid w:val="00213BBE"/>
    <w:rsid w:val="00213C22"/>
    <w:rsid w:val="00215801"/>
    <w:rsid w:val="00217040"/>
    <w:rsid w:val="00221DD7"/>
    <w:rsid w:val="0022274B"/>
    <w:rsid w:val="00223F18"/>
    <w:rsid w:val="00224190"/>
    <w:rsid w:val="00227856"/>
    <w:rsid w:val="00227C12"/>
    <w:rsid w:val="00230BE6"/>
    <w:rsid w:val="00232EBC"/>
    <w:rsid w:val="00233787"/>
    <w:rsid w:val="00236024"/>
    <w:rsid w:val="00241D5A"/>
    <w:rsid w:val="00242DC0"/>
    <w:rsid w:val="0024358B"/>
    <w:rsid w:val="002452F2"/>
    <w:rsid w:val="00245C9C"/>
    <w:rsid w:val="002477A4"/>
    <w:rsid w:val="002515B9"/>
    <w:rsid w:val="002517D0"/>
    <w:rsid w:val="002520E8"/>
    <w:rsid w:val="00254A9E"/>
    <w:rsid w:val="00254D8A"/>
    <w:rsid w:val="00255D07"/>
    <w:rsid w:val="00256D17"/>
    <w:rsid w:val="00257D36"/>
    <w:rsid w:val="002614A6"/>
    <w:rsid w:val="00263849"/>
    <w:rsid w:val="002653FA"/>
    <w:rsid w:val="00266385"/>
    <w:rsid w:val="0026654A"/>
    <w:rsid w:val="002667AE"/>
    <w:rsid w:val="002669B3"/>
    <w:rsid w:val="00271045"/>
    <w:rsid w:val="00274064"/>
    <w:rsid w:val="0027416D"/>
    <w:rsid w:val="002767A1"/>
    <w:rsid w:val="0027704F"/>
    <w:rsid w:val="00277327"/>
    <w:rsid w:val="00280198"/>
    <w:rsid w:val="002802E5"/>
    <w:rsid w:val="002817D6"/>
    <w:rsid w:val="00281A54"/>
    <w:rsid w:val="00282F89"/>
    <w:rsid w:val="00283638"/>
    <w:rsid w:val="00283B15"/>
    <w:rsid w:val="0028526B"/>
    <w:rsid w:val="00285C44"/>
    <w:rsid w:val="0028618F"/>
    <w:rsid w:val="0028724E"/>
    <w:rsid w:val="0029323F"/>
    <w:rsid w:val="00293AAB"/>
    <w:rsid w:val="00293E2E"/>
    <w:rsid w:val="00297634"/>
    <w:rsid w:val="00297679"/>
    <w:rsid w:val="0029784A"/>
    <w:rsid w:val="00297BFA"/>
    <w:rsid w:val="002A0B54"/>
    <w:rsid w:val="002A242A"/>
    <w:rsid w:val="002A4FCA"/>
    <w:rsid w:val="002A5045"/>
    <w:rsid w:val="002A7968"/>
    <w:rsid w:val="002B028F"/>
    <w:rsid w:val="002B0F8B"/>
    <w:rsid w:val="002B2FD9"/>
    <w:rsid w:val="002B40F4"/>
    <w:rsid w:val="002B50CA"/>
    <w:rsid w:val="002B622C"/>
    <w:rsid w:val="002C1131"/>
    <w:rsid w:val="002C3AD6"/>
    <w:rsid w:val="002C4B66"/>
    <w:rsid w:val="002C66D4"/>
    <w:rsid w:val="002C7BCA"/>
    <w:rsid w:val="002D16AE"/>
    <w:rsid w:val="002D2278"/>
    <w:rsid w:val="002D2A0C"/>
    <w:rsid w:val="002D2E98"/>
    <w:rsid w:val="002D5863"/>
    <w:rsid w:val="002D7E4E"/>
    <w:rsid w:val="002D7FB4"/>
    <w:rsid w:val="002E0200"/>
    <w:rsid w:val="002E11C4"/>
    <w:rsid w:val="002E1949"/>
    <w:rsid w:val="002E2292"/>
    <w:rsid w:val="002E2B71"/>
    <w:rsid w:val="002E43E2"/>
    <w:rsid w:val="002E4B68"/>
    <w:rsid w:val="002E4BD2"/>
    <w:rsid w:val="002E675C"/>
    <w:rsid w:val="002E68F7"/>
    <w:rsid w:val="002E6983"/>
    <w:rsid w:val="002E7021"/>
    <w:rsid w:val="002E70FC"/>
    <w:rsid w:val="002E7947"/>
    <w:rsid w:val="002E7C42"/>
    <w:rsid w:val="002F218B"/>
    <w:rsid w:val="002F21EB"/>
    <w:rsid w:val="002F31B7"/>
    <w:rsid w:val="00300899"/>
    <w:rsid w:val="003017F7"/>
    <w:rsid w:val="003020E3"/>
    <w:rsid w:val="00302A8D"/>
    <w:rsid w:val="00307761"/>
    <w:rsid w:val="00311C6C"/>
    <w:rsid w:val="00311E4A"/>
    <w:rsid w:val="0031364D"/>
    <w:rsid w:val="003145FB"/>
    <w:rsid w:val="00317732"/>
    <w:rsid w:val="00317C4C"/>
    <w:rsid w:val="0032063F"/>
    <w:rsid w:val="00323070"/>
    <w:rsid w:val="003263F7"/>
    <w:rsid w:val="00326A84"/>
    <w:rsid w:val="00326FEC"/>
    <w:rsid w:val="003316B7"/>
    <w:rsid w:val="0033170A"/>
    <w:rsid w:val="0033179E"/>
    <w:rsid w:val="003328DD"/>
    <w:rsid w:val="00332B08"/>
    <w:rsid w:val="003331C8"/>
    <w:rsid w:val="00333D8F"/>
    <w:rsid w:val="0033407B"/>
    <w:rsid w:val="003347DA"/>
    <w:rsid w:val="0033483D"/>
    <w:rsid w:val="00335041"/>
    <w:rsid w:val="00336D9D"/>
    <w:rsid w:val="003401E9"/>
    <w:rsid w:val="00343B5D"/>
    <w:rsid w:val="00344D17"/>
    <w:rsid w:val="003466A3"/>
    <w:rsid w:val="00347A8B"/>
    <w:rsid w:val="00347BCA"/>
    <w:rsid w:val="00347DE7"/>
    <w:rsid w:val="00351D87"/>
    <w:rsid w:val="00353472"/>
    <w:rsid w:val="0035412E"/>
    <w:rsid w:val="003560B3"/>
    <w:rsid w:val="00357C3B"/>
    <w:rsid w:val="00357E61"/>
    <w:rsid w:val="0036346F"/>
    <w:rsid w:val="003641D8"/>
    <w:rsid w:val="00370077"/>
    <w:rsid w:val="00374A9C"/>
    <w:rsid w:val="00374AFC"/>
    <w:rsid w:val="00374C63"/>
    <w:rsid w:val="00374F8C"/>
    <w:rsid w:val="00375210"/>
    <w:rsid w:val="00380546"/>
    <w:rsid w:val="00380C4D"/>
    <w:rsid w:val="00382E1B"/>
    <w:rsid w:val="00383657"/>
    <w:rsid w:val="00383CEB"/>
    <w:rsid w:val="003844C7"/>
    <w:rsid w:val="00384701"/>
    <w:rsid w:val="00384A5D"/>
    <w:rsid w:val="003857C7"/>
    <w:rsid w:val="00390E33"/>
    <w:rsid w:val="00392A92"/>
    <w:rsid w:val="00392E24"/>
    <w:rsid w:val="00393939"/>
    <w:rsid w:val="00393D61"/>
    <w:rsid w:val="003941DE"/>
    <w:rsid w:val="00394B17"/>
    <w:rsid w:val="00395A7A"/>
    <w:rsid w:val="00395B26"/>
    <w:rsid w:val="0039704F"/>
    <w:rsid w:val="00397AC7"/>
    <w:rsid w:val="00397BD5"/>
    <w:rsid w:val="00397F02"/>
    <w:rsid w:val="003A01A9"/>
    <w:rsid w:val="003A2966"/>
    <w:rsid w:val="003A550C"/>
    <w:rsid w:val="003A744C"/>
    <w:rsid w:val="003B0424"/>
    <w:rsid w:val="003B178E"/>
    <w:rsid w:val="003B264B"/>
    <w:rsid w:val="003B3059"/>
    <w:rsid w:val="003B35E0"/>
    <w:rsid w:val="003B3D16"/>
    <w:rsid w:val="003B5215"/>
    <w:rsid w:val="003B55AF"/>
    <w:rsid w:val="003B5D9B"/>
    <w:rsid w:val="003B6EEE"/>
    <w:rsid w:val="003B76C9"/>
    <w:rsid w:val="003C056A"/>
    <w:rsid w:val="003C081C"/>
    <w:rsid w:val="003C1D73"/>
    <w:rsid w:val="003C2DAB"/>
    <w:rsid w:val="003C3EFC"/>
    <w:rsid w:val="003C4FE9"/>
    <w:rsid w:val="003C6052"/>
    <w:rsid w:val="003C74F0"/>
    <w:rsid w:val="003D4948"/>
    <w:rsid w:val="003D49A7"/>
    <w:rsid w:val="003D540F"/>
    <w:rsid w:val="003D6164"/>
    <w:rsid w:val="003E01DE"/>
    <w:rsid w:val="003E0BAE"/>
    <w:rsid w:val="003E0EF6"/>
    <w:rsid w:val="003E36EB"/>
    <w:rsid w:val="003E38F5"/>
    <w:rsid w:val="003E3CFE"/>
    <w:rsid w:val="003E676F"/>
    <w:rsid w:val="003F1061"/>
    <w:rsid w:val="003F2AF0"/>
    <w:rsid w:val="003F33D3"/>
    <w:rsid w:val="003F62C2"/>
    <w:rsid w:val="003F6969"/>
    <w:rsid w:val="004003CE"/>
    <w:rsid w:val="004005AD"/>
    <w:rsid w:val="0040067F"/>
    <w:rsid w:val="00400A98"/>
    <w:rsid w:val="00401C6F"/>
    <w:rsid w:val="00401CFA"/>
    <w:rsid w:val="00401E0D"/>
    <w:rsid w:val="00401E30"/>
    <w:rsid w:val="00402179"/>
    <w:rsid w:val="00404FB5"/>
    <w:rsid w:val="00407CA7"/>
    <w:rsid w:val="004103CB"/>
    <w:rsid w:val="0041599B"/>
    <w:rsid w:val="004167D9"/>
    <w:rsid w:val="00417D6F"/>
    <w:rsid w:val="004206BC"/>
    <w:rsid w:val="00422786"/>
    <w:rsid w:val="00422B7C"/>
    <w:rsid w:val="00423B21"/>
    <w:rsid w:val="00424277"/>
    <w:rsid w:val="00424292"/>
    <w:rsid w:val="004259B1"/>
    <w:rsid w:val="0042656D"/>
    <w:rsid w:val="00427159"/>
    <w:rsid w:val="00427BE0"/>
    <w:rsid w:val="004310BF"/>
    <w:rsid w:val="00431F38"/>
    <w:rsid w:val="004320AB"/>
    <w:rsid w:val="00434E42"/>
    <w:rsid w:val="00435CD7"/>
    <w:rsid w:val="00435E9F"/>
    <w:rsid w:val="004363A7"/>
    <w:rsid w:val="00436531"/>
    <w:rsid w:val="00441078"/>
    <w:rsid w:val="0044111E"/>
    <w:rsid w:val="00441729"/>
    <w:rsid w:val="004418BD"/>
    <w:rsid w:val="0044302E"/>
    <w:rsid w:val="00443D70"/>
    <w:rsid w:val="004442DB"/>
    <w:rsid w:val="00444519"/>
    <w:rsid w:val="00446FC6"/>
    <w:rsid w:val="00447DAD"/>
    <w:rsid w:val="004516E2"/>
    <w:rsid w:val="00453445"/>
    <w:rsid w:val="00455990"/>
    <w:rsid w:val="0045695A"/>
    <w:rsid w:val="00457D42"/>
    <w:rsid w:val="00460334"/>
    <w:rsid w:val="00463321"/>
    <w:rsid w:val="004642CE"/>
    <w:rsid w:val="0046531F"/>
    <w:rsid w:val="004655E0"/>
    <w:rsid w:val="00466735"/>
    <w:rsid w:val="00466F81"/>
    <w:rsid w:val="00466FC8"/>
    <w:rsid w:val="00467375"/>
    <w:rsid w:val="0047007F"/>
    <w:rsid w:val="00471B5D"/>
    <w:rsid w:val="00472369"/>
    <w:rsid w:val="00475DBE"/>
    <w:rsid w:val="00476A59"/>
    <w:rsid w:val="00477813"/>
    <w:rsid w:val="00477A6C"/>
    <w:rsid w:val="0048154E"/>
    <w:rsid w:val="00481739"/>
    <w:rsid w:val="00484A1A"/>
    <w:rsid w:val="004858A3"/>
    <w:rsid w:val="00485D4C"/>
    <w:rsid w:val="004874BD"/>
    <w:rsid w:val="00491178"/>
    <w:rsid w:val="00493564"/>
    <w:rsid w:val="0049441D"/>
    <w:rsid w:val="004949DE"/>
    <w:rsid w:val="0049542F"/>
    <w:rsid w:val="0049620F"/>
    <w:rsid w:val="00497B32"/>
    <w:rsid w:val="00497DF3"/>
    <w:rsid w:val="004A16C6"/>
    <w:rsid w:val="004A1F54"/>
    <w:rsid w:val="004A3B91"/>
    <w:rsid w:val="004A3CA4"/>
    <w:rsid w:val="004A459B"/>
    <w:rsid w:val="004A578D"/>
    <w:rsid w:val="004A7998"/>
    <w:rsid w:val="004B2D2C"/>
    <w:rsid w:val="004B2DC5"/>
    <w:rsid w:val="004B410C"/>
    <w:rsid w:val="004B58B6"/>
    <w:rsid w:val="004B630E"/>
    <w:rsid w:val="004C00D0"/>
    <w:rsid w:val="004C043B"/>
    <w:rsid w:val="004C26D4"/>
    <w:rsid w:val="004C52AC"/>
    <w:rsid w:val="004C5AE8"/>
    <w:rsid w:val="004C6548"/>
    <w:rsid w:val="004C67E4"/>
    <w:rsid w:val="004C6D64"/>
    <w:rsid w:val="004D1093"/>
    <w:rsid w:val="004D162E"/>
    <w:rsid w:val="004D29C0"/>
    <w:rsid w:val="004D726C"/>
    <w:rsid w:val="004D734E"/>
    <w:rsid w:val="004E1CA4"/>
    <w:rsid w:val="004E2A3C"/>
    <w:rsid w:val="004E4097"/>
    <w:rsid w:val="004E431E"/>
    <w:rsid w:val="004E611F"/>
    <w:rsid w:val="004E6834"/>
    <w:rsid w:val="004E7246"/>
    <w:rsid w:val="004E7D7E"/>
    <w:rsid w:val="004E7E47"/>
    <w:rsid w:val="004E7EBF"/>
    <w:rsid w:val="004F0A20"/>
    <w:rsid w:val="004F3CF4"/>
    <w:rsid w:val="004F4D79"/>
    <w:rsid w:val="004F5BBF"/>
    <w:rsid w:val="004F7A7F"/>
    <w:rsid w:val="0050147C"/>
    <w:rsid w:val="0050208B"/>
    <w:rsid w:val="00502DE9"/>
    <w:rsid w:val="00504995"/>
    <w:rsid w:val="00504A39"/>
    <w:rsid w:val="00505AD0"/>
    <w:rsid w:val="00505C6D"/>
    <w:rsid w:val="00505DCB"/>
    <w:rsid w:val="005102DE"/>
    <w:rsid w:val="005104BF"/>
    <w:rsid w:val="0051266E"/>
    <w:rsid w:val="00514224"/>
    <w:rsid w:val="005159C8"/>
    <w:rsid w:val="0051691F"/>
    <w:rsid w:val="00517958"/>
    <w:rsid w:val="00522658"/>
    <w:rsid w:val="00524352"/>
    <w:rsid w:val="005248BA"/>
    <w:rsid w:val="00524D09"/>
    <w:rsid w:val="005276CB"/>
    <w:rsid w:val="00530739"/>
    <w:rsid w:val="00531E3C"/>
    <w:rsid w:val="0053398A"/>
    <w:rsid w:val="00533CAB"/>
    <w:rsid w:val="0053436E"/>
    <w:rsid w:val="00535A38"/>
    <w:rsid w:val="005379D3"/>
    <w:rsid w:val="00542451"/>
    <w:rsid w:val="0054257E"/>
    <w:rsid w:val="00543211"/>
    <w:rsid w:val="005443C0"/>
    <w:rsid w:val="005473BE"/>
    <w:rsid w:val="0054792E"/>
    <w:rsid w:val="005513A2"/>
    <w:rsid w:val="00551CEC"/>
    <w:rsid w:val="0055224F"/>
    <w:rsid w:val="00552D8E"/>
    <w:rsid w:val="005534FF"/>
    <w:rsid w:val="005543B5"/>
    <w:rsid w:val="00556393"/>
    <w:rsid w:val="005579CD"/>
    <w:rsid w:val="00564CCB"/>
    <w:rsid w:val="00565049"/>
    <w:rsid w:val="00566117"/>
    <w:rsid w:val="00566E7E"/>
    <w:rsid w:val="00570129"/>
    <w:rsid w:val="005710BC"/>
    <w:rsid w:val="005740FF"/>
    <w:rsid w:val="00574793"/>
    <w:rsid w:val="00574B05"/>
    <w:rsid w:val="005758BE"/>
    <w:rsid w:val="00576B62"/>
    <w:rsid w:val="00576BDE"/>
    <w:rsid w:val="00577AD0"/>
    <w:rsid w:val="0058236A"/>
    <w:rsid w:val="00582E91"/>
    <w:rsid w:val="00583268"/>
    <w:rsid w:val="005846AF"/>
    <w:rsid w:val="00584A91"/>
    <w:rsid w:val="00586D60"/>
    <w:rsid w:val="005871C9"/>
    <w:rsid w:val="00587B1C"/>
    <w:rsid w:val="00591B1D"/>
    <w:rsid w:val="005935D6"/>
    <w:rsid w:val="00594310"/>
    <w:rsid w:val="00596C5B"/>
    <w:rsid w:val="005A0C54"/>
    <w:rsid w:val="005A1598"/>
    <w:rsid w:val="005A2C61"/>
    <w:rsid w:val="005A2F1B"/>
    <w:rsid w:val="005A3BA5"/>
    <w:rsid w:val="005A6614"/>
    <w:rsid w:val="005A7396"/>
    <w:rsid w:val="005A76E2"/>
    <w:rsid w:val="005A7DB3"/>
    <w:rsid w:val="005B0D41"/>
    <w:rsid w:val="005B2263"/>
    <w:rsid w:val="005B2320"/>
    <w:rsid w:val="005B241C"/>
    <w:rsid w:val="005B2DCD"/>
    <w:rsid w:val="005B307B"/>
    <w:rsid w:val="005B3CB9"/>
    <w:rsid w:val="005B5306"/>
    <w:rsid w:val="005B5DCD"/>
    <w:rsid w:val="005B5DF3"/>
    <w:rsid w:val="005B677F"/>
    <w:rsid w:val="005B755A"/>
    <w:rsid w:val="005C27EE"/>
    <w:rsid w:val="005C4FD7"/>
    <w:rsid w:val="005C52FE"/>
    <w:rsid w:val="005C5776"/>
    <w:rsid w:val="005C5E98"/>
    <w:rsid w:val="005C6E20"/>
    <w:rsid w:val="005C7667"/>
    <w:rsid w:val="005D0816"/>
    <w:rsid w:val="005D09A3"/>
    <w:rsid w:val="005D1DE7"/>
    <w:rsid w:val="005D302A"/>
    <w:rsid w:val="005D3F2F"/>
    <w:rsid w:val="005D4357"/>
    <w:rsid w:val="005D4E91"/>
    <w:rsid w:val="005D6C12"/>
    <w:rsid w:val="005E0D28"/>
    <w:rsid w:val="005E1830"/>
    <w:rsid w:val="005E1990"/>
    <w:rsid w:val="005E2D87"/>
    <w:rsid w:val="005E31B0"/>
    <w:rsid w:val="005E337B"/>
    <w:rsid w:val="005E361B"/>
    <w:rsid w:val="005E3EC2"/>
    <w:rsid w:val="005E5153"/>
    <w:rsid w:val="005E7FCB"/>
    <w:rsid w:val="005F0A2D"/>
    <w:rsid w:val="005F2510"/>
    <w:rsid w:val="005F3D89"/>
    <w:rsid w:val="005F4CDE"/>
    <w:rsid w:val="005F5884"/>
    <w:rsid w:val="005F5DEB"/>
    <w:rsid w:val="005F6A2A"/>
    <w:rsid w:val="00600727"/>
    <w:rsid w:val="00600B3E"/>
    <w:rsid w:val="006022FB"/>
    <w:rsid w:val="00603086"/>
    <w:rsid w:val="00603C43"/>
    <w:rsid w:val="0060439E"/>
    <w:rsid w:val="00605226"/>
    <w:rsid w:val="006102AC"/>
    <w:rsid w:val="00610A38"/>
    <w:rsid w:val="00611E84"/>
    <w:rsid w:val="00611F2E"/>
    <w:rsid w:val="0061349A"/>
    <w:rsid w:val="006143BD"/>
    <w:rsid w:val="006148DF"/>
    <w:rsid w:val="00616C3D"/>
    <w:rsid w:val="0062001A"/>
    <w:rsid w:val="006232FB"/>
    <w:rsid w:val="00623BB3"/>
    <w:rsid w:val="00623F37"/>
    <w:rsid w:val="006254FE"/>
    <w:rsid w:val="006259D1"/>
    <w:rsid w:val="00627A67"/>
    <w:rsid w:val="0063219C"/>
    <w:rsid w:val="006334F7"/>
    <w:rsid w:val="006337AF"/>
    <w:rsid w:val="00633AC7"/>
    <w:rsid w:val="00634BD3"/>
    <w:rsid w:val="006356BD"/>
    <w:rsid w:val="00635C53"/>
    <w:rsid w:val="006360B5"/>
    <w:rsid w:val="00636685"/>
    <w:rsid w:val="00636735"/>
    <w:rsid w:val="00636FCC"/>
    <w:rsid w:val="006403A3"/>
    <w:rsid w:val="006404C4"/>
    <w:rsid w:val="00640AFF"/>
    <w:rsid w:val="00640E77"/>
    <w:rsid w:val="006410E1"/>
    <w:rsid w:val="00641B72"/>
    <w:rsid w:val="00641DCA"/>
    <w:rsid w:val="00643A32"/>
    <w:rsid w:val="006442EF"/>
    <w:rsid w:val="006453B1"/>
    <w:rsid w:val="006456E5"/>
    <w:rsid w:val="00650723"/>
    <w:rsid w:val="00651B91"/>
    <w:rsid w:val="00652152"/>
    <w:rsid w:val="006538E3"/>
    <w:rsid w:val="006567CC"/>
    <w:rsid w:val="00657D75"/>
    <w:rsid w:val="00660D52"/>
    <w:rsid w:val="006612F8"/>
    <w:rsid w:val="00663A0A"/>
    <w:rsid w:val="006640B5"/>
    <w:rsid w:val="0066456E"/>
    <w:rsid w:val="00670950"/>
    <w:rsid w:val="00671706"/>
    <w:rsid w:val="006723B7"/>
    <w:rsid w:val="00672BCA"/>
    <w:rsid w:val="006730FF"/>
    <w:rsid w:val="00673906"/>
    <w:rsid w:val="00675E4E"/>
    <w:rsid w:val="00676F90"/>
    <w:rsid w:val="00680229"/>
    <w:rsid w:val="006802A0"/>
    <w:rsid w:val="00683409"/>
    <w:rsid w:val="00684309"/>
    <w:rsid w:val="006846D6"/>
    <w:rsid w:val="00685A5F"/>
    <w:rsid w:val="00686D7C"/>
    <w:rsid w:val="00687311"/>
    <w:rsid w:val="006877FA"/>
    <w:rsid w:val="00690697"/>
    <w:rsid w:val="00694B20"/>
    <w:rsid w:val="00695781"/>
    <w:rsid w:val="00695EF7"/>
    <w:rsid w:val="00696B55"/>
    <w:rsid w:val="006A0239"/>
    <w:rsid w:val="006A0F88"/>
    <w:rsid w:val="006A580C"/>
    <w:rsid w:val="006B2B94"/>
    <w:rsid w:val="006B2F86"/>
    <w:rsid w:val="006B4550"/>
    <w:rsid w:val="006B6337"/>
    <w:rsid w:val="006C1CDF"/>
    <w:rsid w:val="006C42BC"/>
    <w:rsid w:val="006C64D2"/>
    <w:rsid w:val="006C64FB"/>
    <w:rsid w:val="006C6816"/>
    <w:rsid w:val="006D033C"/>
    <w:rsid w:val="006D0583"/>
    <w:rsid w:val="006D3369"/>
    <w:rsid w:val="006D3E47"/>
    <w:rsid w:val="006D4559"/>
    <w:rsid w:val="006D4ED8"/>
    <w:rsid w:val="006D5365"/>
    <w:rsid w:val="006D6012"/>
    <w:rsid w:val="006D61EF"/>
    <w:rsid w:val="006D671A"/>
    <w:rsid w:val="006E121F"/>
    <w:rsid w:val="006E1C92"/>
    <w:rsid w:val="006E2E91"/>
    <w:rsid w:val="006E53FA"/>
    <w:rsid w:val="006E54A0"/>
    <w:rsid w:val="006E601C"/>
    <w:rsid w:val="006F0015"/>
    <w:rsid w:val="006F1107"/>
    <w:rsid w:val="006F287A"/>
    <w:rsid w:val="006F5586"/>
    <w:rsid w:val="006F72A0"/>
    <w:rsid w:val="006F7D82"/>
    <w:rsid w:val="006F7D86"/>
    <w:rsid w:val="00700016"/>
    <w:rsid w:val="007018F8"/>
    <w:rsid w:val="007054EE"/>
    <w:rsid w:val="007104D9"/>
    <w:rsid w:val="00710503"/>
    <w:rsid w:val="0071206F"/>
    <w:rsid w:val="00714DD5"/>
    <w:rsid w:val="00716D30"/>
    <w:rsid w:val="007175C9"/>
    <w:rsid w:val="00720665"/>
    <w:rsid w:val="007210C7"/>
    <w:rsid w:val="00721164"/>
    <w:rsid w:val="00724BF4"/>
    <w:rsid w:val="00725E8C"/>
    <w:rsid w:val="00727AA4"/>
    <w:rsid w:val="007305F6"/>
    <w:rsid w:val="00730F28"/>
    <w:rsid w:val="0073182F"/>
    <w:rsid w:val="00731D12"/>
    <w:rsid w:val="0073215E"/>
    <w:rsid w:val="00732B48"/>
    <w:rsid w:val="00732F17"/>
    <w:rsid w:val="00734513"/>
    <w:rsid w:val="007353AC"/>
    <w:rsid w:val="00736305"/>
    <w:rsid w:val="00737D53"/>
    <w:rsid w:val="00741352"/>
    <w:rsid w:val="007424A1"/>
    <w:rsid w:val="00742822"/>
    <w:rsid w:val="0074335F"/>
    <w:rsid w:val="007466D4"/>
    <w:rsid w:val="007504F2"/>
    <w:rsid w:val="00750F24"/>
    <w:rsid w:val="0075480E"/>
    <w:rsid w:val="00754B9A"/>
    <w:rsid w:val="0075518E"/>
    <w:rsid w:val="00755E91"/>
    <w:rsid w:val="007606D6"/>
    <w:rsid w:val="00760DF1"/>
    <w:rsid w:val="007614D9"/>
    <w:rsid w:val="007624AD"/>
    <w:rsid w:val="007625D5"/>
    <w:rsid w:val="0076300E"/>
    <w:rsid w:val="00764221"/>
    <w:rsid w:val="0076458C"/>
    <w:rsid w:val="00764DB2"/>
    <w:rsid w:val="0076571D"/>
    <w:rsid w:val="0076606B"/>
    <w:rsid w:val="00767F04"/>
    <w:rsid w:val="007712EB"/>
    <w:rsid w:val="0077317A"/>
    <w:rsid w:val="00773B85"/>
    <w:rsid w:val="00774E30"/>
    <w:rsid w:val="00775763"/>
    <w:rsid w:val="00775D5B"/>
    <w:rsid w:val="007768FD"/>
    <w:rsid w:val="007802F3"/>
    <w:rsid w:val="00782CE5"/>
    <w:rsid w:val="0078396C"/>
    <w:rsid w:val="007844D2"/>
    <w:rsid w:val="0078650A"/>
    <w:rsid w:val="0078682B"/>
    <w:rsid w:val="007868D4"/>
    <w:rsid w:val="00787771"/>
    <w:rsid w:val="0079043C"/>
    <w:rsid w:val="0079173B"/>
    <w:rsid w:val="00792AE3"/>
    <w:rsid w:val="00793665"/>
    <w:rsid w:val="00794515"/>
    <w:rsid w:val="00796AEF"/>
    <w:rsid w:val="00797C0C"/>
    <w:rsid w:val="007A2411"/>
    <w:rsid w:val="007A38D7"/>
    <w:rsid w:val="007A66B0"/>
    <w:rsid w:val="007B069B"/>
    <w:rsid w:val="007B15B8"/>
    <w:rsid w:val="007B19D0"/>
    <w:rsid w:val="007B2044"/>
    <w:rsid w:val="007B2C2A"/>
    <w:rsid w:val="007B328B"/>
    <w:rsid w:val="007B3440"/>
    <w:rsid w:val="007B5C58"/>
    <w:rsid w:val="007B630F"/>
    <w:rsid w:val="007C033C"/>
    <w:rsid w:val="007C0753"/>
    <w:rsid w:val="007C0AB7"/>
    <w:rsid w:val="007C21D9"/>
    <w:rsid w:val="007C288C"/>
    <w:rsid w:val="007C3D6F"/>
    <w:rsid w:val="007C5565"/>
    <w:rsid w:val="007C586A"/>
    <w:rsid w:val="007C5E09"/>
    <w:rsid w:val="007C6519"/>
    <w:rsid w:val="007C6724"/>
    <w:rsid w:val="007D4893"/>
    <w:rsid w:val="007D56C9"/>
    <w:rsid w:val="007D6684"/>
    <w:rsid w:val="007D70D8"/>
    <w:rsid w:val="007E0ADD"/>
    <w:rsid w:val="007E0BB0"/>
    <w:rsid w:val="007E0D36"/>
    <w:rsid w:val="007E26B2"/>
    <w:rsid w:val="007E2704"/>
    <w:rsid w:val="007E4D6F"/>
    <w:rsid w:val="007E5D5E"/>
    <w:rsid w:val="007E6AD3"/>
    <w:rsid w:val="007E6ADE"/>
    <w:rsid w:val="007E7A16"/>
    <w:rsid w:val="007F12DC"/>
    <w:rsid w:val="007F1F58"/>
    <w:rsid w:val="007F1FB1"/>
    <w:rsid w:val="007F3924"/>
    <w:rsid w:val="007F3F6F"/>
    <w:rsid w:val="007F539F"/>
    <w:rsid w:val="007F5DFD"/>
    <w:rsid w:val="007F6BB6"/>
    <w:rsid w:val="00800894"/>
    <w:rsid w:val="00801870"/>
    <w:rsid w:val="00801C8C"/>
    <w:rsid w:val="00802EC7"/>
    <w:rsid w:val="00805A5A"/>
    <w:rsid w:val="00805C86"/>
    <w:rsid w:val="00806DD6"/>
    <w:rsid w:val="00807010"/>
    <w:rsid w:val="00807484"/>
    <w:rsid w:val="008112FE"/>
    <w:rsid w:val="00812E5F"/>
    <w:rsid w:val="00813954"/>
    <w:rsid w:val="00815CE4"/>
    <w:rsid w:val="00817301"/>
    <w:rsid w:val="00817E1B"/>
    <w:rsid w:val="00820668"/>
    <w:rsid w:val="008217FF"/>
    <w:rsid w:val="00823B16"/>
    <w:rsid w:val="00823B32"/>
    <w:rsid w:val="00824778"/>
    <w:rsid w:val="008260D1"/>
    <w:rsid w:val="008305CD"/>
    <w:rsid w:val="00830B05"/>
    <w:rsid w:val="00831DF0"/>
    <w:rsid w:val="00831FD3"/>
    <w:rsid w:val="00831FFC"/>
    <w:rsid w:val="00833477"/>
    <w:rsid w:val="008351C4"/>
    <w:rsid w:val="0083576B"/>
    <w:rsid w:val="00835C7E"/>
    <w:rsid w:val="00835DE2"/>
    <w:rsid w:val="00836681"/>
    <w:rsid w:val="00837496"/>
    <w:rsid w:val="00840257"/>
    <w:rsid w:val="008414B7"/>
    <w:rsid w:val="00841BFB"/>
    <w:rsid w:val="00842C18"/>
    <w:rsid w:val="008449A2"/>
    <w:rsid w:val="00844BE2"/>
    <w:rsid w:val="008458E2"/>
    <w:rsid w:val="008467B0"/>
    <w:rsid w:val="008470D0"/>
    <w:rsid w:val="00851C14"/>
    <w:rsid w:val="00852C2E"/>
    <w:rsid w:val="008549E2"/>
    <w:rsid w:val="00854D5C"/>
    <w:rsid w:val="00857DE7"/>
    <w:rsid w:val="00860C4B"/>
    <w:rsid w:val="00862E9F"/>
    <w:rsid w:val="00863460"/>
    <w:rsid w:val="00864867"/>
    <w:rsid w:val="00864C3A"/>
    <w:rsid w:val="00864F67"/>
    <w:rsid w:val="008659E9"/>
    <w:rsid w:val="0086687C"/>
    <w:rsid w:val="00872611"/>
    <w:rsid w:val="00872C8D"/>
    <w:rsid w:val="00873A58"/>
    <w:rsid w:val="00875626"/>
    <w:rsid w:val="00875B0D"/>
    <w:rsid w:val="008774DE"/>
    <w:rsid w:val="00877FF9"/>
    <w:rsid w:val="0088171E"/>
    <w:rsid w:val="00882C6D"/>
    <w:rsid w:val="0088332B"/>
    <w:rsid w:val="00884E6F"/>
    <w:rsid w:val="008857F3"/>
    <w:rsid w:val="00885C18"/>
    <w:rsid w:val="00885CE6"/>
    <w:rsid w:val="00886041"/>
    <w:rsid w:val="00886C61"/>
    <w:rsid w:val="00890FF2"/>
    <w:rsid w:val="008912EE"/>
    <w:rsid w:val="00891ACD"/>
    <w:rsid w:val="008954E4"/>
    <w:rsid w:val="008967A7"/>
    <w:rsid w:val="008A0526"/>
    <w:rsid w:val="008A47F4"/>
    <w:rsid w:val="008A53B3"/>
    <w:rsid w:val="008A5A42"/>
    <w:rsid w:val="008A71FA"/>
    <w:rsid w:val="008B0AF2"/>
    <w:rsid w:val="008B1C9B"/>
    <w:rsid w:val="008B226E"/>
    <w:rsid w:val="008B3867"/>
    <w:rsid w:val="008B411B"/>
    <w:rsid w:val="008B57C4"/>
    <w:rsid w:val="008C0901"/>
    <w:rsid w:val="008C264F"/>
    <w:rsid w:val="008C2768"/>
    <w:rsid w:val="008C2FD4"/>
    <w:rsid w:val="008C43F3"/>
    <w:rsid w:val="008C48C5"/>
    <w:rsid w:val="008C73A3"/>
    <w:rsid w:val="008D0B19"/>
    <w:rsid w:val="008D0CF2"/>
    <w:rsid w:val="008D13B1"/>
    <w:rsid w:val="008D1774"/>
    <w:rsid w:val="008D1861"/>
    <w:rsid w:val="008D20C0"/>
    <w:rsid w:val="008D2580"/>
    <w:rsid w:val="008D2E55"/>
    <w:rsid w:val="008D3497"/>
    <w:rsid w:val="008D38D6"/>
    <w:rsid w:val="008D6F54"/>
    <w:rsid w:val="008E124A"/>
    <w:rsid w:val="008E63F3"/>
    <w:rsid w:val="008F0648"/>
    <w:rsid w:val="008F0686"/>
    <w:rsid w:val="008F1210"/>
    <w:rsid w:val="008F1AD3"/>
    <w:rsid w:val="008F2389"/>
    <w:rsid w:val="008F46BE"/>
    <w:rsid w:val="008F48B4"/>
    <w:rsid w:val="008F49B0"/>
    <w:rsid w:val="00902684"/>
    <w:rsid w:val="00903593"/>
    <w:rsid w:val="00903AAF"/>
    <w:rsid w:val="00905FF7"/>
    <w:rsid w:val="00906D48"/>
    <w:rsid w:val="009105B8"/>
    <w:rsid w:val="00910FCA"/>
    <w:rsid w:val="009115A0"/>
    <w:rsid w:val="00914625"/>
    <w:rsid w:val="009162EE"/>
    <w:rsid w:val="00917C65"/>
    <w:rsid w:val="00917DA5"/>
    <w:rsid w:val="00920C45"/>
    <w:rsid w:val="00922D4F"/>
    <w:rsid w:val="00923087"/>
    <w:rsid w:val="009243B8"/>
    <w:rsid w:val="00924425"/>
    <w:rsid w:val="00925F2E"/>
    <w:rsid w:val="009260B8"/>
    <w:rsid w:val="00930CF2"/>
    <w:rsid w:val="009316D6"/>
    <w:rsid w:val="009319D8"/>
    <w:rsid w:val="00934124"/>
    <w:rsid w:val="009347F8"/>
    <w:rsid w:val="0093490A"/>
    <w:rsid w:val="00935F3A"/>
    <w:rsid w:val="0093696A"/>
    <w:rsid w:val="00937CBD"/>
    <w:rsid w:val="0094107C"/>
    <w:rsid w:val="00941EA4"/>
    <w:rsid w:val="00942837"/>
    <w:rsid w:val="00944358"/>
    <w:rsid w:val="0094447E"/>
    <w:rsid w:val="009448D5"/>
    <w:rsid w:val="0094518A"/>
    <w:rsid w:val="0094598D"/>
    <w:rsid w:val="00945A49"/>
    <w:rsid w:val="00946835"/>
    <w:rsid w:val="00947CE5"/>
    <w:rsid w:val="0095018E"/>
    <w:rsid w:val="00950660"/>
    <w:rsid w:val="0095145C"/>
    <w:rsid w:val="0095235E"/>
    <w:rsid w:val="009524FA"/>
    <w:rsid w:val="00952AEA"/>
    <w:rsid w:val="00953489"/>
    <w:rsid w:val="0095401B"/>
    <w:rsid w:val="009549C0"/>
    <w:rsid w:val="00955C36"/>
    <w:rsid w:val="0095795D"/>
    <w:rsid w:val="009621B1"/>
    <w:rsid w:val="00964133"/>
    <w:rsid w:val="009666C8"/>
    <w:rsid w:val="009703EE"/>
    <w:rsid w:val="00970C68"/>
    <w:rsid w:val="00970DE7"/>
    <w:rsid w:val="00972455"/>
    <w:rsid w:val="009726E9"/>
    <w:rsid w:val="00973384"/>
    <w:rsid w:val="00973C3C"/>
    <w:rsid w:val="00973D10"/>
    <w:rsid w:val="009778A8"/>
    <w:rsid w:val="0098041D"/>
    <w:rsid w:val="009804E1"/>
    <w:rsid w:val="00981131"/>
    <w:rsid w:val="00981ECA"/>
    <w:rsid w:val="00983EE4"/>
    <w:rsid w:val="009844B2"/>
    <w:rsid w:val="00984E35"/>
    <w:rsid w:val="009860A1"/>
    <w:rsid w:val="00987A03"/>
    <w:rsid w:val="00992BE9"/>
    <w:rsid w:val="00993A6F"/>
    <w:rsid w:val="00994BB6"/>
    <w:rsid w:val="00995A0F"/>
    <w:rsid w:val="009961F2"/>
    <w:rsid w:val="009975A6"/>
    <w:rsid w:val="009978C6"/>
    <w:rsid w:val="009A1D56"/>
    <w:rsid w:val="009A2571"/>
    <w:rsid w:val="009A31ED"/>
    <w:rsid w:val="009A3852"/>
    <w:rsid w:val="009A4453"/>
    <w:rsid w:val="009A4C73"/>
    <w:rsid w:val="009A67B9"/>
    <w:rsid w:val="009A6DB2"/>
    <w:rsid w:val="009A7AB0"/>
    <w:rsid w:val="009A7CD9"/>
    <w:rsid w:val="009B0954"/>
    <w:rsid w:val="009B1601"/>
    <w:rsid w:val="009B1C80"/>
    <w:rsid w:val="009B323D"/>
    <w:rsid w:val="009B3622"/>
    <w:rsid w:val="009C10A8"/>
    <w:rsid w:val="009C11D9"/>
    <w:rsid w:val="009C204A"/>
    <w:rsid w:val="009C26BB"/>
    <w:rsid w:val="009C2F90"/>
    <w:rsid w:val="009C40E8"/>
    <w:rsid w:val="009C4904"/>
    <w:rsid w:val="009C6744"/>
    <w:rsid w:val="009D03EB"/>
    <w:rsid w:val="009D0D65"/>
    <w:rsid w:val="009D139A"/>
    <w:rsid w:val="009D379B"/>
    <w:rsid w:val="009D3875"/>
    <w:rsid w:val="009D4F3D"/>
    <w:rsid w:val="009D64A9"/>
    <w:rsid w:val="009E16BF"/>
    <w:rsid w:val="009E194B"/>
    <w:rsid w:val="009E25C8"/>
    <w:rsid w:val="009E2B57"/>
    <w:rsid w:val="009E2C7E"/>
    <w:rsid w:val="009E402D"/>
    <w:rsid w:val="009E7D3D"/>
    <w:rsid w:val="009F0DEB"/>
    <w:rsid w:val="009F174F"/>
    <w:rsid w:val="009F549F"/>
    <w:rsid w:val="009F55FA"/>
    <w:rsid w:val="009F583F"/>
    <w:rsid w:val="009F6044"/>
    <w:rsid w:val="009F78B6"/>
    <w:rsid w:val="00A00BC1"/>
    <w:rsid w:val="00A0206A"/>
    <w:rsid w:val="00A03BD2"/>
    <w:rsid w:val="00A04098"/>
    <w:rsid w:val="00A04BAA"/>
    <w:rsid w:val="00A072B9"/>
    <w:rsid w:val="00A108FD"/>
    <w:rsid w:val="00A11CC2"/>
    <w:rsid w:val="00A12DB8"/>
    <w:rsid w:val="00A1560B"/>
    <w:rsid w:val="00A15F22"/>
    <w:rsid w:val="00A16BCD"/>
    <w:rsid w:val="00A16ED1"/>
    <w:rsid w:val="00A17448"/>
    <w:rsid w:val="00A17C85"/>
    <w:rsid w:val="00A21229"/>
    <w:rsid w:val="00A2220D"/>
    <w:rsid w:val="00A23353"/>
    <w:rsid w:val="00A25A01"/>
    <w:rsid w:val="00A26DBC"/>
    <w:rsid w:val="00A27B12"/>
    <w:rsid w:val="00A27F47"/>
    <w:rsid w:val="00A30864"/>
    <w:rsid w:val="00A30FD8"/>
    <w:rsid w:val="00A310C5"/>
    <w:rsid w:val="00A341A4"/>
    <w:rsid w:val="00A346F3"/>
    <w:rsid w:val="00A3606B"/>
    <w:rsid w:val="00A418DF"/>
    <w:rsid w:val="00A42BF0"/>
    <w:rsid w:val="00A44132"/>
    <w:rsid w:val="00A44D6E"/>
    <w:rsid w:val="00A457A2"/>
    <w:rsid w:val="00A506FE"/>
    <w:rsid w:val="00A51F73"/>
    <w:rsid w:val="00A52A46"/>
    <w:rsid w:val="00A55D96"/>
    <w:rsid w:val="00A57450"/>
    <w:rsid w:val="00A60701"/>
    <w:rsid w:val="00A63DF2"/>
    <w:rsid w:val="00A6502A"/>
    <w:rsid w:val="00A6533D"/>
    <w:rsid w:val="00A66856"/>
    <w:rsid w:val="00A7009D"/>
    <w:rsid w:val="00A7163E"/>
    <w:rsid w:val="00A76EFE"/>
    <w:rsid w:val="00A809C5"/>
    <w:rsid w:val="00A826C5"/>
    <w:rsid w:val="00A856E6"/>
    <w:rsid w:val="00A86173"/>
    <w:rsid w:val="00A86843"/>
    <w:rsid w:val="00A86A32"/>
    <w:rsid w:val="00A87326"/>
    <w:rsid w:val="00A87884"/>
    <w:rsid w:val="00A87F32"/>
    <w:rsid w:val="00A91965"/>
    <w:rsid w:val="00A92D17"/>
    <w:rsid w:val="00A93708"/>
    <w:rsid w:val="00A964BC"/>
    <w:rsid w:val="00AA0B1C"/>
    <w:rsid w:val="00AA1054"/>
    <w:rsid w:val="00AA403B"/>
    <w:rsid w:val="00AA5A98"/>
    <w:rsid w:val="00AA7F9F"/>
    <w:rsid w:val="00AB26C6"/>
    <w:rsid w:val="00AB2E4C"/>
    <w:rsid w:val="00AB45F5"/>
    <w:rsid w:val="00AB4A0F"/>
    <w:rsid w:val="00AB4A44"/>
    <w:rsid w:val="00AB6C9E"/>
    <w:rsid w:val="00AC1C9D"/>
    <w:rsid w:val="00AC2D44"/>
    <w:rsid w:val="00AC4829"/>
    <w:rsid w:val="00AC5977"/>
    <w:rsid w:val="00AC5DCD"/>
    <w:rsid w:val="00AC7A98"/>
    <w:rsid w:val="00AC7DE9"/>
    <w:rsid w:val="00AD26DD"/>
    <w:rsid w:val="00AD34D7"/>
    <w:rsid w:val="00AD421C"/>
    <w:rsid w:val="00AD426C"/>
    <w:rsid w:val="00AD4C7B"/>
    <w:rsid w:val="00AD4D5B"/>
    <w:rsid w:val="00AD718B"/>
    <w:rsid w:val="00AD749D"/>
    <w:rsid w:val="00AD79CA"/>
    <w:rsid w:val="00AE36AD"/>
    <w:rsid w:val="00AE5599"/>
    <w:rsid w:val="00AE667D"/>
    <w:rsid w:val="00AE6B89"/>
    <w:rsid w:val="00AF3C2C"/>
    <w:rsid w:val="00AF49E9"/>
    <w:rsid w:val="00B0093B"/>
    <w:rsid w:val="00B00CDA"/>
    <w:rsid w:val="00B00FF8"/>
    <w:rsid w:val="00B01F37"/>
    <w:rsid w:val="00B04C31"/>
    <w:rsid w:val="00B065EC"/>
    <w:rsid w:val="00B0731E"/>
    <w:rsid w:val="00B10492"/>
    <w:rsid w:val="00B10870"/>
    <w:rsid w:val="00B11078"/>
    <w:rsid w:val="00B131D5"/>
    <w:rsid w:val="00B20DAF"/>
    <w:rsid w:val="00B21A81"/>
    <w:rsid w:val="00B222B0"/>
    <w:rsid w:val="00B227F8"/>
    <w:rsid w:val="00B22B54"/>
    <w:rsid w:val="00B243C0"/>
    <w:rsid w:val="00B24C19"/>
    <w:rsid w:val="00B2627D"/>
    <w:rsid w:val="00B27E7C"/>
    <w:rsid w:val="00B27E97"/>
    <w:rsid w:val="00B31496"/>
    <w:rsid w:val="00B31DDD"/>
    <w:rsid w:val="00B327BA"/>
    <w:rsid w:val="00B35696"/>
    <w:rsid w:val="00B365A3"/>
    <w:rsid w:val="00B36ACA"/>
    <w:rsid w:val="00B36E20"/>
    <w:rsid w:val="00B4002A"/>
    <w:rsid w:val="00B40764"/>
    <w:rsid w:val="00B42AF6"/>
    <w:rsid w:val="00B42E63"/>
    <w:rsid w:val="00B4488D"/>
    <w:rsid w:val="00B45A71"/>
    <w:rsid w:val="00B4746D"/>
    <w:rsid w:val="00B502E4"/>
    <w:rsid w:val="00B50E1A"/>
    <w:rsid w:val="00B50F28"/>
    <w:rsid w:val="00B514F0"/>
    <w:rsid w:val="00B53C18"/>
    <w:rsid w:val="00B5496E"/>
    <w:rsid w:val="00B551D8"/>
    <w:rsid w:val="00B56941"/>
    <w:rsid w:val="00B61B9A"/>
    <w:rsid w:val="00B6293F"/>
    <w:rsid w:val="00B6339B"/>
    <w:rsid w:val="00B65817"/>
    <w:rsid w:val="00B665FA"/>
    <w:rsid w:val="00B6686A"/>
    <w:rsid w:val="00B671C6"/>
    <w:rsid w:val="00B67EFB"/>
    <w:rsid w:val="00B70096"/>
    <w:rsid w:val="00B721D3"/>
    <w:rsid w:val="00B73EF4"/>
    <w:rsid w:val="00B754E6"/>
    <w:rsid w:val="00B77354"/>
    <w:rsid w:val="00B7764E"/>
    <w:rsid w:val="00B8019E"/>
    <w:rsid w:val="00B81684"/>
    <w:rsid w:val="00B81AA5"/>
    <w:rsid w:val="00B81F1C"/>
    <w:rsid w:val="00B81FF7"/>
    <w:rsid w:val="00B8320D"/>
    <w:rsid w:val="00B83BCB"/>
    <w:rsid w:val="00B83F4A"/>
    <w:rsid w:val="00B84984"/>
    <w:rsid w:val="00B863F2"/>
    <w:rsid w:val="00B86A8E"/>
    <w:rsid w:val="00B916E4"/>
    <w:rsid w:val="00B9290B"/>
    <w:rsid w:val="00B94743"/>
    <w:rsid w:val="00B947E6"/>
    <w:rsid w:val="00B94EDB"/>
    <w:rsid w:val="00B96ED1"/>
    <w:rsid w:val="00B97DB9"/>
    <w:rsid w:val="00BA0590"/>
    <w:rsid w:val="00BA1AFB"/>
    <w:rsid w:val="00BA218B"/>
    <w:rsid w:val="00BA2A68"/>
    <w:rsid w:val="00BB0903"/>
    <w:rsid w:val="00BB0C4D"/>
    <w:rsid w:val="00BB4280"/>
    <w:rsid w:val="00BC0DE4"/>
    <w:rsid w:val="00BC1F09"/>
    <w:rsid w:val="00BC4669"/>
    <w:rsid w:val="00BC4C79"/>
    <w:rsid w:val="00BC56AE"/>
    <w:rsid w:val="00BC5BC2"/>
    <w:rsid w:val="00BD0304"/>
    <w:rsid w:val="00BD0440"/>
    <w:rsid w:val="00BD1A41"/>
    <w:rsid w:val="00BD204A"/>
    <w:rsid w:val="00BD3CA2"/>
    <w:rsid w:val="00BD4055"/>
    <w:rsid w:val="00BD53D3"/>
    <w:rsid w:val="00BD6633"/>
    <w:rsid w:val="00BE1582"/>
    <w:rsid w:val="00BE555C"/>
    <w:rsid w:val="00BE560C"/>
    <w:rsid w:val="00BE5DF4"/>
    <w:rsid w:val="00BE61B1"/>
    <w:rsid w:val="00BF0819"/>
    <w:rsid w:val="00BF0C67"/>
    <w:rsid w:val="00BF272A"/>
    <w:rsid w:val="00BF2E90"/>
    <w:rsid w:val="00BF3D9C"/>
    <w:rsid w:val="00BF596C"/>
    <w:rsid w:val="00BF6341"/>
    <w:rsid w:val="00BF65CA"/>
    <w:rsid w:val="00BF6F95"/>
    <w:rsid w:val="00BF714E"/>
    <w:rsid w:val="00BF79FC"/>
    <w:rsid w:val="00C019A6"/>
    <w:rsid w:val="00C01E97"/>
    <w:rsid w:val="00C0331F"/>
    <w:rsid w:val="00C034DF"/>
    <w:rsid w:val="00C05543"/>
    <w:rsid w:val="00C06909"/>
    <w:rsid w:val="00C109AB"/>
    <w:rsid w:val="00C11FAF"/>
    <w:rsid w:val="00C120CC"/>
    <w:rsid w:val="00C13237"/>
    <w:rsid w:val="00C14D79"/>
    <w:rsid w:val="00C15F11"/>
    <w:rsid w:val="00C163CB"/>
    <w:rsid w:val="00C1741A"/>
    <w:rsid w:val="00C17AC2"/>
    <w:rsid w:val="00C20F32"/>
    <w:rsid w:val="00C22F07"/>
    <w:rsid w:val="00C23A5C"/>
    <w:rsid w:val="00C24F72"/>
    <w:rsid w:val="00C2694A"/>
    <w:rsid w:val="00C26A28"/>
    <w:rsid w:val="00C27017"/>
    <w:rsid w:val="00C30064"/>
    <w:rsid w:val="00C32725"/>
    <w:rsid w:val="00C331B7"/>
    <w:rsid w:val="00C34811"/>
    <w:rsid w:val="00C34AEC"/>
    <w:rsid w:val="00C35831"/>
    <w:rsid w:val="00C35B83"/>
    <w:rsid w:val="00C3671E"/>
    <w:rsid w:val="00C40925"/>
    <w:rsid w:val="00C41399"/>
    <w:rsid w:val="00C436A8"/>
    <w:rsid w:val="00C44130"/>
    <w:rsid w:val="00C45A0E"/>
    <w:rsid w:val="00C45E9F"/>
    <w:rsid w:val="00C46223"/>
    <w:rsid w:val="00C47D6F"/>
    <w:rsid w:val="00C5043B"/>
    <w:rsid w:val="00C52857"/>
    <w:rsid w:val="00C5314F"/>
    <w:rsid w:val="00C53281"/>
    <w:rsid w:val="00C548D7"/>
    <w:rsid w:val="00C5507F"/>
    <w:rsid w:val="00C55C12"/>
    <w:rsid w:val="00C5661B"/>
    <w:rsid w:val="00C61017"/>
    <w:rsid w:val="00C62D7C"/>
    <w:rsid w:val="00C657E5"/>
    <w:rsid w:val="00C67DC9"/>
    <w:rsid w:val="00C7010A"/>
    <w:rsid w:val="00C70A35"/>
    <w:rsid w:val="00C73DB9"/>
    <w:rsid w:val="00C74D92"/>
    <w:rsid w:val="00C77359"/>
    <w:rsid w:val="00C77B5F"/>
    <w:rsid w:val="00C84157"/>
    <w:rsid w:val="00C845B5"/>
    <w:rsid w:val="00C85D5C"/>
    <w:rsid w:val="00C86F66"/>
    <w:rsid w:val="00C87BF5"/>
    <w:rsid w:val="00C91FDB"/>
    <w:rsid w:val="00C92236"/>
    <w:rsid w:val="00C9236A"/>
    <w:rsid w:val="00C92408"/>
    <w:rsid w:val="00C92EC3"/>
    <w:rsid w:val="00C94004"/>
    <w:rsid w:val="00C9480C"/>
    <w:rsid w:val="00C956B8"/>
    <w:rsid w:val="00C975E1"/>
    <w:rsid w:val="00CA040D"/>
    <w:rsid w:val="00CA0701"/>
    <w:rsid w:val="00CA1BEE"/>
    <w:rsid w:val="00CA4054"/>
    <w:rsid w:val="00CB025A"/>
    <w:rsid w:val="00CB05C8"/>
    <w:rsid w:val="00CB3578"/>
    <w:rsid w:val="00CB3889"/>
    <w:rsid w:val="00CB38E8"/>
    <w:rsid w:val="00CB69A6"/>
    <w:rsid w:val="00CB7906"/>
    <w:rsid w:val="00CC1E71"/>
    <w:rsid w:val="00CC2D4B"/>
    <w:rsid w:val="00CC3884"/>
    <w:rsid w:val="00CC3C76"/>
    <w:rsid w:val="00CC4D03"/>
    <w:rsid w:val="00CC4F52"/>
    <w:rsid w:val="00CC7120"/>
    <w:rsid w:val="00CC7255"/>
    <w:rsid w:val="00CC7871"/>
    <w:rsid w:val="00CD0F6A"/>
    <w:rsid w:val="00CD369C"/>
    <w:rsid w:val="00CD3E23"/>
    <w:rsid w:val="00CD3E42"/>
    <w:rsid w:val="00CD6969"/>
    <w:rsid w:val="00CD6A5E"/>
    <w:rsid w:val="00CD793D"/>
    <w:rsid w:val="00CE487D"/>
    <w:rsid w:val="00CE4C9B"/>
    <w:rsid w:val="00CE5C25"/>
    <w:rsid w:val="00CE731E"/>
    <w:rsid w:val="00CF0E0D"/>
    <w:rsid w:val="00CF102E"/>
    <w:rsid w:val="00CF253A"/>
    <w:rsid w:val="00CF312E"/>
    <w:rsid w:val="00CF4DEA"/>
    <w:rsid w:val="00CF5D45"/>
    <w:rsid w:val="00CF5DE7"/>
    <w:rsid w:val="00CF6D19"/>
    <w:rsid w:val="00CF76B2"/>
    <w:rsid w:val="00D002DA"/>
    <w:rsid w:val="00D00369"/>
    <w:rsid w:val="00D00EA6"/>
    <w:rsid w:val="00D015C8"/>
    <w:rsid w:val="00D026B0"/>
    <w:rsid w:val="00D02B46"/>
    <w:rsid w:val="00D039EE"/>
    <w:rsid w:val="00D03E07"/>
    <w:rsid w:val="00D051FA"/>
    <w:rsid w:val="00D0567D"/>
    <w:rsid w:val="00D06356"/>
    <w:rsid w:val="00D10CF3"/>
    <w:rsid w:val="00D1166E"/>
    <w:rsid w:val="00D1179C"/>
    <w:rsid w:val="00D124CC"/>
    <w:rsid w:val="00D1365E"/>
    <w:rsid w:val="00D1608C"/>
    <w:rsid w:val="00D16EEF"/>
    <w:rsid w:val="00D16F23"/>
    <w:rsid w:val="00D176C0"/>
    <w:rsid w:val="00D17A33"/>
    <w:rsid w:val="00D224DD"/>
    <w:rsid w:val="00D23533"/>
    <w:rsid w:val="00D24FA5"/>
    <w:rsid w:val="00D25466"/>
    <w:rsid w:val="00D25737"/>
    <w:rsid w:val="00D26E08"/>
    <w:rsid w:val="00D27EC3"/>
    <w:rsid w:val="00D302D1"/>
    <w:rsid w:val="00D310C5"/>
    <w:rsid w:val="00D313A4"/>
    <w:rsid w:val="00D315A3"/>
    <w:rsid w:val="00D31BD3"/>
    <w:rsid w:val="00D3357D"/>
    <w:rsid w:val="00D37294"/>
    <w:rsid w:val="00D4094B"/>
    <w:rsid w:val="00D413CF"/>
    <w:rsid w:val="00D4260F"/>
    <w:rsid w:val="00D42712"/>
    <w:rsid w:val="00D434C4"/>
    <w:rsid w:val="00D43688"/>
    <w:rsid w:val="00D4382A"/>
    <w:rsid w:val="00D448EF"/>
    <w:rsid w:val="00D44D7E"/>
    <w:rsid w:val="00D455EA"/>
    <w:rsid w:val="00D45D46"/>
    <w:rsid w:val="00D47098"/>
    <w:rsid w:val="00D47F11"/>
    <w:rsid w:val="00D5010D"/>
    <w:rsid w:val="00D50400"/>
    <w:rsid w:val="00D50766"/>
    <w:rsid w:val="00D5160A"/>
    <w:rsid w:val="00D51A77"/>
    <w:rsid w:val="00D52917"/>
    <w:rsid w:val="00D52FBA"/>
    <w:rsid w:val="00D53E0C"/>
    <w:rsid w:val="00D5441A"/>
    <w:rsid w:val="00D549F4"/>
    <w:rsid w:val="00D55ABE"/>
    <w:rsid w:val="00D60D76"/>
    <w:rsid w:val="00D66036"/>
    <w:rsid w:val="00D66DA2"/>
    <w:rsid w:val="00D67094"/>
    <w:rsid w:val="00D7197A"/>
    <w:rsid w:val="00D71DBE"/>
    <w:rsid w:val="00D71EE0"/>
    <w:rsid w:val="00D72EC3"/>
    <w:rsid w:val="00D738BD"/>
    <w:rsid w:val="00D73BCA"/>
    <w:rsid w:val="00D74EB5"/>
    <w:rsid w:val="00D75D3F"/>
    <w:rsid w:val="00D76FB6"/>
    <w:rsid w:val="00D77F98"/>
    <w:rsid w:val="00D860C4"/>
    <w:rsid w:val="00D869A6"/>
    <w:rsid w:val="00D9034B"/>
    <w:rsid w:val="00D90A97"/>
    <w:rsid w:val="00D9217E"/>
    <w:rsid w:val="00D9402A"/>
    <w:rsid w:val="00D94502"/>
    <w:rsid w:val="00D96F9F"/>
    <w:rsid w:val="00DA1B35"/>
    <w:rsid w:val="00DA2F2E"/>
    <w:rsid w:val="00DA4E3B"/>
    <w:rsid w:val="00DA5CE0"/>
    <w:rsid w:val="00DA77EC"/>
    <w:rsid w:val="00DB0991"/>
    <w:rsid w:val="00DB0F03"/>
    <w:rsid w:val="00DB1945"/>
    <w:rsid w:val="00DB21C2"/>
    <w:rsid w:val="00DB39D5"/>
    <w:rsid w:val="00DB5D20"/>
    <w:rsid w:val="00DB5FF7"/>
    <w:rsid w:val="00DB6A82"/>
    <w:rsid w:val="00DB7B30"/>
    <w:rsid w:val="00DC3D95"/>
    <w:rsid w:val="00DC6D24"/>
    <w:rsid w:val="00DD0BD8"/>
    <w:rsid w:val="00DD1118"/>
    <w:rsid w:val="00DD12BA"/>
    <w:rsid w:val="00DD2A9E"/>
    <w:rsid w:val="00DD2C61"/>
    <w:rsid w:val="00DD31B0"/>
    <w:rsid w:val="00DD476D"/>
    <w:rsid w:val="00DD735B"/>
    <w:rsid w:val="00DE2176"/>
    <w:rsid w:val="00DE217B"/>
    <w:rsid w:val="00DE3315"/>
    <w:rsid w:val="00DE538D"/>
    <w:rsid w:val="00DE59CB"/>
    <w:rsid w:val="00DE6BA8"/>
    <w:rsid w:val="00DE7B30"/>
    <w:rsid w:val="00DF20D9"/>
    <w:rsid w:val="00DF44F3"/>
    <w:rsid w:val="00DF526F"/>
    <w:rsid w:val="00DF5849"/>
    <w:rsid w:val="00DF64E2"/>
    <w:rsid w:val="00DF6798"/>
    <w:rsid w:val="00E01F3C"/>
    <w:rsid w:val="00E03EC7"/>
    <w:rsid w:val="00E043FE"/>
    <w:rsid w:val="00E04791"/>
    <w:rsid w:val="00E05AD7"/>
    <w:rsid w:val="00E060B9"/>
    <w:rsid w:val="00E069F3"/>
    <w:rsid w:val="00E06B41"/>
    <w:rsid w:val="00E06DF5"/>
    <w:rsid w:val="00E122CE"/>
    <w:rsid w:val="00E13E23"/>
    <w:rsid w:val="00E1418E"/>
    <w:rsid w:val="00E1499C"/>
    <w:rsid w:val="00E15803"/>
    <w:rsid w:val="00E159AE"/>
    <w:rsid w:val="00E160B7"/>
    <w:rsid w:val="00E16BAD"/>
    <w:rsid w:val="00E16E7C"/>
    <w:rsid w:val="00E171FD"/>
    <w:rsid w:val="00E17587"/>
    <w:rsid w:val="00E17EC8"/>
    <w:rsid w:val="00E201B5"/>
    <w:rsid w:val="00E21959"/>
    <w:rsid w:val="00E24E91"/>
    <w:rsid w:val="00E3054F"/>
    <w:rsid w:val="00E32EED"/>
    <w:rsid w:val="00E35325"/>
    <w:rsid w:val="00E35D4F"/>
    <w:rsid w:val="00E36052"/>
    <w:rsid w:val="00E36514"/>
    <w:rsid w:val="00E37A86"/>
    <w:rsid w:val="00E43188"/>
    <w:rsid w:val="00E433DE"/>
    <w:rsid w:val="00E43C96"/>
    <w:rsid w:val="00E441DB"/>
    <w:rsid w:val="00E467BC"/>
    <w:rsid w:val="00E46AD2"/>
    <w:rsid w:val="00E47F8F"/>
    <w:rsid w:val="00E527A8"/>
    <w:rsid w:val="00E5308E"/>
    <w:rsid w:val="00E537EB"/>
    <w:rsid w:val="00E5503B"/>
    <w:rsid w:val="00E573BA"/>
    <w:rsid w:val="00E57E04"/>
    <w:rsid w:val="00E57F0A"/>
    <w:rsid w:val="00E63357"/>
    <w:rsid w:val="00E650F0"/>
    <w:rsid w:val="00E65EAA"/>
    <w:rsid w:val="00E67596"/>
    <w:rsid w:val="00E7035F"/>
    <w:rsid w:val="00E70785"/>
    <w:rsid w:val="00E70F31"/>
    <w:rsid w:val="00E71401"/>
    <w:rsid w:val="00E71FBD"/>
    <w:rsid w:val="00E72843"/>
    <w:rsid w:val="00E72C67"/>
    <w:rsid w:val="00E73786"/>
    <w:rsid w:val="00E74B1D"/>
    <w:rsid w:val="00E74BAE"/>
    <w:rsid w:val="00E74FC4"/>
    <w:rsid w:val="00E75029"/>
    <w:rsid w:val="00E776DF"/>
    <w:rsid w:val="00E77DBF"/>
    <w:rsid w:val="00E808EA"/>
    <w:rsid w:val="00E812F6"/>
    <w:rsid w:val="00E827E5"/>
    <w:rsid w:val="00E82D48"/>
    <w:rsid w:val="00E84749"/>
    <w:rsid w:val="00E91682"/>
    <w:rsid w:val="00E92243"/>
    <w:rsid w:val="00E92F8E"/>
    <w:rsid w:val="00E93F6B"/>
    <w:rsid w:val="00E96A34"/>
    <w:rsid w:val="00EA0567"/>
    <w:rsid w:val="00EA1326"/>
    <w:rsid w:val="00EA189F"/>
    <w:rsid w:val="00EA1E06"/>
    <w:rsid w:val="00EA320A"/>
    <w:rsid w:val="00EA3CB2"/>
    <w:rsid w:val="00EB0E57"/>
    <w:rsid w:val="00EB0F25"/>
    <w:rsid w:val="00EB2DAD"/>
    <w:rsid w:val="00EB6969"/>
    <w:rsid w:val="00EC02C9"/>
    <w:rsid w:val="00EC08C4"/>
    <w:rsid w:val="00EC168C"/>
    <w:rsid w:val="00EC1F32"/>
    <w:rsid w:val="00EC2696"/>
    <w:rsid w:val="00EC3B2D"/>
    <w:rsid w:val="00EC40C8"/>
    <w:rsid w:val="00EC704E"/>
    <w:rsid w:val="00ED2B74"/>
    <w:rsid w:val="00ED4BF9"/>
    <w:rsid w:val="00ED7703"/>
    <w:rsid w:val="00ED7908"/>
    <w:rsid w:val="00EE0089"/>
    <w:rsid w:val="00EE111E"/>
    <w:rsid w:val="00EE3635"/>
    <w:rsid w:val="00EE3B7F"/>
    <w:rsid w:val="00EE40F6"/>
    <w:rsid w:val="00EF0110"/>
    <w:rsid w:val="00EF1187"/>
    <w:rsid w:val="00EF1ABE"/>
    <w:rsid w:val="00EF29BF"/>
    <w:rsid w:val="00EF4E27"/>
    <w:rsid w:val="00EF5ED2"/>
    <w:rsid w:val="00EF6259"/>
    <w:rsid w:val="00EF6AE7"/>
    <w:rsid w:val="00EF74B5"/>
    <w:rsid w:val="00F00031"/>
    <w:rsid w:val="00F0328B"/>
    <w:rsid w:val="00F0368A"/>
    <w:rsid w:val="00F04B8A"/>
    <w:rsid w:val="00F05C37"/>
    <w:rsid w:val="00F0631F"/>
    <w:rsid w:val="00F07D44"/>
    <w:rsid w:val="00F10642"/>
    <w:rsid w:val="00F12476"/>
    <w:rsid w:val="00F14F48"/>
    <w:rsid w:val="00F160A9"/>
    <w:rsid w:val="00F16434"/>
    <w:rsid w:val="00F164CE"/>
    <w:rsid w:val="00F16DA8"/>
    <w:rsid w:val="00F17527"/>
    <w:rsid w:val="00F17FFE"/>
    <w:rsid w:val="00F20E27"/>
    <w:rsid w:val="00F20F53"/>
    <w:rsid w:val="00F20FB2"/>
    <w:rsid w:val="00F2382F"/>
    <w:rsid w:val="00F253C6"/>
    <w:rsid w:val="00F26B32"/>
    <w:rsid w:val="00F27F93"/>
    <w:rsid w:val="00F27FFC"/>
    <w:rsid w:val="00F31D90"/>
    <w:rsid w:val="00F35947"/>
    <w:rsid w:val="00F36832"/>
    <w:rsid w:val="00F36C9F"/>
    <w:rsid w:val="00F41E12"/>
    <w:rsid w:val="00F463D3"/>
    <w:rsid w:val="00F46DC4"/>
    <w:rsid w:val="00F50477"/>
    <w:rsid w:val="00F52F6E"/>
    <w:rsid w:val="00F53C90"/>
    <w:rsid w:val="00F54846"/>
    <w:rsid w:val="00F56820"/>
    <w:rsid w:val="00F577CF"/>
    <w:rsid w:val="00F61AA1"/>
    <w:rsid w:val="00F61C56"/>
    <w:rsid w:val="00F623C1"/>
    <w:rsid w:val="00F62C20"/>
    <w:rsid w:val="00F62D6F"/>
    <w:rsid w:val="00F63378"/>
    <w:rsid w:val="00F63941"/>
    <w:rsid w:val="00F64F60"/>
    <w:rsid w:val="00F669D7"/>
    <w:rsid w:val="00F66BB0"/>
    <w:rsid w:val="00F72FA8"/>
    <w:rsid w:val="00F75FD6"/>
    <w:rsid w:val="00F76556"/>
    <w:rsid w:val="00F766D2"/>
    <w:rsid w:val="00F76A5F"/>
    <w:rsid w:val="00F81935"/>
    <w:rsid w:val="00F82512"/>
    <w:rsid w:val="00F83210"/>
    <w:rsid w:val="00F83D10"/>
    <w:rsid w:val="00F84048"/>
    <w:rsid w:val="00F84991"/>
    <w:rsid w:val="00F870A7"/>
    <w:rsid w:val="00F90100"/>
    <w:rsid w:val="00F955CE"/>
    <w:rsid w:val="00F9780F"/>
    <w:rsid w:val="00FA3EEA"/>
    <w:rsid w:val="00FA569B"/>
    <w:rsid w:val="00FA59CA"/>
    <w:rsid w:val="00FA6AD4"/>
    <w:rsid w:val="00FB1762"/>
    <w:rsid w:val="00FB3C05"/>
    <w:rsid w:val="00FB51C3"/>
    <w:rsid w:val="00FB5F0D"/>
    <w:rsid w:val="00FB69DE"/>
    <w:rsid w:val="00FB7966"/>
    <w:rsid w:val="00FC2056"/>
    <w:rsid w:val="00FC261E"/>
    <w:rsid w:val="00FC7EAB"/>
    <w:rsid w:val="00FD0D34"/>
    <w:rsid w:val="00FD169F"/>
    <w:rsid w:val="00FD1AA5"/>
    <w:rsid w:val="00FD1DA6"/>
    <w:rsid w:val="00FD437C"/>
    <w:rsid w:val="00FD49D0"/>
    <w:rsid w:val="00FD65D0"/>
    <w:rsid w:val="00FE17AD"/>
    <w:rsid w:val="00FE18B3"/>
    <w:rsid w:val="00FE3D0A"/>
    <w:rsid w:val="00FE4F6D"/>
    <w:rsid w:val="00FE5D0E"/>
    <w:rsid w:val="00FE6346"/>
    <w:rsid w:val="00FF02C2"/>
    <w:rsid w:val="00FF2160"/>
    <w:rsid w:val="00FF2B76"/>
    <w:rsid w:val="00FF2F14"/>
    <w:rsid w:val="00FF469F"/>
    <w:rsid w:val="00FF4A07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BD08CA"/>
  <w15:docId w15:val="{18384DED-7BC0-44B6-BC39-14F2E046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4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24425"/>
  </w:style>
  <w:style w:type="table" w:styleId="TableGrid">
    <w:name w:val="Table Grid"/>
    <w:basedOn w:val="TableNormal"/>
    <w:uiPriority w:val="39"/>
    <w:rsid w:val="008D38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0F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1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1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1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2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2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5A7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95A7A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94515"/>
    <w:pPr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94515"/>
    <w:rPr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794515"/>
    <w:pPr>
      <w:spacing w:line="240" w:lineRule="auto"/>
    </w:pPr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794515"/>
    <w:rPr>
      <w:noProof/>
      <w:sz w:val="22"/>
    </w:rPr>
  </w:style>
  <w:style w:type="paragraph" w:styleId="Revision">
    <w:name w:val="Revision"/>
    <w:hidden/>
    <w:uiPriority w:val="99"/>
    <w:semiHidden/>
    <w:rsid w:val="00672BCA"/>
    <w:pPr>
      <w:spacing w:line="240" w:lineRule="auto"/>
      <w:jc w:val="left"/>
    </w:pPr>
  </w:style>
  <w:style w:type="paragraph" w:styleId="Header">
    <w:name w:val="header"/>
    <w:basedOn w:val="Normal"/>
    <w:link w:val="HeaderChar"/>
    <w:uiPriority w:val="99"/>
    <w:unhideWhenUsed/>
    <w:rsid w:val="00576BD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BDE"/>
  </w:style>
  <w:style w:type="paragraph" w:styleId="Footer">
    <w:name w:val="footer"/>
    <w:basedOn w:val="Normal"/>
    <w:link w:val="FooterChar"/>
    <w:uiPriority w:val="99"/>
    <w:unhideWhenUsed/>
    <w:rsid w:val="00576BD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BDE"/>
  </w:style>
  <w:style w:type="paragraph" w:customStyle="1" w:styleId="Default">
    <w:name w:val="Default"/>
    <w:rsid w:val="004C67E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color w:val="00000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Shawn Soh Leng Hsien</dc:creator>
  <cp:lastModifiedBy>Shawn Soh Leng Hsien</cp:lastModifiedBy>
  <cp:revision>7</cp:revision>
  <cp:lastPrinted>2019-10-18T04:29:00Z</cp:lastPrinted>
  <dcterms:created xsi:type="dcterms:W3CDTF">2020-01-20T22:23:00Z</dcterms:created>
  <dcterms:modified xsi:type="dcterms:W3CDTF">2020-03-30T03:50:00Z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4212</vt:lpwstr>
  </property>
  <property fmtid="{D5CDD505-2E9C-101B-9397-08002B2CF9AE}" pid="3" name="WnCSubscriberId">
    <vt:lpwstr>7071</vt:lpwstr>
  </property>
  <property fmtid="{D5CDD505-2E9C-101B-9397-08002B2CF9AE}" pid="4" name="WnCOutputStyleId">
    <vt:lpwstr>10128</vt:lpwstr>
  </property>
  <property fmtid="{D5CDD505-2E9C-101B-9397-08002B2CF9AE}" pid="5" name="RWProductId">
    <vt:lpwstr>WnC</vt:lpwstr>
  </property>
  <property fmtid="{D5CDD505-2E9C-101B-9397-08002B2CF9AE}" pid="6" name="WnC4Folder">
    <vt:lpwstr>Documents///AF5</vt:lpwstr>
  </property>
</Properties>
</file>