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72B2C" w:rsidRPr="009F2D65" w:rsidRDefault="00572B2C" w:rsidP="00572B2C">
      <w:pPr>
        <w:pStyle w:val="ListParagraph"/>
        <w:autoSpaceDE w:val="0"/>
        <w:autoSpaceDN w:val="0"/>
        <w:adjustRightInd w:val="0"/>
        <w:spacing w:after="0" w:line="240" w:lineRule="auto"/>
        <w:rPr>
          <w:rFonts w:ascii="Times New Roman" w:hAnsi="Times New Roman" w:cs="Times New Roman"/>
          <w:b/>
          <w:bCs/>
          <w:iCs/>
          <w:sz w:val="32"/>
          <w:szCs w:val="32"/>
        </w:rPr>
      </w:pPr>
    </w:p>
    <w:p w:rsidR="00572B2C" w:rsidRPr="009F2D65" w:rsidRDefault="00572B2C" w:rsidP="00572B2C">
      <w:pPr>
        <w:pStyle w:val="ListParagraph"/>
        <w:numPr>
          <w:ilvl w:val="0"/>
          <w:numId w:val="1"/>
        </w:numPr>
        <w:autoSpaceDE w:val="0"/>
        <w:autoSpaceDN w:val="0"/>
        <w:adjustRightInd w:val="0"/>
        <w:spacing w:after="0" w:line="240" w:lineRule="auto"/>
        <w:rPr>
          <w:rFonts w:ascii="Times New Roman" w:hAnsi="Times New Roman" w:cs="Times New Roman"/>
          <w:b/>
          <w:bCs/>
          <w:iCs/>
          <w:sz w:val="32"/>
          <w:szCs w:val="32"/>
        </w:rPr>
      </w:pPr>
      <w:r w:rsidRPr="009F2D65">
        <w:rPr>
          <w:rFonts w:ascii="Times New Roman" w:hAnsi="Times New Roman" w:cs="Times New Roman"/>
          <w:b/>
          <w:bCs/>
          <w:iCs/>
          <w:sz w:val="32"/>
          <w:szCs w:val="32"/>
        </w:rPr>
        <w:t xml:space="preserve">Calculation of AUC using only Chair Stand and MMSE as predictors of extreme survival as in </w:t>
      </w:r>
      <w:proofErr w:type="spellStart"/>
      <w:r w:rsidRPr="009F2D65">
        <w:rPr>
          <w:rFonts w:ascii="Times New Roman" w:hAnsi="Times New Roman" w:cs="Times New Roman"/>
          <w:b/>
          <w:bCs/>
          <w:iCs/>
          <w:sz w:val="32"/>
          <w:szCs w:val="32"/>
        </w:rPr>
        <w:t>Thinggaard</w:t>
      </w:r>
      <w:proofErr w:type="spellEnd"/>
      <w:r w:rsidRPr="009F2D65">
        <w:rPr>
          <w:rFonts w:ascii="Times New Roman" w:hAnsi="Times New Roman" w:cs="Times New Roman"/>
          <w:b/>
          <w:bCs/>
          <w:iCs/>
          <w:sz w:val="32"/>
          <w:szCs w:val="32"/>
        </w:rPr>
        <w:t xml:space="preserve"> et al (2016)</w:t>
      </w:r>
    </w:p>
    <w:p w:rsidR="00572B2C" w:rsidRPr="009F2D65" w:rsidRDefault="00572B2C" w:rsidP="00572B2C">
      <w:pPr>
        <w:autoSpaceDE w:val="0"/>
        <w:autoSpaceDN w:val="0"/>
        <w:adjustRightInd w:val="0"/>
        <w:spacing w:after="0" w:line="240" w:lineRule="auto"/>
        <w:rPr>
          <w:rFonts w:ascii="Times New Roman" w:hAnsi="Times New Roman" w:cs="Times New Roman"/>
          <w:b/>
          <w:bCs/>
          <w:sz w:val="24"/>
          <w:szCs w:val="24"/>
        </w:rPr>
      </w:pPr>
    </w:p>
    <w:p w:rsidR="00572B2C" w:rsidRPr="009F2D65" w:rsidRDefault="00572B2C" w:rsidP="00572B2C">
      <w:pPr>
        <w:jc w:val="both"/>
        <w:rPr>
          <w:rFonts w:ascii="Times New Roman" w:hAnsi="Times New Roman" w:cs="Times New Roman"/>
          <w:sz w:val="24"/>
          <w:szCs w:val="24"/>
        </w:rPr>
      </w:pPr>
      <w:proofErr w:type="spellStart"/>
      <w:r w:rsidRPr="009F2D65">
        <w:rPr>
          <w:rFonts w:ascii="Times New Roman" w:hAnsi="Times New Roman" w:cs="Times New Roman"/>
          <w:sz w:val="24"/>
          <w:szCs w:val="24"/>
        </w:rPr>
        <w:t>Thinggaard</w:t>
      </w:r>
      <w:proofErr w:type="spellEnd"/>
      <w:r w:rsidRPr="009F2D65">
        <w:rPr>
          <w:rFonts w:ascii="Times New Roman" w:hAnsi="Times New Roman" w:cs="Times New Roman"/>
          <w:sz w:val="24"/>
          <w:szCs w:val="24"/>
        </w:rPr>
        <w:t xml:space="preserve"> et al (2016) found that Chair Stand combined with MMSE are good predictors of survival among Danish nonagenarians in the 1905 cohort. Specifically, those exhibiting MMSE greater than 28 and being able to stand up from their chair without hands are at greater chance to survive to age 100. Here we tested the predictive power of these characteristics for centenarians in the 1905 and 1910 cohorts. However, we softened the “robust threshold” to those that are able to stand with and without hands and have MMSE&gt;24 given that only few individuals appear to have values of MMSE&gt;28 and are able to stand from chair without hands. By using the softened version of the robust threshold, we are able to obtain similar predictive power (depicted by the AUC) to the one depicted in our LCA categorization. Both approaches are useful to predict the length of life in centenarians.</w:t>
      </w:r>
    </w:p>
    <w:p w:rsidR="00572B2C" w:rsidRPr="009F2D65" w:rsidRDefault="00572B2C" w:rsidP="00572B2C">
      <w:pPr>
        <w:jc w:val="both"/>
        <w:rPr>
          <w:rFonts w:ascii="Times New Roman" w:hAnsi="Times New Roman" w:cs="Times New Roman"/>
          <w:b/>
          <w:bCs/>
          <w:i/>
          <w:iCs/>
          <w:sz w:val="24"/>
          <w:szCs w:val="24"/>
        </w:rPr>
      </w:pPr>
    </w:p>
    <w:p w:rsidR="00572B2C" w:rsidRPr="009F2D65" w:rsidRDefault="00572B2C" w:rsidP="00572B2C">
      <w:pPr>
        <w:jc w:val="both"/>
        <w:rPr>
          <w:rFonts w:ascii="Times New Roman" w:hAnsi="Times New Roman" w:cs="Times New Roman"/>
          <w:b/>
          <w:bCs/>
          <w:sz w:val="24"/>
          <w:szCs w:val="24"/>
        </w:rPr>
      </w:pPr>
      <w:r w:rsidRPr="009F2D65">
        <w:rPr>
          <w:rFonts w:ascii="Times New Roman" w:hAnsi="Times New Roman" w:cs="Times New Roman"/>
          <w:b/>
          <w:bCs/>
          <w:sz w:val="24"/>
          <w:szCs w:val="24"/>
        </w:rPr>
        <w:t>Table A1</w:t>
      </w:r>
      <w:r>
        <w:rPr>
          <w:rFonts w:ascii="Times New Roman" w:hAnsi="Times New Roman" w:cs="Times New Roman"/>
          <w:b/>
          <w:bCs/>
          <w:sz w:val="24"/>
          <w:szCs w:val="24"/>
        </w:rPr>
        <w:t>4</w:t>
      </w:r>
      <w:r w:rsidRPr="009F2D65">
        <w:rPr>
          <w:rFonts w:ascii="Times New Roman" w:hAnsi="Times New Roman" w:cs="Times New Roman"/>
          <w:b/>
          <w:bCs/>
          <w:sz w:val="24"/>
          <w:szCs w:val="24"/>
        </w:rPr>
        <w:t>. Area under the curve by percentile for the 1905 and 1910 cohorts using Chair Stand (able to stand with and without hands) and MMSE (&gt;24)</w:t>
      </w:r>
    </w:p>
    <w:tbl>
      <w:tblPr>
        <w:tblW w:w="7294" w:type="dxa"/>
        <w:jc w:val="center"/>
        <w:tblLook w:val="04A0" w:firstRow="1" w:lastRow="0" w:firstColumn="1" w:lastColumn="0" w:noHBand="0" w:noVBand="1"/>
      </w:tblPr>
      <w:tblGrid>
        <w:gridCol w:w="1242"/>
        <w:gridCol w:w="276"/>
        <w:gridCol w:w="1246"/>
        <w:gridCol w:w="994"/>
        <w:gridCol w:w="276"/>
        <w:gridCol w:w="1814"/>
        <w:gridCol w:w="1446"/>
      </w:tblGrid>
      <w:tr w:rsidR="00572B2C" w:rsidRPr="009F2D65" w:rsidTr="00DC57C4">
        <w:trPr>
          <w:trHeight w:val="315"/>
          <w:jc w:val="center"/>
        </w:trPr>
        <w:tc>
          <w:tcPr>
            <w:tcW w:w="1242" w:type="dxa"/>
            <w:tcBorders>
              <w:top w:val="single" w:sz="4" w:space="0" w:color="auto"/>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276" w:type="dxa"/>
            <w:tcBorders>
              <w:top w:val="single" w:sz="4" w:space="0" w:color="auto"/>
              <w:left w:val="nil"/>
              <w:bottom w:val="nil"/>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 </w:t>
            </w:r>
          </w:p>
        </w:tc>
        <w:tc>
          <w:tcPr>
            <w:tcW w:w="2240" w:type="dxa"/>
            <w:gridSpan w:val="2"/>
            <w:tcBorders>
              <w:top w:val="single" w:sz="4" w:space="0" w:color="auto"/>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1905 Cohort</w:t>
            </w:r>
          </w:p>
        </w:tc>
        <w:tc>
          <w:tcPr>
            <w:tcW w:w="276" w:type="dxa"/>
            <w:tcBorders>
              <w:top w:val="single" w:sz="4" w:space="0" w:color="auto"/>
              <w:left w:val="nil"/>
              <w:bottom w:val="nil"/>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 </w:t>
            </w:r>
          </w:p>
        </w:tc>
        <w:tc>
          <w:tcPr>
            <w:tcW w:w="3260" w:type="dxa"/>
            <w:gridSpan w:val="2"/>
            <w:tcBorders>
              <w:top w:val="single" w:sz="4" w:space="0" w:color="auto"/>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1910 Cohort</w:t>
            </w:r>
          </w:p>
        </w:tc>
      </w:tr>
      <w:tr w:rsidR="00572B2C" w:rsidRPr="009F2D65" w:rsidTr="00DC57C4">
        <w:trPr>
          <w:trHeight w:val="315"/>
          <w:jc w:val="center"/>
        </w:trPr>
        <w:tc>
          <w:tcPr>
            <w:tcW w:w="1242"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Percentile</w:t>
            </w:r>
          </w:p>
        </w:tc>
        <w:tc>
          <w:tcPr>
            <w:tcW w:w="27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 </w:t>
            </w:r>
          </w:p>
        </w:tc>
        <w:tc>
          <w:tcPr>
            <w:tcW w:w="124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Age</w:t>
            </w:r>
          </w:p>
        </w:tc>
        <w:tc>
          <w:tcPr>
            <w:tcW w:w="994"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AUC</w:t>
            </w:r>
          </w:p>
        </w:tc>
        <w:tc>
          <w:tcPr>
            <w:tcW w:w="27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 </w:t>
            </w:r>
          </w:p>
        </w:tc>
        <w:tc>
          <w:tcPr>
            <w:tcW w:w="1814"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Age</w:t>
            </w:r>
          </w:p>
        </w:tc>
        <w:tc>
          <w:tcPr>
            <w:tcW w:w="144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b/>
                <w:bCs/>
                <w:color w:val="000000"/>
                <w:sz w:val="24"/>
                <w:szCs w:val="24"/>
                <w:lang w:eastAsia="en-GB"/>
              </w:rPr>
            </w:pPr>
            <w:r w:rsidRPr="009F2D65">
              <w:rPr>
                <w:rFonts w:ascii="Times New Roman" w:eastAsia="Times New Roman" w:hAnsi="Times New Roman" w:cs="Times New Roman"/>
                <w:b/>
                <w:bCs/>
                <w:color w:val="000000"/>
                <w:sz w:val="24"/>
                <w:szCs w:val="24"/>
                <w:lang w:eastAsia="en-GB"/>
              </w:rPr>
              <w:t>AUC</w:t>
            </w:r>
          </w:p>
        </w:tc>
      </w:tr>
      <w:tr w:rsidR="00572B2C" w:rsidRPr="009F2D65" w:rsidTr="00DC57C4">
        <w:trPr>
          <w:trHeight w:val="315"/>
          <w:jc w:val="center"/>
        </w:trPr>
        <w:tc>
          <w:tcPr>
            <w:tcW w:w="1242"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95th</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2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105.61</w:t>
            </w:r>
          </w:p>
        </w:tc>
        <w:tc>
          <w:tcPr>
            <w:tcW w:w="99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0.60</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81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105.72</w:t>
            </w:r>
          </w:p>
        </w:tc>
        <w:tc>
          <w:tcPr>
            <w:tcW w:w="14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0.66</w:t>
            </w:r>
          </w:p>
        </w:tc>
      </w:tr>
      <w:tr w:rsidR="00572B2C" w:rsidRPr="009F2D65" w:rsidTr="00DC57C4">
        <w:trPr>
          <w:trHeight w:val="315"/>
          <w:jc w:val="center"/>
        </w:trPr>
        <w:tc>
          <w:tcPr>
            <w:tcW w:w="1242"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96th</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2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105.95</w:t>
            </w:r>
          </w:p>
        </w:tc>
        <w:tc>
          <w:tcPr>
            <w:tcW w:w="99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0.73</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81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106.08</w:t>
            </w:r>
          </w:p>
        </w:tc>
        <w:tc>
          <w:tcPr>
            <w:tcW w:w="14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0.66</w:t>
            </w:r>
          </w:p>
        </w:tc>
      </w:tr>
      <w:tr w:rsidR="00572B2C" w:rsidRPr="009F2D65" w:rsidTr="00DC57C4">
        <w:trPr>
          <w:trHeight w:val="315"/>
          <w:jc w:val="center"/>
        </w:trPr>
        <w:tc>
          <w:tcPr>
            <w:tcW w:w="1242"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97th</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2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106.26</w:t>
            </w:r>
          </w:p>
        </w:tc>
        <w:tc>
          <w:tcPr>
            <w:tcW w:w="99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0.73</w:t>
            </w:r>
          </w:p>
        </w:tc>
        <w:tc>
          <w:tcPr>
            <w:tcW w:w="276" w:type="dxa"/>
            <w:tcBorders>
              <w:top w:val="nil"/>
              <w:left w:val="nil"/>
              <w:bottom w:val="nil"/>
              <w:right w:val="nil"/>
            </w:tcBorders>
            <w:shd w:val="clear" w:color="auto" w:fill="auto"/>
            <w:noWrap/>
            <w:vAlign w:val="center"/>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81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106.39</w:t>
            </w:r>
          </w:p>
        </w:tc>
        <w:tc>
          <w:tcPr>
            <w:tcW w:w="14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0.65</w:t>
            </w:r>
          </w:p>
        </w:tc>
      </w:tr>
      <w:tr w:rsidR="00572B2C" w:rsidRPr="009F2D65" w:rsidTr="00DC57C4">
        <w:trPr>
          <w:trHeight w:val="315"/>
          <w:jc w:val="center"/>
        </w:trPr>
        <w:tc>
          <w:tcPr>
            <w:tcW w:w="1242"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98th</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2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106.95</w:t>
            </w:r>
          </w:p>
        </w:tc>
        <w:tc>
          <w:tcPr>
            <w:tcW w:w="994" w:type="dxa"/>
            <w:tcBorders>
              <w:top w:val="nil"/>
              <w:left w:val="nil"/>
              <w:bottom w:val="nil"/>
              <w:right w:val="nil"/>
            </w:tcBorders>
            <w:shd w:val="clear" w:color="auto" w:fill="auto"/>
            <w:noWrap/>
            <w:vAlign w:val="center"/>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0.71</w:t>
            </w:r>
          </w:p>
        </w:tc>
        <w:tc>
          <w:tcPr>
            <w:tcW w:w="276" w:type="dxa"/>
            <w:tcBorders>
              <w:top w:val="nil"/>
              <w:left w:val="nil"/>
              <w:bottom w:val="nil"/>
              <w:right w:val="nil"/>
            </w:tcBorders>
            <w:shd w:val="clear" w:color="auto" w:fill="auto"/>
            <w:noWrap/>
            <w:vAlign w:val="center"/>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81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107.09</w:t>
            </w:r>
          </w:p>
        </w:tc>
        <w:tc>
          <w:tcPr>
            <w:tcW w:w="14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0.65</w:t>
            </w:r>
          </w:p>
        </w:tc>
      </w:tr>
      <w:tr w:rsidR="00572B2C" w:rsidRPr="009F2D65" w:rsidTr="00DC57C4">
        <w:trPr>
          <w:trHeight w:val="315"/>
          <w:jc w:val="center"/>
        </w:trPr>
        <w:tc>
          <w:tcPr>
            <w:tcW w:w="1242"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99th</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2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107.94</w:t>
            </w:r>
          </w:p>
        </w:tc>
        <w:tc>
          <w:tcPr>
            <w:tcW w:w="99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0.72</w:t>
            </w:r>
          </w:p>
        </w:tc>
        <w:tc>
          <w:tcPr>
            <w:tcW w:w="27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p>
        </w:tc>
        <w:tc>
          <w:tcPr>
            <w:tcW w:w="1814"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108.15</w:t>
            </w:r>
          </w:p>
        </w:tc>
        <w:tc>
          <w:tcPr>
            <w:tcW w:w="1446" w:type="dxa"/>
            <w:tcBorders>
              <w:top w:val="nil"/>
              <w:left w:val="nil"/>
              <w:bottom w:val="nil"/>
              <w:right w:val="nil"/>
            </w:tcBorders>
            <w:shd w:val="clear" w:color="auto" w:fill="auto"/>
            <w:noWrap/>
            <w:vAlign w:val="bottom"/>
            <w:hideMark/>
          </w:tcPr>
          <w:p w:rsidR="00572B2C" w:rsidRPr="009F2D65" w:rsidRDefault="00572B2C" w:rsidP="00DC57C4">
            <w:pPr>
              <w:spacing w:after="0" w:line="240" w:lineRule="auto"/>
              <w:jc w:val="center"/>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0.61</w:t>
            </w:r>
          </w:p>
        </w:tc>
      </w:tr>
      <w:tr w:rsidR="00572B2C" w:rsidRPr="009F2D65" w:rsidTr="00DC57C4">
        <w:trPr>
          <w:trHeight w:val="315"/>
          <w:jc w:val="center"/>
        </w:trPr>
        <w:tc>
          <w:tcPr>
            <w:tcW w:w="1242"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27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124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994"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27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1814"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c>
          <w:tcPr>
            <w:tcW w:w="1446" w:type="dxa"/>
            <w:tcBorders>
              <w:top w:val="nil"/>
              <w:left w:val="nil"/>
              <w:bottom w:val="single" w:sz="4" w:space="0" w:color="auto"/>
              <w:right w:val="nil"/>
            </w:tcBorders>
            <w:shd w:val="clear" w:color="auto" w:fill="auto"/>
            <w:noWrap/>
            <w:vAlign w:val="bottom"/>
            <w:hideMark/>
          </w:tcPr>
          <w:p w:rsidR="00572B2C" w:rsidRPr="009F2D65" w:rsidRDefault="00572B2C" w:rsidP="00DC57C4">
            <w:pPr>
              <w:spacing w:after="0" w:line="240" w:lineRule="auto"/>
              <w:rPr>
                <w:rFonts w:ascii="Times New Roman" w:eastAsia="Times New Roman" w:hAnsi="Times New Roman" w:cs="Times New Roman"/>
                <w:color w:val="000000"/>
                <w:sz w:val="24"/>
                <w:szCs w:val="24"/>
                <w:lang w:eastAsia="en-GB"/>
              </w:rPr>
            </w:pPr>
            <w:r w:rsidRPr="009F2D65">
              <w:rPr>
                <w:rFonts w:ascii="Times New Roman" w:eastAsia="Times New Roman" w:hAnsi="Times New Roman" w:cs="Times New Roman"/>
                <w:color w:val="000000"/>
                <w:sz w:val="24"/>
                <w:szCs w:val="24"/>
                <w:lang w:eastAsia="en-GB"/>
              </w:rPr>
              <w:t> </w:t>
            </w:r>
          </w:p>
        </w:tc>
      </w:tr>
    </w:tbl>
    <w:p w:rsidR="00572B2C" w:rsidRDefault="00572B2C" w:rsidP="00572B2C">
      <w:pPr>
        <w:autoSpaceDE w:val="0"/>
        <w:autoSpaceDN w:val="0"/>
        <w:adjustRightInd w:val="0"/>
        <w:spacing w:after="0" w:line="240" w:lineRule="auto"/>
        <w:rPr>
          <w:rFonts w:ascii="Times New Roman" w:hAnsi="Times New Roman" w:cs="Times New Roman"/>
          <w:b/>
          <w:bCs/>
          <w:sz w:val="32"/>
          <w:szCs w:val="32"/>
        </w:rPr>
      </w:pPr>
      <w:r w:rsidRPr="009F2D65">
        <w:rPr>
          <w:rFonts w:ascii="Times New Roman" w:hAnsi="Times New Roman" w:cs="Times New Roman"/>
          <w:sz w:val="24"/>
          <w:szCs w:val="24"/>
        </w:rPr>
        <w:t xml:space="preserve">Note: The AUC ranges from 0 to 1; a higher AUC implies a better prediction. Medford et al. define the frontier of survival as the 95th percentile of the centenarian age-at-death distribution. We included upper percentiles as a robustness check. The AUC in this table was calculated using only Chair Stand and MMSE as in </w:t>
      </w:r>
      <w:proofErr w:type="spellStart"/>
      <w:r w:rsidRPr="009F2D65">
        <w:rPr>
          <w:rFonts w:ascii="Times New Roman" w:hAnsi="Times New Roman" w:cs="Times New Roman"/>
          <w:sz w:val="24"/>
          <w:szCs w:val="24"/>
        </w:rPr>
        <w:t>Thinggaard</w:t>
      </w:r>
      <w:proofErr w:type="spellEnd"/>
      <w:r w:rsidRPr="009F2D65">
        <w:rPr>
          <w:rFonts w:ascii="Times New Roman" w:hAnsi="Times New Roman" w:cs="Times New Roman"/>
          <w:sz w:val="24"/>
          <w:szCs w:val="24"/>
        </w:rPr>
        <w:t xml:space="preserve"> et al, (20</w:t>
      </w:r>
      <w:r>
        <w:rPr>
          <w:rFonts w:ascii="Times New Roman" w:hAnsi="Times New Roman" w:cs="Times New Roman"/>
          <w:sz w:val="24"/>
          <w:szCs w:val="24"/>
        </w:rPr>
        <w:t>16)</w:t>
      </w:r>
    </w:p>
    <w:p w:rsidR="00572B2C" w:rsidRDefault="00572B2C" w:rsidP="00572B2C"/>
    <w:p w:rsidR="008E013A" w:rsidRPr="00572B2C" w:rsidRDefault="00572B2C" w:rsidP="00572B2C">
      <w:bookmarkStart w:id="0" w:name="_GoBack"/>
      <w:bookmarkEnd w:id="0"/>
    </w:p>
    <w:sectPr w:rsidR="008E013A" w:rsidRPr="00572B2C" w:rsidSect="000F1420">
      <w:footnotePr>
        <w:numFmt w:val="lowerLetter"/>
      </w:footnotePr>
      <w:pgSz w:w="11906" w:h="16838"/>
      <w:pgMar w:top="1701" w:right="1134" w:bottom="1418" w:left="1134" w:header="708" w:footer="708" w:gutter="0"/>
      <w:lnNumType w:countBy="1" w:restart="continuou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16160F4"/>
    <w:multiLevelType w:val="hybridMultilevel"/>
    <w:tmpl w:val="AE103EAE"/>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numFmt w:val="lowerLetter"/>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3433"/>
    <w:rsid w:val="000020E8"/>
    <w:rsid w:val="0000424A"/>
    <w:rsid w:val="00004403"/>
    <w:rsid w:val="0002679B"/>
    <w:rsid w:val="0003304A"/>
    <w:rsid w:val="0003408C"/>
    <w:rsid w:val="0003521B"/>
    <w:rsid w:val="00040A26"/>
    <w:rsid w:val="00051390"/>
    <w:rsid w:val="00053B5A"/>
    <w:rsid w:val="0005559F"/>
    <w:rsid w:val="00056778"/>
    <w:rsid w:val="00056AFA"/>
    <w:rsid w:val="000630E9"/>
    <w:rsid w:val="00071585"/>
    <w:rsid w:val="000725FE"/>
    <w:rsid w:val="00072F96"/>
    <w:rsid w:val="00073CE5"/>
    <w:rsid w:val="0008073C"/>
    <w:rsid w:val="000815D4"/>
    <w:rsid w:val="0008290D"/>
    <w:rsid w:val="0008342C"/>
    <w:rsid w:val="00087518"/>
    <w:rsid w:val="000913D6"/>
    <w:rsid w:val="000B1CB5"/>
    <w:rsid w:val="000B36A3"/>
    <w:rsid w:val="000B4169"/>
    <w:rsid w:val="000D0953"/>
    <w:rsid w:val="000D14CF"/>
    <w:rsid w:val="000D4446"/>
    <w:rsid w:val="000D692D"/>
    <w:rsid w:val="000E35BB"/>
    <w:rsid w:val="000F4056"/>
    <w:rsid w:val="000F6777"/>
    <w:rsid w:val="000F7F6F"/>
    <w:rsid w:val="0010068B"/>
    <w:rsid w:val="00110264"/>
    <w:rsid w:val="00111025"/>
    <w:rsid w:val="00112FE2"/>
    <w:rsid w:val="00114B12"/>
    <w:rsid w:val="001218E2"/>
    <w:rsid w:val="00127C27"/>
    <w:rsid w:val="00130310"/>
    <w:rsid w:val="00137DC5"/>
    <w:rsid w:val="0014016F"/>
    <w:rsid w:val="00142ABC"/>
    <w:rsid w:val="0014746E"/>
    <w:rsid w:val="00150CAF"/>
    <w:rsid w:val="00156A45"/>
    <w:rsid w:val="00171A3C"/>
    <w:rsid w:val="0017369C"/>
    <w:rsid w:val="001835A0"/>
    <w:rsid w:val="00185D09"/>
    <w:rsid w:val="001875B1"/>
    <w:rsid w:val="001B5BCB"/>
    <w:rsid w:val="001B5D6E"/>
    <w:rsid w:val="001B7C3E"/>
    <w:rsid w:val="001C3D64"/>
    <w:rsid w:val="001D0E35"/>
    <w:rsid w:val="001D3551"/>
    <w:rsid w:val="001D630A"/>
    <w:rsid w:val="001E3243"/>
    <w:rsid w:val="001E478D"/>
    <w:rsid w:val="001F1EF0"/>
    <w:rsid w:val="001F2D7F"/>
    <w:rsid w:val="001F445A"/>
    <w:rsid w:val="001F77C1"/>
    <w:rsid w:val="002034C2"/>
    <w:rsid w:val="00206132"/>
    <w:rsid w:val="00232077"/>
    <w:rsid w:val="002339E5"/>
    <w:rsid w:val="002508A8"/>
    <w:rsid w:val="00253CE0"/>
    <w:rsid w:val="002729A2"/>
    <w:rsid w:val="00281333"/>
    <w:rsid w:val="0028250A"/>
    <w:rsid w:val="002960EE"/>
    <w:rsid w:val="00296C86"/>
    <w:rsid w:val="002B4061"/>
    <w:rsid w:val="002B42DB"/>
    <w:rsid w:val="002B4D9F"/>
    <w:rsid w:val="002B7E93"/>
    <w:rsid w:val="002D05D2"/>
    <w:rsid w:val="002D23A6"/>
    <w:rsid w:val="002D2A2F"/>
    <w:rsid w:val="002F6DAA"/>
    <w:rsid w:val="00325335"/>
    <w:rsid w:val="00347522"/>
    <w:rsid w:val="003572A8"/>
    <w:rsid w:val="003615F6"/>
    <w:rsid w:val="0036185E"/>
    <w:rsid w:val="00363DE8"/>
    <w:rsid w:val="0036464B"/>
    <w:rsid w:val="003713AE"/>
    <w:rsid w:val="00381638"/>
    <w:rsid w:val="00381A67"/>
    <w:rsid w:val="0038397C"/>
    <w:rsid w:val="00392AC1"/>
    <w:rsid w:val="00393121"/>
    <w:rsid w:val="003A6262"/>
    <w:rsid w:val="003B5DB5"/>
    <w:rsid w:val="003B7CED"/>
    <w:rsid w:val="003C20D5"/>
    <w:rsid w:val="003C7BB9"/>
    <w:rsid w:val="003D1A27"/>
    <w:rsid w:val="003D4CE7"/>
    <w:rsid w:val="003E3220"/>
    <w:rsid w:val="003F335A"/>
    <w:rsid w:val="00400C88"/>
    <w:rsid w:val="00401E59"/>
    <w:rsid w:val="00402262"/>
    <w:rsid w:val="004127CF"/>
    <w:rsid w:val="00424F80"/>
    <w:rsid w:val="00426B82"/>
    <w:rsid w:val="00443B62"/>
    <w:rsid w:val="0045220D"/>
    <w:rsid w:val="0045288E"/>
    <w:rsid w:val="004569E0"/>
    <w:rsid w:val="00460364"/>
    <w:rsid w:val="0047361E"/>
    <w:rsid w:val="0049187A"/>
    <w:rsid w:val="00493621"/>
    <w:rsid w:val="004A2823"/>
    <w:rsid w:val="004B48C8"/>
    <w:rsid w:val="004D17DF"/>
    <w:rsid w:val="004D5240"/>
    <w:rsid w:val="004D5393"/>
    <w:rsid w:val="004E26FC"/>
    <w:rsid w:val="004E4460"/>
    <w:rsid w:val="004E4AA6"/>
    <w:rsid w:val="004E6BC8"/>
    <w:rsid w:val="004F4E3A"/>
    <w:rsid w:val="00512CC5"/>
    <w:rsid w:val="00530F6A"/>
    <w:rsid w:val="00531136"/>
    <w:rsid w:val="005407B1"/>
    <w:rsid w:val="00542236"/>
    <w:rsid w:val="0055009F"/>
    <w:rsid w:val="005667BB"/>
    <w:rsid w:val="00570157"/>
    <w:rsid w:val="005703D3"/>
    <w:rsid w:val="00572B2C"/>
    <w:rsid w:val="0057537E"/>
    <w:rsid w:val="005771EF"/>
    <w:rsid w:val="00577CCC"/>
    <w:rsid w:val="00580BDF"/>
    <w:rsid w:val="0058153A"/>
    <w:rsid w:val="00581C6C"/>
    <w:rsid w:val="00591B71"/>
    <w:rsid w:val="005A044D"/>
    <w:rsid w:val="005A2DEF"/>
    <w:rsid w:val="005B21C3"/>
    <w:rsid w:val="005B596C"/>
    <w:rsid w:val="005C3433"/>
    <w:rsid w:val="005C3578"/>
    <w:rsid w:val="005D1693"/>
    <w:rsid w:val="005E1820"/>
    <w:rsid w:val="005F49A3"/>
    <w:rsid w:val="005F6468"/>
    <w:rsid w:val="00603A26"/>
    <w:rsid w:val="00610684"/>
    <w:rsid w:val="00610831"/>
    <w:rsid w:val="00613FC3"/>
    <w:rsid w:val="00622AC8"/>
    <w:rsid w:val="00627D6B"/>
    <w:rsid w:val="006414D6"/>
    <w:rsid w:val="0064751F"/>
    <w:rsid w:val="006803C4"/>
    <w:rsid w:val="00683CAC"/>
    <w:rsid w:val="006A3062"/>
    <w:rsid w:val="006A5446"/>
    <w:rsid w:val="006C37D8"/>
    <w:rsid w:val="006C3982"/>
    <w:rsid w:val="006C5251"/>
    <w:rsid w:val="006D1759"/>
    <w:rsid w:val="006D33B1"/>
    <w:rsid w:val="006E432C"/>
    <w:rsid w:val="006E5B97"/>
    <w:rsid w:val="006F5B0E"/>
    <w:rsid w:val="00726180"/>
    <w:rsid w:val="007331CE"/>
    <w:rsid w:val="00746528"/>
    <w:rsid w:val="00761160"/>
    <w:rsid w:val="00785E39"/>
    <w:rsid w:val="00791A6B"/>
    <w:rsid w:val="007A74B4"/>
    <w:rsid w:val="007B1A9E"/>
    <w:rsid w:val="007B68BB"/>
    <w:rsid w:val="007C3A65"/>
    <w:rsid w:val="007D062A"/>
    <w:rsid w:val="007D607E"/>
    <w:rsid w:val="007E11D7"/>
    <w:rsid w:val="007E7C4A"/>
    <w:rsid w:val="007F2BE6"/>
    <w:rsid w:val="007F36B0"/>
    <w:rsid w:val="00814009"/>
    <w:rsid w:val="00816026"/>
    <w:rsid w:val="00841032"/>
    <w:rsid w:val="00842598"/>
    <w:rsid w:val="008520F4"/>
    <w:rsid w:val="0087305D"/>
    <w:rsid w:val="00875CA9"/>
    <w:rsid w:val="00877FDC"/>
    <w:rsid w:val="00882CB8"/>
    <w:rsid w:val="00886BE4"/>
    <w:rsid w:val="00892DDB"/>
    <w:rsid w:val="00894B39"/>
    <w:rsid w:val="008B4020"/>
    <w:rsid w:val="008B5DF0"/>
    <w:rsid w:val="008D70A7"/>
    <w:rsid w:val="008E0277"/>
    <w:rsid w:val="008E08F5"/>
    <w:rsid w:val="008E4C0C"/>
    <w:rsid w:val="008E6839"/>
    <w:rsid w:val="009164F4"/>
    <w:rsid w:val="00917BD4"/>
    <w:rsid w:val="00920EC1"/>
    <w:rsid w:val="00937E57"/>
    <w:rsid w:val="009429BD"/>
    <w:rsid w:val="00945A24"/>
    <w:rsid w:val="009632F1"/>
    <w:rsid w:val="00971BC6"/>
    <w:rsid w:val="00977409"/>
    <w:rsid w:val="00977750"/>
    <w:rsid w:val="00981B50"/>
    <w:rsid w:val="00982029"/>
    <w:rsid w:val="00982753"/>
    <w:rsid w:val="0099715F"/>
    <w:rsid w:val="009A13CF"/>
    <w:rsid w:val="009A4E7A"/>
    <w:rsid w:val="009A501D"/>
    <w:rsid w:val="009B2F56"/>
    <w:rsid w:val="009B578F"/>
    <w:rsid w:val="009C202B"/>
    <w:rsid w:val="009C2A9F"/>
    <w:rsid w:val="009C48BC"/>
    <w:rsid w:val="009D319A"/>
    <w:rsid w:val="009D6A14"/>
    <w:rsid w:val="009E19D7"/>
    <w:rsid w:val="00A071D2"/>
    <w:rsid w:val="00A17A8A"/>
    <w:rsid w:val="00A313C7"/>
    <w:rsid w:val="00A31A30"/>
    <w:rsid w:val="00A33970"/>
    <w:rsid w:val="00A45CD7"/>
    <w:rsid w:val="00A51224"/>
    <w:rsid w:val="00A54ABA"/>
    <w:rsid w:val="00A5796D"/>
    <w:rsid w:val="00A83222"/>
    <w:rsid w:val="00A871E5"/>
    <w:rsid w:val="00A92FE7"/>
    <w:rsid w:val="00A93AFC"/>
    <w:rsid w:val="00A957BA"/>
    <w:rsid w:val="00AA400B"/>
    <w:rsid w:val="00AA515E"/>
    <w:rsid w:val="00AA5596"/>
    <w:rsid w:val="00AA6B7F"/>
    <w:rsid w:val="00AC1CC1"/>
    <w:rsid w:val="00AC6765"/>
    <w:rsid w:val="00AD6FCF"/>
    <w:rsid w:val="00AE4A2D"/>
    <w:rsid w:val="00B0382E"/>
    <w:rsid w:val="00B0606B"/>
    <w:rsid w:val="00B0665B"/>
    <w:rsid w:val="00B143CC"/>
    <w:rsid w:val="00B2280A"/>
    <w:rsid w:val="00B34F81"/>
    <w:rsid w:val="00B469F0"/>
    <w:rsid w:val="00B51482"/>
    <w:rsid w:val="00B543FD"/>
    <w:rsid w:val="00B56A83"/>
    <w:rsid w:val="00B8533E"/>
    <w:rsid w:val="00B86F65"/>
    <w:rsid w:val="00B9369D"/>
    <w:rsid w:val="00BB0142"/>
    <w:rsid w:val="00BB5F6A"/>
    <w:rsid w:val="00BC1505"/>
    <w:rsid w:val="00BC7A54"/>
    <w:rsid w:val="00BE075C"/>
    <w:rsid w:val="00BF5BCC"/>
    <w:rsid w:val="00C038CF"/>
    <w:rsid w:val="00C10B12"/>
    <w:rsid w:val="00C11946"/>
    <w:rsid w:val="00C20B38"/>
    <w:rsid w:val="00C260D8"/>
    <w:rsid w:val="00C342E9"/>
    <w:rsid w:val="00C445F0"/>
    <w:rsid w:val="00C51E34"/>
    <w:rsid w:val="00C57078"/>
    <w:rsid w:val="00C6369B"/>
    <w:rsid w:val="00C67E08"/>
    <w:rsid w:val="00C830D4"/>
    <w:rsid w:val="00C85F8F"/>
    <w:rsid w:val="00C8786A"/>
    <w:rsid w:val="00C87A1F"/>
    <w:rsid w:val="00C901C2"/>
    <w:rsid w:val="00C92BE1"/>
    <w:rsid w:val="00C94B51"/>
    <w:rsid w:val="00CA15AE"/>
    <w:rsid w:val="00CB1457"/>
    <w:rsid w:val="00CD09C7"/>
    <w:rsid w:val="00CD1616"/>
    <w:rsid w:val="00CD3140"/>
    <w:rsid w:val="00D22AD0"/>
    <w:rsid w:val="00D268B0"/>
    <w:rsid w:val="00D309AA"/>
    <w:rsid w:val="00D30DF0"/>
    <w:rsid w:val="00D35A05"/>
    <w:rsid w:val="00D405D0"/>
    <w:rsid w:val="00D44000"/>
    <w:rsid w:val="00D54F53"/>
    <w:rsid w:val="00D75CBC"/>
    <w:rsid w:val="00D7602C"/>
    <w:rsid w:val="00D835CB"/>
    <w:rsid w:val="00D91EDB"/>
    <w:rsid w:val="00DA688B"/>
    <w:rsid w:val="00DB02FB"/>
    <w:rsid w:val="00DB5342"/>
    <w:rsid w:val="00DF0309"/>
    <w:rsid w:val="00DF055A"/>
    <w:rsid w:val="00DF3B46"/>
    <w:rsid w:val="00E02DD8"/>
    <w:rsid w:val="00E052D5"/>
    <w:rsid w:val="00E101E8"/>
    <w:rsid w:val="00E1369F"/>
    <w:rsid w:val="00E21DF6"/>
    <w:rsid w:val="00E22096"/>
    <w:rsid w:val="00E23968"/>
    <w:rsid w:val="00E3438F"/>
    <w:rsid w:val="00E35757"/>
    <w:rsid w:val="00E406EF"/>
    <w:rsid w:val="00E5427C"/>
    <w:rsid w:val="00E708F2"/>
    <w:rsid w:val="00E70A2C"/>
    <w:rsid w:val="00E70A4F"/>
    <w:rsid w:val="00E70C16"/>
    <w:rsid w:val="00E74AB1"/>
    <w:rsid w:val="00E84E08"/>
    <w:rsid w:val="00E857BB"/>
    <w:rsid w:val="00E86718"/>
    <w:rsid w:val="00E9051E"/>
    <w:rsid w:val="00E90A36"/>
    <w:rsid w:val="00E93391"/>
    <w:rsid w:val="00EB4704"/>
    <w:rsid w:val="00EC00B7"/>
    <w:rsid w:val="00EC4A6A"/>
    <w:rsid w:val="00ED6C89"/>
    <w:rsid w:val="00EE616D"/>
    <w:rsid w:val="00EE674C"/>
    <w:rsid w:val="00EE6AEA"/>
    <w:rsid w:val="00EF071D"/>
    <w:rsid w:val="00F06ADA"/>
    <w:rsid w:val="00F15023"/>
    <w:rsid w:val="00F175C4"/>
    <w:rsid w:val="00F211DB"/>
    <w:rsid w:val="00F23C10"/>
    <w:rsid w:val="00F23EB9"/>
    <w:rsid w:val="00F32AD6"/>
    <w:rsid w:val="00F42BC0"/>
    <w:rsid w:val="00F430CC"/>
    <w:rsid w:val="00F567B5"/>
    <w:rsid w:val="00F572C6"/>
    <w:rsid w:val="00F63311"/>
    <w:rsid w:val="00F645A8"/>
    <w:rsid w:val="00F725FB"/>
    <w:rsid w:val="00F86CB8"/>
    <w:rsid w:val="00F94693"/>
    <w:rsid w:val="00FA3D2C"/>
    <w:rsid w:val="00FB0F74"/>
    <w:rsid w:val="00FC0C21"/>
    <w:rsid w:val="00FC2319"/>
    <w:rsid w:val="00FC40C8"/>
    <w:rsid w:val="00FD0F4F"/>
    <w:rsid w:val="00FD2518"/>
    <w:rsid w:val="00FE12D9"/>
    <w:rsid w:val="00FF2EA1"/>
    <w:rsid w:val="00FF3B1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2EE0D6F-89F4-4D72-8B20-E5FDCB8808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82753"/>
    <w:pPr>
      <w:ind w:left="720"/>
      <w:contextualSpacing/>
    </w:pPr>
    <w:rPr>
      <w:lang w:val="en-GB"/>
    </w:rPr>
  </w:style>
  <w:style w:type="character" w:styleId="LineNumber">
    <w:name w:val="line number"/>
    <w:basedOn w:val="DefaultParagraphFont"/>
    <w:uiPriority w:val="99"/>
    <w:semiHidden/>
    <w:unhideWhenUsed/>
    <w:rsid w:val="0098275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258</Words>
  <Characters>1475</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Julie  Alolod Olano</dc:creator>
  <cp:keywords/>
  <dc:description/>
  <cp:lastModifiedBy>Julie  Alolod Olano</cp:lastModifiedBy>
  <cp:revision>2</cp:revision>
  <dcterms:created xsi:type="dcterms:W3CDTF">2021-06-20T01:32:00Z</dcterms:created>
  <dcterms:modified xsi:type="dcterms:W3CDTF">2021-06-20T01:32:00Z</dcterms:modified>
</cp:coreProperties>
</file>