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385CF" w14:textId="6270E7B6" w:rsidR="004774F0" w:rsidRPr="00FC4708" w:rsidRDefault="00A61605" w:rsidP="004774F0">
      <w:pPr>
        <w:pStyle w:val="xmsonormal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Additional</w:t>
      </w:r>
      <w:r w:rsidR="004774F0" w:rsidRPr="00FC4708">
        <w:rPr>
          <w:rFonts w:asciiTheme="minorHAnsi" w:hAnsiTheme="minorHAnsi" w:cstheme="minorHAnsi"/>
          <w:b/>
        </w:rPr>
        <w:t xml:space="preserve"> file </w:t>
      </w:r>
      <w:r>
        <w:rPr>
          <w:rFonts w:asciiTheme="minorHAnsi" w:hAnsiTheme="minorHAnsi" w:cstheme="minorHAnsi"/>
          <w:b/>
        </w:rPr>
        <w:t>1</w:t>
      </w:r>
      <w:r w:rsidR="00AF5C99" w:rsidRPr="00FC4708">
        <w:rPr>
          <w:rFonts w:asciiTheme="minorHAnsi" w:hAnsiTheme="minorHAnsi" w:cstheme="minorHAnsi"/>
          <w:b/>
        </w:rPr>
        <w:t>.</w:t>
      </w:r>
      <w:r w:rsidR="004774F0" w:rsidRPr="00FC4708">
        <w:rPr>
          <w:rFonts w:asciiTheme="minorHAnsi" w:hAnsiTheme="minorHAnsi" w:cstheme="minorHAnsi"/>
          <w:b/>
        </w:rPr>
        <w:t xml:space="preserve"> Calculation of the costs of hospital-level care in residential settings in New Zealand.</w:t>
      </w:r>
    </w:p>
    <w:p w14:paraId="332AB916" w14:textId="77777777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</w:p>
    <w:p w14:paraId="090B4ACD" w14:textId="3004642D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 xml:space="preserve">In New Zealand, care is administered through the “Aged Residential Hospital </w:t>
      </w:r>
      <w:proofErr w:type="spellStart"/>
      <w:r w:rsidRPr="00FC4708">
        <w:rPr>
          <w:rFonts w:asciiTheme="minorHAnsi" w:hAnsiTheme="minorHAnsi" w:cstheme="minorHAnsi"/>
          <w:color w:val="000000"/>
        </w:rPr>
        <w:t>Specialised</w:t>
      </w:r>
      <w:proofErr w:type="spellEnd"/>
      <w:r w:rsidRPr="00FC4708">
        <w:rPr>
          <w:rFonts w:asciiTheme="minorHAnsi" w:hAnsiTheme="minorHAnsi" w:cstheme="minorHAnsi"/>
          <w:color w:val="000000"/>
        </w:rPr>
        <w:t xml:space="preserve"> Services Agreement” (ARHSS)</w:t>
      </w:r>
      <w:r w:rsidR="00C241EF" w:rsidRPr="00FC4708">
        <w:rPr>
          <w:rFonts w:asciiTheme="minorHAnsi" w:hAnsiTheme="minorHAnsi" w:cstheme="minorHAnsi"/>
          <w:color w:val="000000"/>
          <w:vertAlign w:val="superscript"/>
        </w:rPr>
        <w:t>1</w:t>
      </w:r>
      <w:r w:rsidRPr="00FC4708">
        <w:rPr>
          <w:rFonts w:asciiTheme="minorHAnsi" w:hAnsiTheme="minorHAnsi" w:cstheme="minorHAnsi"/>
          <w:color w:val="000000"/>
        </w:rPr>
        <w:t xml:space="preserve"> between each provider and their respective DHBs,</w:t>
      </w:r>
      <w:r w:rsidR="0028534D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and the daily rates paid (after any contributions from resident</w:t>
      </w:r>
      <w:r w:rsidR="0089489B" w:rsidRPr="00FC4708">
        <w:rPr>
          <w:rFonts w:asciiTheme="minorHAnsi" w:hAnsiTheme="minorHAnsi" w:cstheme="minorHAnsi"/>
          <w:color w:val="000000"/>
        </w:rPr>
        <w:t>s</w:t>
      </w:r>
      <w:r w:rsidRPr="00FC4708">
        <w:rPr>
          <w:rFonts w:asciiTheme="minorHAnsi" w:hAnsiTheme="minorHAnsi" w:cstheme="minorHAnsi"/>
          <w:color w:val="000000"/>
        </w:rPr>
        <w:t>) differ from facility to facility as a daily rate.</w:t>
      </w:r>
      <w:r w:rsidR="0089489B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The corresponding document “Age-Related Residential Care Services Agreement” (ARRC)</w:t>
      </w:r>
      <w:r w:rsidR="00C241EF" w:rsidRPr="00FC4708">
        <w:rPr>
          <w:rFonts w:asciiTheme="minorHAnsi" w:hAnsiTheme="minorHAnsi" w:cstheme="minorHAnsi"/>
          <w:color w:val="000000"/>
          <w:vertAlign w:val="superscript"/>
        </w:rPr>
        <w:t>2</w:t>
      </w:r>
      <w:r w:rsidRPr="00FC4708">
        <w:rPr>
          <w:rFonts w:asciiTheme="minorHAnsi" w:hAnsiTheme="minorHAnsi" w:cstheme="minorHAnsi"/>
          <w:color w:val="000000"/>
        </w:rPr>
        <w:t xml:space="preserve"> deals with those who are in non-hospital level beds.</w:t>
      </w:r>
      <w:r w:rsidR="0089489B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There is no single figure that applies throughout the country and so it is only possible to obtain a figure by looking at nationwide figures, in whatever form these are reported.</w:t>
      </w:r>
      <w:r w:rsidR="0089489B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The 2019 Aged Residential Care Funding Model Review</w:t>
      </w:r>
      <w:r w:rsidR="00C241EF" w:rsidRPr="00FC4708">
        <w:rPr>
          <w:rFonts w:asciiTheme="minorHAnsi" w:hAnsiTheme="minorHAnsi" w:cstheme="minorHAnsi"/>
          <w:color w:val="000000"/>
          <w:vertAlign w:val="superscript"/>
        </w:rPr>
        <w:t>3</w:t>
      </w:r>
      <w:r w:rsidRPr="00FC4708">
        <w:rPr>
          <w:rFonts w:asciiTheme="minorHAnsi" w:hAnsiTheme="minorHAnsi" w:cstheme="minorHAnsi"/>
          <w:color w:val="000000"/>
        </w:rPr>
        <w:t xml:space="preserve"> was conducted by EY and contains sufficient information to obtain a unit cost figure, albeit not one that has a strong adjustment for case-mix.</w:t>
      </w:r>
    </w:p>
    <w:p w14:paraId="11414ABB" w14:textId="59294494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</w:p>
    <w:p w14:paraId="10DC9A83" w14:textId="34A97209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>The ARRC figure applies to care before any ‘extra’ or ‘premium’ charges are levied, including those charged when providing care under the ARHSS.</w:t>
      </w:r>
      <w:r w:rsidR="005C23FD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Page 78 of the EY report notes that the care category prices cover both the ARRC and ARHSS.</w:t>
      </w:r>
    </w:p>
    <w:p w14:paraId="7A205E5D" w14:textId="77777777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> </w:t>
      </w:r>
    </w:p>
    <w:p w14:paraId="2F68A3FF" w14:textId="77777777" w:rsidR="006943AD" w:rsidRDefault="004774F0" w:rsidP="004774F0">
      <w:pPr>
        <w:pStyle w:val="xmsonormal"/>
        <w:rPr>
          <w:rFonts w:asciiTheme="minorHAnsi" w:hAnsiTheme="minorHAnsi" w:cstheme="minorHAnsi"/>
          <w:color w:val="000000"/>
        </w:rPr>
      </w:pPr>
      <w:r w:rsidRPr="00FC4708">
        <w:rPr>
          <w:rFonts w:asciiTheme="minorHAnsi" w:hAnsiTheme="minorHAnsi" w:cstheme="minorHAnsi"/>
          <w:color w:val="000000"/>
        </w:rPr>
        <w:t>Figure 8 provides a 2018 median annual contract price</w:t>
      </w:r>
      <w:r w:rsidR="00C241EF" w:rsidRPr="00FC4708">
        <w:rPr>
          <w:rFonts w:asciiTheme="minorHAnsi" w:hAnsiTheme="minorHAnsi" w:cstheme="minorHAnsi"/>
          <w:color w:val="000000"/>
        </w:rPr>
        <w:t xml:space="preserve">. </w:t>
      </w:r>
      <w:r w:rsidRPr="00FC4708">
        <w:rPr>
          <w:rFonts w:asciiTheme="minorHAnsi" w:hAnsiTheme="minorHAnsi" w:cstheme="minorHAnsi"/>
          <w:color w:val="000000"/>
        </w:rPr>
        <w:t>This suggests that continuing care receives an additional 58% per patient-year relative to rest homes, which equals $28,365</w:t>
      </w:r>
      <w:r w:rsidR="00322220" w:rsidRPr="00FC4708">
        <w:rPr>
          <w:rFonts w:asciiTheme="minorHAnsi" w:hAnsiTheme="minorHAnsi" w:cstheme="minorHAnsi"/>
          <w:color w:val="000000"/>
        </w:rPr>
        <w:t xml:space="preserve">. </w:t>
      </w:r>
      <w:r w:rsidRPr="00FC4708">
        <w:rPr>
          <w:rFonts w:asciiTheme="minorHAnsi" w:hAnsiTheme="minorHAnsi" w:cstheme="minorHAnsi"/>
          <w:color w:val="000000"/>
        </w:rPr>
        <w:t xml:space="preserve">This suggests that a base payment to facilities is </w:t>
      </w:r>
      <w:r w:rsidR="004F7C97">
        <w:rPr>
          <w:rFonts w:asciiTheme="minorHAnsi" w:hAnsiTheme="minorHAnsi" w:cstheme="minorHAnsi"/>
          <w:color w:val="000000"/>
        </w:rPr>
        <w:t>$</w:t>
      </w:r>
      <w:r w:rsidRPr="00FC4708">
        <w:rPr>
          <w:rFonts w:asciiTheme="minorHAnsi" w:hAnsiTheme="minorHAnsi" w:cstheme="minorHAnsi"/>
          <w:color w:val="000000"/>
        </w:rPr>
        <w:t>28,365/0.58=$48,905</w:t>
      </w:r>
      <w:r w:rsidR="00837CEA">
        <w:rPr>
          <w:rFonts w:asciiTheme="minorHAnsi" w:hAnsiTheme="minorHAnsi" w:cstheme="minorHAnsi"/>
          <w:color w:val="000000"/>
        </w:rPr>
        <w:t xml:space="preserve">. </w:t>
      </w:r>
    </w:p>
    <w:p w14:paraId="27CD1068" w14:textId="77777777" w:rsidR="006943AD" w:rsidRDefault="006943AD" w:rsidP="004774F0">
      <w:pPr>
        <w:pStyle w:val="xmsonormal"/>
        <w:rPr>
          <w:rFonts w:asciiTheme="minorHAnsi" w:hAnsiTheme="minorHAnsi" w:cstheme="minorHAnsi"/>
          <w:color w:val="000000"/>
        </w:rPr>
      </w:pPr>
    </w:p>
    <w:p w14:paraId="510F35DD" w14:textId="5C684933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>In practice, there are three figures defined like this, and the estimate for aged residential care costs would be $17,656/0.3</w:t>
      </w:r>
      <w:r w:rsidR="00A52C8D">
        <w:rPr>
          <w:rFonts w:asciiTheme="minorHAnsi" w:hAnsiTheme="minorHAnsi" w:cstheme="minorHAnsi"/>
          <w:color w:val="000000"/>
        </w:rPr>
        <w:t>6</w:t>
      </w:r>
      <w:r w:rsidRPr="00FC4708">
        <w:rPr>
          <w:rFonts w:asciiTheme="minorHAnsi" w:hAnsiTheme="minorHAnsi" w:cstheme="minorHAnsi"/>
          <w:color w:val="000000"/>
        </w:rPr>
        <w:t>=$49,044 (dementia) and $38,857/0.79=$49,186 (psychogeriatric).</w:t>
      </w:r>
      <w:r w:rsidR="009B3E85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Taking the average of these</w:t>
      </w:r>
      <w:r w:rsidR="007860B0">
        <w:rPr>
          <w:rFonts w:asciiTheme="minorHAnsi" w:hAnsiTheme="minorHAnsi" w:cstheme="minorHAnsi"/>
          <w:color w:val="000000"/>
        </w:rPr>
        <w:t xml:space="preserve"> three</w:t>
      </w:r>
      <w:r w:rsidRPr="00FC4708">
        <w:rPr>
          <w:rFonts w:asciiTheme="minorHAnsi" w:hAnsiTheme="minorHAnsi" w:cstheme="minorHAnsi"/>
          <w:color w:val="000000"/>
        </w:rPr>
        <w:t xml:space="preserve"> figures, </w:t>
      </w:r>
      <w:r w:rsidR="009B3E85" w:rsidRPr="00FC4708">
        <w:rPr>
          <w:rFonts w:asciiTheme="minorHAnsi" w:hAnsiTheme="minorHAnsi" w:cstheme="minorHAnsi"/>
          <w:color w:val="000000"/>
        </w:rPr>
        <w:t>we</w:t>
      </w:r>
      <w:r w:rsidRPr="00FC4708">
        <w:rPr>
          <w:rFonts w:asciiTheme="minorHAnsi" w:hAnsiTheme="minorHAnsi" w:cstheme="minorHAnsi"/>
          <w:color w:val="000000"/>
        </w:rPr>
        <w:t xml:space="preserve"> suggest estimating the </w:t>
      </w:r>
      <w:r w:rsidR="00C30DF9">
        <w:rPr>
          <w:rFonts w:asciiTheme="minorHAnsi" w:hAnsiTheme="minorHAnsi" w:cstheme="minorHAnsi"/>
          <w:color w:val="000000"/>
        </w:rPr>
        <w:t>rest home</w:t>
      </w:r>
      <w:r w:rsidRPr="00FC4708">
        <w:rPr>
          <w:rFonts w:asciiTheme="minorHAnsi" w:hAnsiTheme="minorHAnsi" w:cstheme="minorHAnsi"/>
          <w:color w:val="000000"/>
        </w:rPr>
        <w:t xml:space="preserve"> payment as $49,045,</w:t>
      </w:r>
      <w:r w:rsidR="007D52F2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and adding the previously stated additional $28,365 to this, t</w:t>
      </w:r>
      <w:r w:rsidR="004B2F6C">
        <w:rPr>
          <w:rFonts w:asciiTheme="minorHAnsi" w:hAnsiTheme="minorHAnsi" w:cstheme="minorHAnsi"/>
          <w:color w:val="000000"/>
        </w:rPr>
        <w:t>he result is</w:t>
      </w:r>
      <w:r w:rsidRPr="00FC4708">
        <w:rPr>
          <w:rFonts w:asciiTheme="minorHAnsi" w:hAnsiTheme="minorHAnsi" w:cstheme="minorHAnsi"/>
          <w:color w:val="000000"/>
        </w:rPr>
        <w:t xml:space="preserve"> a cost per patient-year of $77,410.</w:t>
      </w:r>
    </w:p>
    <w:p w14:paraId="4F923839" w14:textId="77777777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> </w:t>
      </w:r>
    </w:p>
    <w:p w14:paraId="3783D3D9" w14:textId="77777777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>This $77,410 corresponds (at 365.25 days) to around $211.94 per patient-day or $1,483.56 per patient-week in 2018 NZD.</w:t>
      </w:r>
    </w:p>
    <w:p w14:paraId="5763104F" w14:textId="749E9A99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</w:p>
    <w:p w14:paraId="0E7596CC" w14:textId="29A10E7C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 xml:space="preserve">A figure for 2016 was </w:t>
      </w:r>
      <w:r w:rsidR="0045783C">
        <w:rPr>
          <w:rFonts w:asciiTheme="minorHAnsi" w:hAnsiTheme="minorHAnsi" w:cstheme="minorHAnsi"/>
          <w:color w:val="000000"/>
        </w:rPr>
        <w:t>derived</w:t>
      </w:r>
      <w:r w:rsidRPr="00FC4708">
        <w:rPr>
          <w:rFonts w:asciiTheme="minorHAnsi" w:hAnsiTheme="minorHAnsi" w:cstheme="minorHAnsi"/>
          <w:color w:val="000000"/>
        </w:rPr>
        <w:t xml:space="preserve"> by correcting for the inflation observed in the price index for </w:t>
      </w:r>
      <w:r w:rsidR="004B2F6C">
        <w:rPr>
          <w:rFonts w:asciiTheme="minorHAnsi" w:hAnsiTheme="minorHAnsi" w:cstheme="minorHAnsi"/>
          <w:color w:val="000000"/>
        </w:rPr>
        <w:t>W</w:t>
      </w:r>
      <w:r w:rsidRPr="00FC4708">
        <w:rPr>
          <w:rFonts w:asciiTheme="minorHAnsi" w:hAnsiTheme="minorHAnsi" w:cstheme="minorHAnsi"/>
          <w:color w:val="000000"/>
        </w:rPr>
        <w:t xml:space="preserve">eighted </w:t>
      </w:r>
      <w:r w:rsidR="004B2F6C">
        <w:rPr>
          <w:rFonts w:asciiTheme="minorHAnsi" w:hAnsiTheme="minorHAnsi" w:cstheme="minorHAnsi"/>
          <w:color w:val="000000"/>
        </w:rPr>
        <w:t>I</w:t>
      </w:r>
      <w:r w:rsidRPr="00FC4708">
        <w:rPr>
          <w:rFonts w:asciiTheme="minorHAnsi" w:hAnsiTheme="minorHAnsi" w:cstheme="minorHAnsi"/>
          <w:color w:val="000000"/>
        </w:rPr>
        <w:t xml:space="preserve">nlier </w:t>
      </w:r>
      <w:r w:rsidR="004B2F6C">
        <w:rPr>
          <w:rFonts w:asciiTheme="minorHAnsi" w:hAnsiTheme="minorHAnsi" w:cstheme="minorHAnsi"/>
          <w:color w:val="000000"/>
        </w:rPr>
        <w:t>E</w:t>
      </w:r>
      <w:r w:rsidRPr="00FC4708">
        <w:rPr>
          <w:rFonts w:asciiTheme="minorHAnsi" w:hAnsiTheme="minorHAnsi" w:cstheme="minorHAnsi"/>
          <w:color w:val="000000"/>
        </w:rPr>
        <w:t xml:space="preserve">quivalent </w:t>
      </w:r>
      <w:r w:rsidR="004B2F6C">
        <w:rPr>
          <w:rFonts w:asciiTheme="minorHAnsi" w:hAnsiTheme="minorHAnsi" w:cstheme="minorHAnsi"/>
          <w:color w:val="000000"/>
        </w:rPr>
        <w:t>S</w:t>
      </w:r>
      <w:r w:rsidRPr="00FC4708">
        <w:rPr>
          <w:rFonts w:asciiTheme="minorHAnsi" w:hAnsiTheme="minorHAnsi" w:cstheme="minorHAnsi"/>
          <w:color w:val="000000"/>
        </w:rPr>
        <w:t>eparations (WIES) between 2015/2016 and 2017/2018</w:t>
      </w:r>
      <w:r w:rsidR="00FC4708" w:rsidRPr="00FC4708">
        <w:rPr>
          <w:rFonts w:asciiTheme="minorHAnsi" w:hAnsiTheme="minorHAnsi" w:cstheme="minorHAnsi"/>
          <w:color w:val="000000"/>
          <w:vertAlign w:val="superscript"/>
        </w:rPr>
        <w:t>4</w:t>
      </w:r>
      <w:r w:rsidRPr="00FC4708">
        <w:rPr>
          <w:rFonts w:asciiTheme="minorHAnsi" w:hAnsiTheme="minorHAnsi" w:cstheme="minorHAnsi"/>
          <w:color w:val="000000"/>
        </w:rPr>
        <w:t xml:space="preserve"> as</w:t>
      </w:r>
      <w:r w:rsidR="00FC4708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4921.16/4751.58=3.57%. Subtracting this inflation from the 2018 cost provides an estimated cost in 2016 N</w:t>
      </w:r>
      <w:r w:rsidR="005119C3">
        <w:rPr>
          <w:rFonts w:asciiTheme="minorHAnsi" w:hAnsiTheme="minorHAnsi" w:cstheme="minorHAnsi"/>
          <w:color w:val="000000"/>
        </w:rPr>
        <w:t>ZD</w:t>
      </w:r>
      <w:r w:rsidRPr="00FC4708">
        <w:rPr>
          <w:rFonts w:asciiTheme="minorHAnsi" w:hAnsiTheme="minorHAnsi" w:cstheme="minorHAnsi"/>
          <w:color w:val="000000"/>
        </w:rPr>
        <w:t>.</w:t>
      </w:r>
    </w:p>
    <w:p w14:paraId="5026B965" w14:textId="77777777" w:rsidR="004774F0" w:rsidRPr="00FC4708" w:rsidRDefault="004774F0" w:rsidP="004774F0">
      <w:pPr>
        <w:pStyle w:val="xmsonormal"/>
        <w:rPr>
          <w:rFonts w:asciiTheme="minorHAnsi" w:hAnsiTheme="minorHAnsi" w:cstheme="minorHAnsi"/>
        </w:rPr>
      </w:pPr>
      <w:r w:rsidRPr="00FC4708">
        <w:rPr>
          <w:rFonts w:asciiTheme="minorHAnsi" w:hAnsiTheme="minorHAnsi" w:cstheme="minorHAnsi"/>
          <w:color w:val="000000"/>
        </w:rPr>
        <w:t> </w:t>
      </w:r>
    </w:p>
    <w:p w14:paraId="78A334C0" w14:textId="1C0EEDC3" w:rsidR="004774F0" w:rsidRDefault="004774F0" w:rsidP="004774F0">
      <w:pPr>
        <w:pStyle w:val="xmsonormal"/>
        <w:rPr>
          <w:rFonts w:asciiTheme="minorHAnsi" w:hAnsiTheme="minorHAnsi" w:cstheme="minorHAnsi"/>
          <w:color w:val="000000"/>
        </w:rPr>
      </w:pPr>
      <w:r w:rsidRPr="00FC4708">
        <w:rPr>
          <w:rFonts w:asciiTheme="minorHAnsi" w:hAnsiTheme="minorHAnsi" w:cstheme="minorHAnsi"/>
          <w:color w:val="000000"/>
        </w:rPr>
        <w:t>The 2016 cost for hospital-level residential care (after correction for inflation) was taken to be</w:t>
      </w:r>
      <w:r w:rsidR="007F0D2C" w:rsidRPr="00FC4708">
        <w:rPr>
          <w:rFonts w:asciiTheme="minorHAnsi" w:hAnsiTheme="minorHAnsi" w:cstheme="minorHAnsi"/>
          <w:color w:val="000000"/>
        </w:rPr>
        <w:t xml:space="preserve"> </w:t>
      </w:r>
      <w:r w:rsidRPr="00FC4708">
        <w:rPr>
          <w:rFonts w:asciiTheme="minorHAnsi" w:hAnsiTheme="minorHAnsi" w:cstheme="minorHAnsi"/>
          <w:color w:val="000000"/>
        </w:rPr>
        <w:t>$204.63 per patient day.</w:t>
      </w:r>
    </w:p>
    <w:p w14:paraId="03C41AD3" w14:textId="1545C0FC" w:rsidR="00BE5999" w:rsidRDefault="00BE5999" w:rsidP="004774F0">
      <w:pPr>
        <w:pStyle w:val="xmsonormal"/>
        <w:rPr>
          <w:rFonts w:asciiTheme="minorHAnsi" w:hAnsiTheme="minorHAnsi" w:cstheme="minorHAnsi"/>
          <w:color w:val="000000"/>
        </w:rPr>
      </w:pPr>
    </w:p>
    <w:p w14:paraId="6CF11A5E" w14:textId="3F0E33A8" w:rsidR="00C241EF" w:rsidRPr="00EC50B7" w:rsidRDefault="00BE5999" w:rsidP="004774F0">
      <w:pPr>
        <w:pStyle w:val="xmsonormal"/>
        <w:rPr>
          <w:rFonts w:asciiTheme="minorHAnsi" w:hAnsiTheme="minorHAnsi" w:cstheme="minorHAnsi"/>
          <w:b/>
          <w:bCs/>
          <w:color w:val="000000"/>
        </w:rPr>
      </w:pPr>
      <w:r w:rsidRPr="00927410">
        <w:rPr>
          <w:rFonts w:asciiTheme="minorHAnsi" w:hAnsiTheme="minorHAnsi" w:cstheme="minorHAnsi"/>
          <w:b/>
          <w:bCs/>
          <w:color w:val="000000"/>
        </w:rPr>
        <w:t xml:space="preserve">References </w:t>
      </w:r>
    </w:p>
    <w:p w14:paraId="06FBAB0E" w14:textId="0E76BE2A" w:rsidR="00C241EF" w:rsidRPr="00FC4708" w:rsidRDefault="00C241EF" w:rsidP="004774F0">
      <w:pPr>
        <w:pStyle w:val="xmsonormal"/>
        <w:rPr>
          <w:rFonts w:asciiTheme="minorHAnsi" w:hAnsiTheme="minorHAnsi" w:cstheme="minorHAnsi"/>
          <w:color w:val="000000"/>
        </w:rPr>
      </w:pPr>
      <w:r w:rsidRPr="00FC4708">
        <w:rPr>
          <w:rFonts w:asciiTheme="minorHAnsi" w:hAnsiTheme="minorHAnsi" w:cstheme="minorHAnsi"/>
          <w:color w:val="000000"/>
          <w:vertAlign w:val="superscript"/>
        </w:rPr>
        <w:t>1</w:t>
      </w:r>
      <w:r w:rsidRPr="00FC4708">
        <w:rPr>
          <w:rFonts w:asciiTheme="minorHAnsi" w:hAnsiTheme="minorHAnsi" w:cstheme="minorHAnsi"/>
          <w:color w:val="000000"/>
        </w:rPr>
        <w:t>https://tas.health.nz/assets/Health-of-Older-People/ARHSS-Agreement-2021-2022-effective-1-August-2021-.pdf</w:t>
      </w:r>
    </w:p>
    <w:p w14:paraId="4F9FABD6" w14:textId="64CB4F0D" w:rsidR="00C241EF" w:rsidRPr="00FC4708" w:rsidRDefault="00C241EF" w:rsidP="004774F0">
      <w:pPr>
        <w:pStyle w:val="xmsonormal"/>
        <w:rPr>
          <w:rFonts w:asciiTheme="minorHAnsi" w:hAnsiTheme="minorHAnsi" w:cstheme="minorHAnsi"/>
          <w:color w:val="000000"/>
        </w:rPr>
      </w:pPr>
      <w:r w:rsidRPr="00FC4708">
        <w:rPr>
          <w:rFonts w:asciiTheme="minorHAnsi" w:hAnsiTheme="minorHAnsi" w:cstheme="minorHAnsi"/>
          <w:color w:val="000000"/>
          <w:vertAlign w:val="superscript"/>
        </w:rPr>
        <w:t>2</w:t>
      </w:r>
      <w:r w:rsidRPr="00FC4708">
        <w:rPr>
          <w:rFonts w:asciiTheme="minorHAnsi" w:hAnsiTheme="minorHAnsi" w:cstheme="minorHAnsi"/>
          <w:color w:val="000000"/>
        </w:rPr>
        <w:t>https://tas.health.nz/assets/Health-of-Older-People/ARRC-Agreement-2021-22-effective-1-August-2021-.pdf</w:t>
      </w:r>
    </w:p>
    <w:p w14:paraId="282B9A85" w14:textId="13922A0D" w:rsidR="0027219C" w:rsidRPr="00FC4708" w:rsidRDefault="00C241EF" w:rsidP="00C241EF">
      <w:pPr>
        <w:pStyle w:val="xmsonormal"/>
        <w:rPr>
          <w:rFonts w:asciiTheme="minorHAnsi" w:hAnsiTheme="minorHAnsi" w:cstheme="minorHAnsi"/>
          <w:color w:val="000000"/>
        </w:rPr>
      </w:pPr>
      <w:r w:rsidRPr="00FC4708">
        <w:rPr>
          <w:rFonts w:asciiTheme="minorHAnsi" w:hAnsiTheme="minorHAnsi" w:cstheme="minorHAnsi"/>
          <w:color w:val="000000"/>
          <w:vertAlign w:val="superscript"/>
        </w:rPr>
        <w:lastRenderedPageBreak/>
        <w:t>3</w:t>
      </w:r>
      <w:r w:rsidRPr="00FC4708">
        <w:rPr>
          <w:rFonts w:asciiTheme="minorHAnsi" w:hAnsiTheme="minorHAnsi" w:cstheme="minorHAnsi"/>
          <w:color w:val="000000"/>
        </w:rPr>
        <w:t>https://tas.health.nz/assets/Health-of-Older-People/ARC-Funding-Model-Review-Final-Report.pdf</w:t>
      </w:r>
    </w:p>
    <w:p w14:paraId="6963E460" w14:textId="649ADD6C" w:rsidR="00FC4708" w:rsidRPr="00FC4708" w:rsidRDefault="00FC4708" w:rsidP="00C241EF">
      <w:pPr>
        <w:pStyle w:val="xmsonormal"/>
        <w:rPr>
          <w:rFonts w:asciiTheme="minorHAnsi" w:hAnsiTheme="minorHAnsi" w:cstheme="minorHAnsi"/>
          <w:vertAlign w:val="superscript"/>
        </w:rPr>
      </w:pPr>
      <w:r w:rsidRPr="00FC4708">
        <w:rPr>
          <w:rFonts w:asciiTheme="minorHAnsi" w:hAnsiTheme="minorHAnsi" w:cstheme="minorHAnsi"/>
          <w:color w:val="000000"/>
          <w:vertAlign w:val="superscript"/>
        </w:rPr>
        <w:t>4</w:t>
      </w:r>
      <w:r w:rsidRPr="00FC4708">
        <w:rPr>
          <w:rFonts w:asciiTheme="minorHAnsi" w:hAnsiTheme="minorHAnsi" w:cstheme="minorHAnsi"/>
          <w:color w:val="000000"/>
        </w:rPr>
        <w:t>https://www.health.govt.nz/nz-health-statistics/data-references/weighted-inlier-equivalent-separations/wiesnz21-cost-weights</w:t>
      </w:r>
    </w:p>
    <w:sectPr w:rsidR="00FC4708" w:rsidRPr="00FC4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0tjQ0Njc0MzE1NTFR0lEKTi0uzszPAykwqQUA9WQRHiwAAAA="/>
  </w:docVars>
  <w:rsids>
    <w:rsidRoot w:val="004774F0"/>
    <w:rsid w:val="000C5038"/>
    <w:rsid w:val="00127499"/>
    <w:rsid w:val="00191FD6"/>
    <w:rsid w:val="001D3FC9"/>
    <w:rsid w:val="00270721"/>
    <w:rsid w:val="0027219C"/>
    <w:rsid w:val="0028534D"/>
    <w:rsid w:val="002A417A"/>
    <w:rsid w:val="002C3FAE"/>
    <w:rsid w:val="002F526E"/>
    <w:rsid w:val="00322220"/>
    <w:rsid w:val="0045783C"/>
    <w:rsid w:val="004774F0"/>
    <w:rsid w:val="004B2F6C"/>
    <w:rsid w:val="004B384F"/>
    <w:rsid w:val="004F7C97"/>
    <w:rsid w:val="005119C3"/>
    <w:rsid w:val="00544BBC"/>
    <w:rsid w:val="005C23FD"/>
    <w:rsid w:val="006943AD"/>
    <w:rsid w:val="007620D9"/>
    <w:rsid w:val="007860B0"/>
    <w:rsid w:val="007D52F2"/>
    <w:rsid w:val="007F0D2C"/>
    <w:rsid w:val="00837CEA"/>
    <w:rsid w:val="0089489B"/>
    <w:rsid w:val="008C7A2F"/>
    <w:rsid w:val="00927410"/>
    <w:rsid w:val="009B3E85"/>
    <w:rsid w:val="00A52C8D"/>
    <w:rsid w:val="00A61605"/>
    <w:rsid w:val="00A93F31"/>
    <w:rsid w:val="00AF5C99"/>
    <w:rsid w:val="00BB34A1"/>
    <w:rsid w:val="00BC1FD0"/>
    <w:rsid w:val="00BE5999"/>
    <w:rsid w:val="00C241EF"/>
    <w:rsid w:val="00C30DF9"/>
    <w:rsid w:val="00EC50B7"/>
    <w:rsid w:val="00F00E79"/>
    <w:rsid w:val="00F85D70"/>
    <w:rsid w:val="00FC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BCBD8"/>
  <w15:chartTrackingRefBased/>
  <w15:docId w15:val="{5F172621-6F6E-4E1D-8FBF-8FB50A66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774F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Aanstoot</dc:creator>
  <cp:keywords/>
  <dc:description/>
  <cp:lastModifiedBy>Oliver Scott</cp:lastModifiedBy>
  <cp:revision>2</cp:revision>
  <dcterms:created xsi:type="dcterms:W3CDTF">2021-12-17T10:06:00Z</dcterms:created>
  <dcterms:modified xsi:type="dcterms:W3CDTF">2021-12-17T10:06:00Z</dcterms:modified>
</cp:coreProperties>
</file>