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65" w:rsidRPr="008F5F5B" w:rsidRDefault="00200426" w:rsidP="00FE5C65">
      <w:pPr>
        <w:pStyle w:val="Titre1"/>
        <w:spacing w:before="0"/>
        <w:rPr>
          <w:lang w:val="en-GB"/>
        </w:rPr>
      </w:pPr>
      <w:bookmarkStart w:id="0" w:name="_Ref44579408"/>
      <w:r>
        <w:rPr>
          <w:lang w:val="en-GB"/>
        </w:rPr>
        <w:t>Supplementary table 1</w:t>
      </w:r>
      <w:bookmarkStart w:id="1" w:name="_GoBack"/>
      <w:bookmarkEnd w:id="1"/>
      <w:r w:rsidR="00FE5C65" w:rsidRPr="008F5F5B">
        <w:rPr>
          <w:lang w:val="en-GB"/>
        </w:rPr>
        <w:t>: STOPP and START criteria at baseline</w:t>
      </w:r>
      <w:bookmarkEnd w:id="0"/>
    </w:p>
    <w:tbl>
      <w:tblPr>
        <w:tblStyle w:val="Grilledetableauclaire"/>
        <w:tblW w:w="13747" w:type="dxa"/>
        <w:tblLayout w:type="fixed"/>
        <w:tblLook w:val="04A0" w:firstRow="1" w:lastRow="0" w:firstColumn="1" w:lastColumn="0" w:noHBand="0" w:noVBand="1"/>
      </w:tblPr>
      <w:tblGrid>
        <w:gridCol w:w="5949"/>
        <w:gridCol w:w="1702"/>
        <w:gridCol w:w="1843"/>
        <w:gridCol w:w="1276"/>
        <w:gridCol w:w="1701"/>
        <w:gridCol w:w="1276"/>
      </w:tblGrid>
      <w:tr w:rsidR="00FE5C65" w:rsidRPr="008F5F5B" w:rsidTr="00542BE4">
        <w:trPr>
          <w:trHeight w:val="300"/>
          <w:tblHeader/>
        </w:trPr>
        <w:tc>
          <w:tcPr>
            <w:tcW w:w="5949" w:type="dxa"/>
            <w:vMerge w:val="restart"/>
            <w:noWrap/>
            <w:vAlign w:val="center"/>
            <w:hideMark/>
          </w:tcPr>
          <w:p w:rsidR="00FE5C65" w:rsidRPr="008F5F5B" w:rsidRDefault="00FE5C65" w:rsidP="00542BE4">
            <w:pPr>
              <w:spacing w:before="40" w:after="40" w:line="240" w:lineRule="auto"/>
              <w:jc w:val="left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Criteria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Overall (n=58)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Intervention group (n=31)</w:t>
            </w:r>
          </w:p>
        </w:tc>
        <w:tc>
          <w:tcPr>
            <w:tcW w:w="2977" w:type="dxa"/>
            <w:gridSpan w:val="2"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Control group (n=27)</w:t>
            </w:r>
          </w:p>
        </w:tc>
      </w:tr>
      <w:tr w:rsidR="00FE5C65" w:rsidRPr="008F5F5B" w:rsidTr="00542BE4">
        <w:trPr>
          <w:trHeight w:val="300"/>
          <w:tblHeader/>
        </w:trPr>
        <w:tc>
          <w:tcPr>
            <w:tcW w:w="5949" w:type="dxa"/>
            <w:vMerge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n (% overall)</w:t>
            </w:r>
            <w:r w:rsidRPr="008F5F5B">
              <w:rPr>
                <w:b/>
                <w:lang w:val="en-GB"/>
              </w:rPr>
              <w:br/>
              <w:t>at baseline</w:t>
            </w:r>
          </w:p>
        </w:tc>
        <w:tc>
          <w:tcPr>
            <w:tcW w:w="1843" w:type="dxa"/>
            <w:noWrap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n (% in group) at baseline</w:t>
            </w:r>
          </w:p>
        </w:tc>
        <w:tc>
          <w:tcPr>
            <w:tcW w:w="1276" w:type="dxa"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jc w:val="center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Change at follow-up</w:t>
            </w:r>
          </w:p>
        </w:tc>
        <w:tc>
          <w:tcPr>
            <w:tcW w:w="1701" w:type="dxa"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n (% in group) at baseline</w:t>
            </w:r>
          </w:p>
        </w:tc>
        <w:tc>
          <w:tcPr>
            <w:tcW w:w="1276" w:type="dxa"/>
            <w:vAlign w:val="center"/>
          </w:tcPr>
          <w:p w:rsidR="00FE5C65" w:rsidRPr="008F5F5B" w:rsidRDefault="00FE5C65" w:rsidP="00542BE4">
            <w:pPr>
              <w:spacing w:before="40" w:after="40" w:line="240" w:lineRule="auto"/>
              <w:ind w:left="35" w:hanging="35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Change at follow-up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STOPP (any criteria)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57 (98%)</w:t>
            </w:r>
          </w:p>
        </w:tc>
        <w:tc>
          <w:tcPr>
            <w:tcW w:w="1843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30 (97%)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27 (100%)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color w:val="000000"/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-2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 xml:space="preserve">N1: Concomitant use of two or more drugs with </w:t>
            </w:r>
            <w:proofErr w:type="spellStart"/>
            <w:r w:rsidRPr="008F5F5B">
              <w:rPr>
                <w:color w:val="000000"/>
                <w:lang w:val="en-GB"/>
              </w:rPr>
              <w:t>antimuscarinic</w:t>
            </w:r>
            <w:proofErr w:type="spellEnd"/>
            <w:r w:rsidRPr="008F5F5B">
              <w:rPr>
                <w:color w:val="000000"/>
                <w:lang w:val="en-GB"/>
              </w:rPr>
              <w:t>/anticholinergic properties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53 (91%)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27 (87%)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26 (96%)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D5: Benzodiazepines for ≥ 4 weeks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42 (72%)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22 (71%)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20 (74%)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K1: Benzodiazepines (sedative, may cause reduced sensorium, impair balance)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42 (72%)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22 (71%)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20 (74%)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D8: Anticholinergics/</w:t>
            </w:r>
            <w:proofErr w:type="spellStart"/>
            <w:r w:rsidRPr="008F5F5B">
              <w:rPr>
                <w:color w:val="000000"/>
                <w:lang w:val="en-GB"/>
              </w:rPr>
              <w:t>antimuscarinics</w:t>
            </w:r>
            <w:proofErr w:type="spellEnd"/>
            <w:r w:rsidRPr="008F5F5B">
              <w:rPr>
                <w:color w:val="000000"/>
                <w:lang w:val="en-GB"/>
              </w:rPr>
              <w:t xml:space="preserve"> in patients with delirium or dementia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31 (53%)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15 (48%)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16 (59%)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 xml:space="preserve">I1: </w:t>
            </w:r>
            <w:proofErr w:type="spellStart"/>
            <w:r w:rsidRPr="008F5F5B">
              <w:rPr>
                <w:color w:val="000000"/>
                <w:lang w:val="en-GB"/>
              </w:rPr>
              <w:t>Antimuscarinic</w:t>
            </w:r>
            <w:proofErr w:type="spellEnd"/>
            <w:r w:rsidRPr="008F5F5B">
              <w:rPr>
                <w:color w:val="000000"/>
                <w:lang w:val="en-GB"/>
              </w:rPr>
              <w:t xml:space="preserve"> drugs with dementia, chronic cognitive impairment, narrow-angle glaucoma, or chronic </w:t>
            </w:r>
            <w:proofErr w:type="spellStart"/>
            <w:r w:rsidRPr="008F5F5B">
              <w:rPr>
                <w:color w:val="000000"/>
                <w:lang w:val="en-GB"/>
              </w:rPr>
              <w:t>prostatism</w:t>
            </w:r>
            <w:proofErr w:type="spellEnd"/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29 (50%)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15 (48%)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14 (52%)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K2: Neuroleptic drugs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21 (36%)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10 (32%)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11 (41%)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F3: Drugs likely to cause constipation in patients with chronic constipation where non-constipating alternatives are available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15 (26%)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11 (35%)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(15%)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 xml:space="preserve">K4: Hypnotic Z-drugs e.g. </w:t>
            </w:r>
            <w:proofErr w:type="spellStart"/>
            <w:r w:rsidRPr="008F5F5B">
              <w:rPr>
                <w:lang w:val="en-GB"/>
              </w:rPr>
              <w:t>zopiclone</w:t>
            </w:r>
            <w:proofErr w:type="spellEnd"/>
            <w:r w:rsidRPr="008F5F5B">
              <w:rPr>
                <w:lang w:val="en-GB"/>
              </w:rPr>
              <w:t xml:space="preserve">, zolpidem, </w:t>
            </w:r>
            <w:proofErr w:type="spellStart"/>
            <w:r w:rsidRPr="008F5F5B">
              <w:rPr>
                <w:lang w:val="en-GB"/>
              </w:rPr>
              <w:t>zaleplon</w:t>
            </w:r>
            <w:proofErr w:type="spellEnd"/>
            <w:r w:rsidRPr="008F5F5B">
              <w:rPr>
                <w:lang w:val="en-GB"/>
              </w:rPr>
              <w:t xml:space="preserve"> (may cause protracted daytime sedation, ataxia).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10 (17%)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6 (19%)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(15%)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F2: PPI for uncomplicated peptic ulcer disease or erosive peptic oesophagitis at full therapeutic dosage for &gt; 8 weeks.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5 (16%)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-5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0 (%)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 xml:space="preserve">J1: </w:t>
            </w:r>
            <w:proofErr w:type="spellStart"/>
            <w:r w:rsidRPr="008F5F5B">
              <w:rPr>
                <w:color w:val="000000"/>
                <w:lang w:val="en-GB"/>
              </w:rPr>
              <w:t>Sulphonylureas</w:t>
            </w:r>
            <w:proofErr w:type="spellEnd"/>
            <w:r w:rsidRPr="008F5F5B">
              <w:rPr>
                <w:color w:val="000000"/>
                <w:lang w:val="en-GB"/>
              </w:rPr>
              <w:t xml:space="preserve"> with a long duration of action with type 2 diabetes mellitus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(11%)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lastRenderedPageBreak/>
              <w:t>L1: Use of oral or transdermal strong opioids as first line therapy for mild pain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4 (13%)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-4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B6: Loop diuretic as first-line treatment for hypertension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(7%)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3 (10%)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D14: First-generation antihistamines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(5%)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-2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  <w:hideMark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jc w:val="left"/>
              <w:rPr>
                <w:color w:val="000000"/>
                <w:lang w:val="en-GB"/>
              </w:rPr>
            </w:pPr>
            <w:r w:rsidRPr="008F5F5B">
              <w:rPr>
                <w:color w:val="000000"/>
                <w:lang w:val="en-GB"/>
              </w:rPr>
              <w:t>D9: Neuroleptic antipsychotic  in patients with behavioural and psychological symptoms of dementia (BPSD) unless symptoms are severe and other non-pharmacological treatments have failed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(5%)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b/>
                <w:color w:val="000000"/>
                <w:lang w:val="en-GB"/>
              </w:rPr>
              <w:t>START (any criteria)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31 (53%)</w:t>
            </w:r>
          </w:p>
        </w:tc>
        <w:tc>
          <w:tcPr>
            <w:tcW w:w="1843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15 (48%)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-5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16 (59%)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b/>
                <w:lang w:val="en-GB"/>
              </w:rPr>
            </w:pPr>
            <w:r w:rsidRPr="008F5F5B">
              <w:rPr>
                <w:b/>
                <w:lang w:val="en-GB"/>
              </w:rPr>
              <w:t>+2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E5: Vitamin D supplement in older people who are housebound or experiencing falls or with osteopenia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9 (16%)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(16%)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(15%)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E4: Bone anti-</w:t>
            </w:r>
            <w:proofErr w:type="spellStart"/>
            <w:r w:rsidRPr="008F5F5B">
              <w:rPr>
                <w:lang w:val="en-GB"/>
              </w:rPr>
              <w:t>resorptive</w:t>
            </w:r>
            <w:proofErr w:type="spellEnd"/>
            <w:r w:rsidRPr="008F5F5B">
              <w:rPr>
                <w:lang w:val="en-GB"/>
              </w:rPr>
              <w:t xml:space="preserve"> or anabolic therapy (e.g. bisphosphonate, strontium </w:t>
            </w:r>
            <w:proofErr w:type="spellStart"/>
            <w:r w:rsidRPr="008F5F5B">
              <w:rPr>
                <w:lang w:val="en-GB"/>
              </w:rPr>
              <w:t>ranelate</w:t>
            </w:r>
            <w:proofErr w:type="spellEnd"/>
            <w:r w:rsidRPr="008F5F5B">
              <w:rPr>
                <w:lang w:val="en-GB"/>
              </w:rPr>
              <w:t xml:space="preserve">, </w:t>
            </w:r>
            <w:proofErr w:type="spellStart"/>
            <w:r w:rsidRPr="008F5F5B">
              <w:rPr>
                <w:lang w:val="en-GB"/>
              </w:rPr>
              <w:t>teriparatide</w:t>
            </w:r>
            <w:proofErr w:type="spellEnd"/>
            <w:r w:rsidRPr="008F5F5B">
              <w:rPr>
                <w:lang w:val="en-GB"/>
              </w:rPr>
              <w:t xml:space="preserve">, </w:t>
            </w:r>
            <w:proofErr w:type="spellStart"/>
            <w:r w:rsidRPr="008F5F5B">
              <w:rPr>
                <w:lang w:val="en-GB"/>
              </w:rPr>
              <w:t>denosumab</w:t>
            </w:r>
            <w:proofErr w:type="spellEnd"/>
            <w:r w:rsidRPr="008F5F5B">
              <w:rPr>
                <w:lang w:val="en-GB"/>
              </w:rPr>
              <w:t>) in patients with documented osteoporosis, where no pharmacological or clinical status contraindication exists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8 (14%)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6 (22%)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E3: Vitamin D and calcium supplement in patients with known osteoporosis and/or previous fragility fracture and/or Bone Mineral Density T-scores more than -2.5 in multiple sites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(19%)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+2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A6: Angiotensin Converting Enzyme inhibitor with systolic heart failure and/or documented coronary artery disease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(11%)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H1: High-potency opioids in moderate-severe pain, where paracetamol, NSAIDs or low-potency opioids are not appropriate to the pain severity or have been ineffective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5 (9%)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(13%)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-4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>A7: Beta-blocker with ischaemic heart disease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4 (7%)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(7%)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lastRenderedPageBreak/>
              <w:t xml:space="preserve">G2: 5-alpha reductase inhibitor with symptomatic </w:t>
            </w:r>
            <w:proofErr w:type="spellStart"/>
            <w:r w:rsidRPr="008F5F5B">
              <w:rPr>
                <w:lang w:val="en-GB"/>
              </w:rPr>
              <w:t>prostatism</w:t>
            </w:r>
            <w:proofErr w:type="spellEnd"/>
            <w:r w:rsidRPr="008F5F5B">
              <w:rPr>
                <w:lang w:val="en-GB"/>
              </w:rPr>
              <w:t>, where prostatectomy is not considered necessary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(5%)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(6%)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+1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(4%)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 xml:space="preserve">A1: Vitamin K antagonists or direct thrombin inhibitors or factor </w:t>
            </w:r>
            <w:proofErr w:type="spellStart"/>
            <w:r w:rsidRPr="008F5F5B">
              <w:rPr>
                <w:lang w:val="en-GB"/>
              </w:rPr>
              <w:t>Xa</w:t>
            </w:r>
            <w:proofErr w:type="spellEnd"/>
            <w:r w:rsidRPr="008F5F5B">
              <w:rPr>
                <w:lang w:val="en-GB"/>
              </w:rPr>
              <w:t xml:space="preserve"> inhibitors in the presence of chronic atrial fibrillation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(5%)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(10%)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0 (%)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+1</w:t>
            </w:r>
          </w:p>
        </w:tc>
      </w:tr>
      <w:tr w:rsidR="00FE5C65" w:rsidRPr="008F5F5B" w:rsidTr="00542BE4">
        <w:trPr>
          <w:trHeight w:val="300"/>
        </w:trPr>
        <w:tc>
          <w:tcPr>
            <w:tcW w:w="5949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ind w:left="589" w:hanging="426"/>
              <w:rPr>
                <w:color w:val="000000"/>
                <w:lang w:val="en-GB"/>
              </w:rPr>
            </w:pPr>
            <w:r w:rsidRPr="008F5F5B">
              <w:rPr>
                <w:lang w:val="en-GB"/>
              </w:rPr>
              <w:t xml:space="preserve">C5: Selective serotonin reuptake inhibitor (or SNRI or </w:t>
            </w:r>
            <w:proofErr w:type="spellStart"/>
            <w:r w:rsidRPr="008F5F5B">
              <w:rPr>
                <w:lang w:val="en-GB"/>
              </w:rPr>
              <w:t>pregabalin</w:t>
            </w:r>
            <w:proofErr w:type="spellEnd"/>
            <w:r w:rsidRPr="008F5F5B">
              <w:rPr>
                <w:lang w:val="en-GB"/>
              </w:rPr>
              <w:t xml:space="preserve"> if SSRI contraindicated) for persistent severe anxiety that interferes with independent functioning</w:t>
            </w:r>
          </w:p>
        </w:tc>
        <w:tc>
          <w:tcPr>
            <w:tcW w:w="1702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3 (5%)</w:t>
            </w:r>
          </w:p>
        </w:tc>
        <w:tc>
          <w:tcPr>
            <w:tcW w:w="1843" w:type="dxa"/>
            <w:noWrap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1 (3%)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-1</w:t>
            </w:r>
          </w:p>
        </w:tc>
        <w:tc>
          <w:tcPr>
            <w:tcW w:w="1701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2 (7%)</w:t>
            </w:r>
          </w:p>
        </w:tc>
        <w:tc>
          <w:tcPr>
            <w:tcW w:w="1276" w:type="dxa"/>
          </w:tcPr>
          <w:p w:rsidR="00FE5C65" w:rsidRPr="008F5F5B" w:rsidRDefault="00FE5C65" w:rsidP="00542BE4">
            <w:pPr>
              <w:spacing w:before="40" w:after="40" w:line="240" w:lineRule="auto"/>
              <w:rPr>
                <w:lang w:val="en-GB"/>
              </w:rPr>
            </w:pPr>
            <w:r w:rsidRPr="008F5F5B">
              <w:rPr>
                <w:lang w:val="en-GB"/>
              </w:rPr>
              <w:t>-</w:t>
            </w:r>
          </w:p>
        </w:tc>
      </w:tr>
    </w:tbl>
    <w:p w:rsidR="00664266" w:rsidRPr="00FE5C65" w:rsidRDefault="00FE5C65" w:rsidP="00FE5C65">
      <w:pPr>
        <w:pStyle w:val="Lgende"/>
        <w:rPr>
          <w:lang w:val="en-GB"/>
        </w:rPr>
      </w:pPr>
      <w:r w:rsidRPr="008F5F5B">
        <w:rPr>
          <w:lang w:val="en-GB"/>
        </w:rPr>
        <w:t xml:space="preserve">Only criteria applying to </w:t>
      </w:r>
      <w:proofErr w:type="gramStart"/>
      <w:r w:rsidRPr="008F5F5B">
        <w:rPr>
          <w:lang w:val="en-GB"/>
        </w:rPr>
        <w:t>3</w:t>
      </w:r>
      <w:proofErr w:type="gramEnd"/>
      <w:r w:rsidRPr="008F5F5B">
        <w:rPr>
          <w:lang w:val="en-GB"/>
        </w:rPr>
        <w:t xml:space="preserve"> or more participants shown. STOPP:  screening tool of older people’s prescriptions; START: screening tool to alert to right treatment; NYHA: New York Heart Association heart failure classification; SNRI: serotonin noradrenalin reuptake inhibitors; SSRI: selecti</w:t>
      </w:r>
      <w:r>
        <w:rPr>
          <w:lang w:val="en-GB"/>
        </w:rPr>
        <w:t xml:space="preserve">ve serotonin reuptake </w:t>
      </w:r>
      <w:proofErr w:type="spellStart"/>
      <w:r>
        <w:rPr>
          <w:lang w:val="en-GB"/>
        </w:rPr>
        <w:t>inhibito</w:t>
      </w:r>
      <w:proofErr w:type="spellEnd"/>
    </w:p>
    <w:sectPr w:rsidR="00664266" w:rsidRPr="00FE5C65" w:rsidSect="00FE5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C65" w:rsidRDefault="00FE5C65" w:rsidP="0045030A">
      <w:r>
        <w:separator/>
      </w:r>
    </w:p>
  </w:endnote>
  <w:endnote w:type="continuationSeparator" w:id="0">
    <w:p w:rsidR="00FE5C65" w:rsidRDefault="00FE5C65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C65" w:rsidRDefault="00FE5C65" w:rsidP="0045030A">
      <w:r>
        <w:separator/>
      </w:r>
    </w:p>
  </w:footnote>
  <w:footnote w:type="continuationSeparator" w:id="0">
    <w:p w:rsidR="00FE5C65" w:rsidRDefault="00FE5C65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65"/>
    <w:rsid w:val="00016CA4"/>
    <w:rsid w:val="000405FD"/>
    <w:rsid w:val="000A16B1"/>
    <w:rsid w:val="000F0D32"/>
    <w:rsid w:val="00200426"/>
    <w:rsid w:val="00281E53"/>
    <w:rsid w:val="0045030A"/>
    <w:rsid w:val="00664266"/>
    <w:rsid w:val="00747486"/>
    <w:rsid w:val="0084535D"/>
    <w:rsid w:val="00886013"/>
    <w:rsid w:val="00B443F8"/>
    <w:rsid w:val="00C136C1"/>
    <w:rsid w:val="00C7230B"/>
    <w:rsid w:val="00D60C21"/>
    <w:rsid w:val="00F86033"/>
    <w:rsid w:val="00FE10F0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E145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C65"/>
    <w:pPr>
      <w:spacing w:line="480" w:lineRule="auto"/>
      <w:jc w:val="both"/>
    </w:pPr>
    <w:rPr>
      <w:rFonts w:ascii="Garamond" w:hAnsi="Garamond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5C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  <w:spacing w:line="240" w:lineRule="auto"/>
      <w:jc w:val="left"/>
    </w:pPr>
    <w:rPr>
      <w:rFonts w:ascii="Arial" w:hAnsi="Arial" w:cstheme="minorBidi"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  <w:spacing w:line="240" w:lineRule="auto"/>
      <w:jc w:val="left"/>
    </w:pPr>
    <w:rPr>
      <w:rFonts w:ascii="Arial" w:hAnsi="Arial" w:cstheme="minorBidi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character" w:customStyle="1" w:styleId="Titre1Car">
    <w:name w:val="Titre 1 Car"/>
    <w:basedOn w:val="Policepardfaut"/>
    <w:link w:val="Titre1"/>
    <w:uiPriority w:val="9"/>
    <w:rsid w:val="00FE5C65"/>
    <w:rPr>
      <w:rFonts w:asciiTheme="majorHAnsi" w:eastAsiaTheme="majorEastAsia" w:hAnsiTheme="majorHAnsi" w:cstheme="majorBidi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FE5C65"/>
    <w:pPr>
      <w:spacing w:after="200" w:line="240" w:lineRule="auto"/>
    </w:pPr>
    <w:rPr>
      <w:i/>
      <w:iCs/>
      <w:color w:val="696464" w:themeColor="text2"/>
      <w:sz w:val="22"/>
      <w:szCs w:val="18"/>
    </w:rPr>
  </w:style>
  <w:style w:type="table" w:styleId="Grilledetableauclaire">
    <w:name w:val="Grid Table Light"/>
    <w:basedOn w:val="TableauNormal"/>
    <w:uiPriority w:val="40"/>
    <w:rsid w:val="00FE5C65"/>
    <w:rPr>
      <w:rFonts w:ascii="Century Schoolbook" w:hAnsi="Century Schoolbook" w:cs="Times New Roman"/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FE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8256-435D-46CD-A15E-ACC1CA5C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3210</Characters>
  <Application>Microsoft Office Word</Application>
  <DocSecurity>0</DocSecurity>
  <Lines>26</Lines>
  <Paragraphs>7</Paragraphs>
  <ScaleCrop>false</ScaleCrop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2021-05-10T13:03:00Z</dcterms:created>
  <dcterms:modified xsi:type="dcterms:W3CDTF">2021-05-10T13:05:00Z</dcterms:modified>
</cp:coreProperties>
</file>