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62D" w:rsidRPr="00FA1669" w:rsidRDefault="00DF762D" w:rsidP="00CC332F">
      <w:pPr>
        <w:rPr>
          <w:color w:val="000000" w:themeColor="text1"/>
        </w:rPr>
      </w:pPr>
    </w:p>
    <w:p w:rsidR="00CC332F" w:rsidRPr="00FA1669" w:rsidRDefault="006C5DCA" w:rsidP="00CC332F">
      <w:pPr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FA1669">
        <w:rPr>
          <w:rFonts w:ascii="Arial" w:hAnsi="Arial" w:cs="Arial"/>
          <w:b/>
          <w:color w:val="000000" w:themeColor="text1"/>
          <w:sz w:val="24"/>
          <w:szCs w:val="24"/>
        </w:rPr>
        <w:t xml:space="preserve">Supplementary </w:t>
      </w:r>
      <w:r w:rsidR="00CC332F" w:rsidRPr="00FA1669">
        <w:rPr>
          <w:rFonts w:ascii="Arial" w:hAnsi="Arial" w:cs="Arial"/>
          <w:b/>
          <w:color w:val="000000" w:themeColor="text1"/>
          <w:sz w:val="24"/>
          <w:szCs w:val="24"/>
        </w:rPr>
        <w:t>Figure S1. Dementia subtype and awareness group:</w:t>
      </w:r>
      <w:r w:rsidR="005D65FC" w:rsidRPr="00FA16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65FC" w:rsidRPr="00FA1669">
        <w:rPr>
          <w:rFonts w:ascii="Arial" w:eastAsia="Calibri" w:hAnsi="Arial" w:cs="Arial"/>
          <w:b/>
          <w:color w:val="000000" w:themeColor="text1"/>
          <w:sz w:val="24"/>
          <w:szCs w:val="24"/>
        </w:rPr>
        <w:t>Bar chart s</w:t>
      </w:r>
      <w:r w:rsidR="00CC332F" w:rsidRPr="00FA1669">
        <w:rPr>
          <w:rFonts w:ascii="Arial" w:eastAsia="Calibri" w:hAnsi="Arial" w:cs="Arial"/>
          <w:b/>
          <w:color w:val="000000" w:themeColor="text1"/>
          <w:sz w:val="24"/>
          <w:szCs w:val="24"/>
        </w:rPr>
        <w:t>howing breakdown of each awareness group by dementia subtype.</w:t>
      </w:r>
    </w:p>
    <w:p w:rsidR="00EA59F7" w:rsidRPr="00FA1669" w:rsidRDefault="00EA59F7" w:rsidP="00CC332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C332F" w:rsidRPr="00FA1669" w:rsidRDefault="00EA59F7" w:rsidP="00CC332F">
      <w:pPr>
        <w:rPr>
          <w:rFonts w:ascii="Calibri" w:eastAsia="Calibri" w:hAnsi="Calibri" w:cs="Arial"/>
          <w:color w:val="000000" w:themeColor="text1"/>
        </w:rPr>
      </w:pPr>
      <w:r w:rsidRPr="00FA1669">
        <w:rPr>
          <w:noProof/>
          <w:color w:val="000000" w:themeColor="text1"/>
          <w:lang w:eastAsia="en-GB"/>
        </w:rPr>
        <w:drawing>
          <wp:inline distT="0" distB="0" distL="0" distR="0" wp14:anchorId="1E93B97F" wp14:editId="2440127B">
            <wp:extent cx="4289898" cy="3394953"/>
            <wp:effectExtent l="0" t="0" r="15875" b="1524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FA1669">
        <w:rPr>
          <w:rFonts w:ascii="Calibri" w:eastAsia="Calibri" w:hAnsi="Calibri" w:cs="Arial"/>
          <w:color w:val="000000" w:themeColor="text1"/>
        </w:rPr>
        <w:br w:type="textWrapping" w:clear="all"/>
      </w:r>
    </w:p>
    <w:p w:rsidR="00CC332F" w:rsidRPr="00FA1669" w:rsidRDefault="00CC332F" w:rsidP="00CC332F">
      <w:pPr>
        <w:rPr>
          <w:rFonts w:ascii="Arial" w:eastAsia="Calibri" w:hAnsi="Arial" w:cs="Arial"/>
          <w:color w:val="000000" w:themeColor="text1"/>
        </w:rPr>
      </w:pPr>
      <w:r w:rsidRPr="00FA1669">
        <w:rPr>
          <w:rFonts w:ascii="Arial" w:eastAsia="Calibri" w:hAnsi="Arial" w:cs="Arial"/>
          <w:color w:val="000000" w:themeColor="text1"/>
        </w:rPr>
        <w:t>AD Alzheimer’s disease</w:t>
      </w:r>
      <w:r w:rsidR="007952EC" w:rsidRPr="00FA1669">
        <w:rPr>
          <w:rFonts w:ascii="Arial" w:eastAsia="Calibri" w:hAnsi="Arial" w:cs="Arial"/>
          <w:color w:val="000000" w:themeColor="text1"/>
        </w:rPr>
        <w:t xml:space="preserve"> (n=</w:t>
      </w:r>
      <w:r w:rsidRPr="00FA1669">
        <w:rPr>
          <w:rFonts w:ascii="Arial" w:eastAsia="Calibri" w:hAnsi="Arial" w:cs="Arial"/>
          <w:color w:val="000000" w:themeColor="text1"/>
        </w:rPr>
        <w:t>508); VaD vascular dementia</w:t>
      </w:r>
      <w:r w:rsidR="007952EC" w:rsidRPr="00FA1669">
        <w:rPr>
          <w:rFonts w:ascii="Arial" w:eastAsia="Calibri" w:hAnsi="Arial" w:cs="Arial"/>
          <w:color w:val="000000" w:themeColor="text1"/>
        </w:rPr>
        <w:t xml:space="preserve"> (n=</w:t>
      </w:r>
      <w:r w:rsidRPr="00FA1669">
        <w:rPr>
          <w:rFonts w:ascii="Arial" w:eastAsia="Calibri" w:hAnsi="Arial" w:cs="Arial"/>
          <w:color w:val="000000" w:themeColor="text1"/>
        </w:rPr>
        <w:t>105);</w:t>
      </w:r>
      <w:r w:rsidR="00366A22" w:rsidRPr="00FA1669">
        <w:rPr>
          <w:rFonts w:ascii="Arial" w:eastAsia="Calibri" w:hAnsi="Arial" w:cs="Arial"/>
          <w:color w:val="000000" w:themeColor="text1"/>
        </w:rPr>
        <w:t xml:space="preserve"> Mixed (n=</w:t>
      </w:r>
      <w:r w:rsidRPr="00FA1669">
        <w:rPr>
          <w:rFonts w:ascii="Arial" w:eastAsia="Calibri" w:hAnsi="Arial" w:cs="Arial"/>
          <w:color w:val="000000" w:themeColor="text1"/>
        </w:rPr>
        <w:t xml:space="preserve">177); FTD frontotemporal dementia (n=34); PDD Parkinson’s disease dementia (n=33); DLB dementia with </w:t>
      </w:r>
      <w:proofErr w:type="spellStart"/>
      <w:r w:rsidRPr="00FA1669">
        <w:rPr>
          <w:rFonts w:ascii="Arial" w:eastAsia="Calibri" w:hAnsi="Arial" w:cs="Arial"/>
          <w:color w:val="000000" w:themeColor="text1"/>
        </w:rPr>
        <w:t>Lewy</w:t>
      </w:r>
      <w:proofErr w:type="spellEnd"/>
      <w:r w:rsidRPr="00FA1669">
        <w:rPr>
          <w:rFonts w:ascii="Arial" w:eastAsia="Calibri" w:hAnsi="Arial" w:cs="Arial"/>
          <w:color w:val="000000" w:themeColor="text1"/>
        </w:rPr>
        <w:t xml:space="preserve"> bodies</w:t>
      </w:r>
      <w:r w:rsidR="007952EC" w:rsidRPr="00FA1669">
        <w:rPr>
          <w:rFonts w:ascii="Arial" w:eastAsia="Calibri" w:hAnsi="Arial" w:cs="Arial"/>
          <w:color w:val="000000" w:themeColor="text1"/>
        </w:rPr>
        <w:t xml:space="preserve"> (n=37); </w:t>
      </w:r>
      <w:proofErr w:type="gramStart"/>
      <w:r w:rsidR="007952EC" w:rsidRPr="00FA1669">
        <w:rPr>
          <w:rFonts w:ascii="Arial" w:eastAsia="Calibri" w:hAnsi="Arial" w:cs="Arial"/>
          <w:color w:val="000000" w:themeColor="text1"/>
        </w:rPr>
        <w:t>Other</w:t>
      </w:r>
      <w:proofErr w:type="gramEnd"/>
      <w:r w:rsidR="007952EC" w:rsidRPr="00FA1669">
        <w:rPr>
          <w:rFonts w:ascii="Arial" w:eastAsia="Calibri" w:hAnsi="Arial" w:cs="Arial"/>
          <w:color w:val="000000" w:themeColor="text1"/>
        </w:rPr>
        <w:t xml:space="preserve"> (n=</w:t>
      </w:r>
      <w:r w:rsidRPr="00FA1669">
        <w:rPr>
          <w:rFonts w:ascii="Arial" w:eastAsia="Calibri" w:hAnsi="Arial" w:cs="Arial"/>
          <w:color w:val="000000" w:themeColor="text1"/>
        </w:rPr>
        <w:t>23).</w:t>
      </w:r>
    </w:p>
    <w:p w:rsidR="00CC332F" w:rsidRPr="00FA1669" w:rsidRDefault="00CC332F">
      <w:pPr>
        <w:rPr>
          <w:color w:val="000000" w:themeColor="text1"/>
        </w:rPr>
      </w:pPr>
      <w:bookmarkStart w:id="0" w:name="_GoBack"/>
      <w:bookmarkEnd w:id="0"/>
    </w:p>
    <w:sectPr w:rsidR="00CC332F" w:rsidRPr="00FA1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12"/>
    <w:rsid w:val="00366A22"/>
    <w:rsid w:val="00497683"/>
    <w:rsid w:val="005D65FC"/>
    <w:rsid w:val="006C5DCA"/>
    <w:rsid w:val="007952EC"/>
    <w:rsid w:val="007B7B31"/>
    <w:rsid w:val="00A663BC"/>
    <w:rsid w:val="00A92212"/>
    <w:rsid w:val="00CC332F"/>
    <w:rsid w:val="00DF762D"/>
    <w:rsid w:val="00EA59F7"/>
    <w:rsid w:val="00FA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485AB-40E6-4DA2-A88B-351E3280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Low Awareness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Sheet1!$A$3:$A$9</c:f>
              <c:strCache>
                <c:ptCount val="7"/>
                <c:pt idx="0">
                  <c:v>AD</c:v>
                </c:pt>
                <c:pt idx="1">
                  <c:v>VaD</c:v>
                </c:pt>
                <c:pt idx="2">
                  <c:v>Mixed</c:v>
                </c:pt>
                <c:pt idx="3">
                  <c:v>FTD</c:v>
                </c:pt>
                <c:pt idx="4">
                  <c:v>PDD</c:v>
                </c:pt>
                <c:pt idx="5">
                  <c:v>DLB</c:v>
                </c:pt>
                <c:pt idx="6">
                  <c:v>Other</c:v>
                </c:pt>
              </c:strCache>
            </c:strRef>
          </c:cat>
          <c:val>
            <c:numRef>
              <c:f>Sheet1!$B$3:$B$9</c:f>
              <c:numCache>
                <c:formatCode>General</c:formatCode>
                <c:ptCount val="7"/>
                <c:pt idx="0">
                  <c:v>56.6</c:v>
                </c:pt>
                <c:pt idx="1">
                  <c:v>14.5</c:v>
                </c:pt>
                <c:pt idx="2">
                  <c:v>15.7</c:v>
                </c:pt>
                <c:pt idx="3">
                  <c:v>8.4</c:v>
                </c:pt>
                <c:pt idx="4">
                  <c:v>1.2</c:v>
                </c:pt>
                <c:pt idx="5">
                  <c:v>1.2</c:v>
                </c:pt>
                <c:pt idx="6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72-4C17-B2CB-14FA5FE94DC4}"/>
            </c:ext>
          </c:extLst>
        </c:ser>
        <c:ser>
          <c:idx val="1"/>
          <c:order val="1"/>
          <c:tx>
            <c:v>High Awareness</c:v>
          </c:tx>
          <c:spPr>
            <a:solidFill>
              <a:schemeClr val="accent1">
                <a:lumMod val="9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Sheet1!$A$3:$A$9</c:f>
              <c:strCache>
                <c:ptCount val="7"/>
                <c:pt idx="0">
                  <c:v>AD</c:v>
                </c:pt>
                <c:pt idx="1">
                  <c:v>VaD</c:v>
                </c:pt>
                <c:pt idx="2">
                  <c:v>Mixed</c:v>
                </c:pt>
                <c:pt idx="3">
                  <c:v>FTD</c:v>
                </c:pt>
                <c:pt idx="4">
                  <c:v>PDD</c:v>
                </c:pt>
                <c:pt idx="5">
                  <c:v>DLB</c:v>
                </c:pt>
                <c:pt idx="6">
                  <c:v>Other</c:v>
                </c:pt>
              </c:strCache>
            </c:strRef>
          </c:cat>
          <c:val>
            <c:numRef>
              <c:f>Sheet1!$C$3:$C$9</c:f>
              <c:numCache>
                <c:formatCode>General</c:formatCode>
                <c:ptCount val="7"/>
                <c:pt idx="0">
                  <c:v>51.5</c:v>
                </c:pt>
                <c:pt idx="1">
                  <c:v>15.5</c:v>
                </c:pt>
                <c:pt idx="2">
                  <c:v>13.6</c:v>
                </c:pt>
                <c:pt idx="3">
                  <c:v>2.9</c:v>
                </c:pt>
                <c:pt idx="4">
                  <c:v>9.6999999999999993</c:v>
                </c:pt>
                <c:pt idx="5">
                  <c:v>3.9</c:v>
                </c:pt>
                <c:pt idx="6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72-4C17-B2CB-14FA5FE94DC4}"/>
            </c:ext>
          </c:extLst>
        </c:ser>
        <c:ser>
          <c:idx val="2"/>
          <c:order val="2"/>
          <c:tx>
            <c:strRef>
              <c:f>Sheet1!$D$2</c:f>
              <c:strCache>
                <c:ptCount val="1"/>
                <c:pt idx="0">
                  <c:v>Whole sample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Sheet1!$A$3:$A$9</c:f>
              <c:strCache>
                <c:ptCount val="7"/>
                <c:pt idx="0">
                  <c:v>AD</c:v>
                </c:pt>
                <c:pt idx="1">
                  <c:v>VaD</c:v>
                </c:pt>
                <c:pt idx="2">
                  <c:v>Mixed</c:v>
                </c:pt>
                <c:pt idx="3">
                  <c:v>FTD</c:v>
                </c:pt>
                <c:pt idx="4">
                  <c:v>PDD</c:v>
                </c:pt>
                <c:pt idx="5">
                  <c:v>DLB</c:v>
                </c:pt>
                <c:pt idx="6">
                  <c:v>Other</c:v>
                </c:pt>
              </c:strCache>
            </c:strRef>
          </c:cat>
          <c:val>
            <c:numRef>
              <c:f>Sheet1!$D$3:$D$9</c:f>
              <c:numCache>
                <c:formatCode>General</c:formatCode>
                <c:ptCount val="7"/>
                <c:pt idx="0">
                  <c:v>55.4</c:v>
                </c:pt>
                <c:pt idx="1">
                  <c:v>11.5</c:v>
                </c:pt>
                <c:pt idx="2">
                  <c:v>19.3</c:v>
                </c:pt>
                <c:pt idx="3">
                  <c:v>3.7</c:v>
                </c:pt>
                <c:pt idx="4">
                  <c:v>3.6</c:v>
                </c:pt>
                <c:pt idx="5">
                  <c:v>4</c:v>
                </c:pt>
                <c:pt idx="6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72-4C17-B2CB-14FA5FE94D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184000"/>
        <c:axId val="180184392"/>
      </c:barChart>
      <c:catAx>
        <c:axId val="180184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solidFill>
                      <a:sysClr val="windowText" lastClr="000000"/>
                    </a:solidFill>
                  </a:rPr>
                  <a:t>Dementia subtype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0184392"/>
        <c:crosses val="autoZero"/>
        <c:auto val="1"/>
        <c:lblAlgn val="ctr"/>
        <c:lblOffset val="100"/>
        <c:noMultiLvlLbl val="0"/>
      </c:catAx>
      <c:valAx>
        <c:axId val="180184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solidFill>
                      <a:sysClr val="windowText" lastClr="000000"/>
                    </a:solidFill>
                  </a:rPr>
                  <a:t>Percentage of awareess group</a:t>
                </a:r>
              </a:p>
            </c:rich>
          </c:tx>
          <c:layout>
            <c:manualLayout>
              <c:xMode val="edge"/>
              <c:yMode val="edge"/>
              <c:x val="2.1536958777921736E-2"/>
              <c:y val="0.275031496059572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018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Grayscale">
    <a:dk1>
      <a:sysClr val="windowText" lastClr="000000"/>
    </a:dk1>
    <a:lt1>
      <a:sysClr val="window" lastClr="FFFFFF"/>
    </a:lt1>
    <a:dk2>
      <a:srgbClr val="000000"/>
    </a:dk2>
    <a:lt2>
      <a:srgbClr val="F8F8F8"/>
    </a:lt2>
    <a:accent1>
      <a:srgbClr val="DDDDDD"/>
    </a:accent1>
    <a:accent2>
      <a:srgbClr val="B2B2B2"/>
    </a:accent2>
    <a:accent3>
      <a:srgbClr val="969696"/>
    </a:accent3>
    <a:accent4>
      <a:srgbClr val="808080"/>
    </a:accent4>
    <a:accent5>
      <a:srgbClr val="5F5F5F"/>
    </a:accent5>
    <a:accent6>
      <a:srgbClr val="4D4D4D"/>
    </a:accent6>
    <a:hlink>
      <a:srgbClr val="5F5F5F"/>
    </a:hlink>
    <a:folHlink>
      <a:srgbClr val="919191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Catherine</dc:creator>
  <cp:keywords/>
  <dc:description/>
  <cp:lastModifiedBy>Alexander, Catherine</cp:lastModifiedBy>
  <cp:revision>7</cp:revision>
  <dcterms:created xsi:type="dcterms:W3CDTF">2021-06-07T12:22:00Z</dcterms:created>
  <dcterms:modified xsi:type="dcterms:W3CDTF">2021-09-21T11:15:00Z</dcterms:modified>
</cp:coreProperties>
</file>