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0E9A" w:rsidRDefault="00937627">
      <w:pPr>
        <w:spacing w:after="240"/>
      </w:pPr>
      <w:bookmarkStart w:id="0" w:name="_GoBack"/>
      <w:bookmarkEnd w:id="0"/>
      <w:r>
        <w:rPr>
          <w:b/>
        </w:rPr>
        <w:t>SUPPLEMENTARY MATERIAL</w:t>
      </w:r>
    </w:p>
    <w:p w:rsidR="008F0E9A" w:rsidRDefault="00937627">
      <w:pPr>
        <w:spacing w:after="240"/>
        <w:jc w:val="both"/>
        <w:rPr>
          <w:b/>
          <w:bCs/>
          <w:i/>
          <w:iCs/>
        </w:rPr>
      </w:pPr>
      <w:r>
        <w:rPr>
          <w:b/>
          <w:bCs/>
          <w:i/>
          <w:iCs/>
        </w:rPr>
        <w:t>Difficulty and help with activities of daily living among older adults living alone during the COVID-19 pandemic: a multi-country population-based study</w:t>
      </w:r>
    </w:p>
    <w:p w:rsidR="008F0E9A" w:rsidRDefault="008F0E9A">
      <w:pPr>
        <w:spacing w:after="240"/>
        <w:rPr>
          <w:b/>
          <w:bCs/>
          <w:i/>
          <w:iCs/>
        </w:rPr>
      </w:pPr>
    </w:p>
    <w:p w:rsidR="008F0E9A" w:rsidRDefault="00937627">
      <w:pPr>
        <w:spacing w:after="240"/>
        <w:rPr>
          <w:b/>
          <w:bCs/>
          <w:i/>
          <w:iCs/>
        </w:rPr>
      </w:pPr>
      <w:r>
        <w:rPr>
          <w:b/>
          <w:bCs/>
          <w:i/>
          <w:iCs/>
        </w:rPr>
        <w:t>SUPPLEMENTARY METHODS</w:t>
      </w:r>
    </w:p>
    <w:p w:rsidR="008F0E9A" w:rsidRDefault="00937627">
      <w:pPr>
        <w:spacing w:after="240"/>
      </w:pPr>
      <w:r>
        <w:rPr>
          <w:b/>
        </w:rPr>
        <w:t>Questions used in data collection on receipt of assistance with activities of daily living (ADLs)</w:t>
      </w:r>
    </w:p>
    <w:p w:rsidR="008F0E9A" w:rsidRDefault="00937627">
      <w:pPr>
        <w:pStyle w:val="ListParagraph"/>
        <w:numPr>
          <w:ilvl w:val="0"/>
          <w:numId w:val="1"/>
        </w:numPr>
        <w:spacing w:after="240"/>
      </w:pPr>
      <w:r>
        <w:t>In 2020 survey waves, receipt of ADL assistance was primarily assessed by broad questions.</w:t>
      </w:r>
    </w:p>
    <w:p w:rsidR="008F0E9A" w:rsidRDefault="00937627">
      <w:pPr>
        <w:pStyle w:val="ListParagraph"/>
        <w:numPr>
          <w:ilvl w:val="1"/>
          <w:numId w:val="1"/>
        </w:numPr>
        <w:spacing w:after="240"/>
      </w:pPr>
      <w:r>
        <w:t>In ELSA, the question was “Over the past month, have you received care at home?</w:t>
      </w:r>
      <w:proofErr w:type="gramStart"/>
      <w:r>
        <w:t>”,</w:t>
      </w:r>
      <w:proofErr w:type="gramEnd"/>
      <w:r>
        <w:t xml:space="preserve"> with possible answers “Yes, formal (paid, provided from an agency)”, “Yes, informal (friend or relative)” or “no”.</w:t>
      </w:r>
    </w:p>
    <w:p w:rsidR="008F0E9A" w:rsidRDefault="00937627">
      <w:pPr>
        <w:pStyle w:val="ListParagraph"/>
        <w:numPr>
          <w:ilvl w:val="1"/>
          <w:numId w:val="1"/>
        </w:numPr>
        <w:spacing w:after="240"/>
      </w:pPr>
      <w:r>
        <w:t>In SHARE, the question was “Since the outbreak of coronavirus, were you helped by others from outside of home to obtain necessities, e.g. food, medications or emergency household repairs?”, with answers “yes” or “no”.</w:t>
      </w:r>
    </w:p>
    <w:p w:rsidR="008F0E9A" w:rsidRDefault="00937627">
      <w:pPr>
        <w:pStyle w:val="ListParagraph"/>
        <w:numPr>
          <w:ilvl w:val="1"/>
          <w:numId w:val="1"/>
        </w:numPr>
        <w:spacing w:after="240"/>
      </w:pPr>
      <w:r>
        <w:t xml:space="preserve">In HRS, the questions were “Because of the coronavirus pandemic, did anyone living outside your household, such as a parent, adult child, other relatives, or friends, help you with money or by paying bills?” and “Because of the coronavirus pandemic, did anyone living outside your household, such as a parent, adult child, other relatives, or friends, help you with shopping for groceries, errands, rides, or chores?”, with answer “yes” or “no”. </w:t>
      </w:r>
    </w:p>
    <w:p w:rsidR="008F0E9A" w:rsidRDefault="00937627">
      <w:pPr>
        <w:pStyle w:val="ListParagraph"/>
        <w:numPr>
          <w:ilvl w:val="0"/>
          <w:numId w:val="1"/>
        </w:numPr>
        <w:spacing w:after="240"/>
      </w:pPr>
      <w:r>
        <w:rPr>
          <w:lang w:val="en-US"/>
        </w:rPr>
        <w:t xml:space="preserve">Note that for data collection during the pandemic, participants were asked about their function since the start of the pandemic. </w:t>
      </w:r>
    </w:p>
    <w:p w:rsidR="008F0E9A" w:rsidRDefault="00937627">
      <w:pPr>
        <w:pStyle w:val="ListParagraph"/>
        <w:numPr>
          <w:ilvl w:val="0"/>
          <w:numId w:val="1"/>
        </w:numPr>
        <w:spacing w:after="240"/>
      </w:pPr>
      <w:r>
        <w:t xml:space="preserve">In 2017/2018 survey waves, receipt of ADL assistance was mainly assessed by ADL-specific questions. </w:t>
      </w:r>
    </w:p>
    <w:p w:rsidR="008F0E9A" w:rsidRDefault="00937627">
      <w:pPr>
        <w:pStyle w:val="ListParagraph"/>
        <w:numPr>
          <w:ilvl w:val="1"/>
          <w:numId w:val="1"/>
        </w:numPr>
        <w:spacing w:after="240"/>
      </w:pPr>
      <w:r>
        <w:t>In ELSA</w:t>
      </w:r>
      <w:r>
        <w:rPr>
          <w:lang w:val="en-US"/>
        </w:rPr>
        <w:t xml:space="preserve">, help received for </w:t>
      </w:r>
      <w:r>
        <w:t>each ADLs</w:t>
      </w:r>
      <w:r>
        <w:rPr>
          <w:lang w:val="en-US"/>
        </w:rPr>
        <w:t xml:space="preserve"> (except </w:t>
      </w:r>
      <w:r>
        <w:t xml:space="preserve">preparing a hot meal) </w:t>
      </w:r>
      <w:r>
        <w:rPr>
          <w:lang w:val="en-US"/>
        </w:rPr>
        <w:t>was assessed with a specific question such as “</w:t>
      </w:r>
      <w:r>
        <w:t>Have you received help from anyone with dressing, including putting on shoes and socks, in the last month?</w:t>
      </w:r>
      <w:proofErr w:type="gramStart"/>
      <w:r>
        <w:t>”</w:t>
      </w:r>
      <w:r>
        <w:rPr>
          <w:lang w:val="en-US"/>
        </w:rPr>
        <w:t>,</w:t>
      </w:r>
      <w:proofErr w:type="gramEnd"/>
      <w:r>
        <w:rPr>
          <w:lang w:val="en-US"/>
        </w:rPr>
        <w:t xml:space="preserve"> with two possible responses: yes and no. Help with meals </w:t>
      </w:r>
      <w:proofErr w:type="spellStart"/>
      <w:r>
        <w:rPr>
          <w:lang w:val="en-US"/>
        </w:rPr>
        <w:t>wa</w:t>
      </w:r>
      <w:proofErr w:type="spellEnd"/>
      <w:r>
        <w:t xml:space="preserve">s </w:t>
      </w:r>
      <w:r>
        <w:rPr>
          <w:lang w:val="en-US"/>
        </w:rPr>
        <w:t xml:space="preserve">assessed with the question “Had your family, friend or </w:t>
      </w:r>
      <w:proofErr w:type="spellStart"/>
      <w:r>
        <w:rPr>
          <w:lang w:val="en-US"/>
        </w:rPr>
        <w:t>neighbour</w:t>
      </w:r>
      <w:proofErr w:type="spellEnd"/>
      <w:r>
        <w:rPr>
          <w:lang w:val="en-US"/>
        </w:rPr>
        <w:t xml:space="preserve"> bring you ready prepared meals</w:t>
      </w:r>
      <w:r>
        <w:t xml:space="preserve">?” </w:t>
      </w:r>
      <w:r>
        <w:rPr>
          <w:lang w:val="en-US"/>
        </w:rPr>
        <w:t xml:space="preserve">with two possible responses: yes or no. </w:t>
      </w:r>
    </w:p>
    <w:p w:rsidR="008F0E9A" w:rsidRDefault="00937627">
      <w:pPr>
        <w:pStyle w:val="ListParagraph"/>
        <w:numPr>
          <w:ilvl w:val="1"/>
          <w:numId w:val="1"/>
        </w:numPr>
        <w:spacing w:after="240"/>
      </w:pPr>
      <w:r>
        <w:rPr>
          <w:lang w:val="en-US"/>
        </w:rPr>
        <w:t xml:space="preserve">In SHARE, ADL help was assessed with the questions: </w:t>
      </w:r>
      <w:r>
        <w:t xml:space="preserve">“Thinking about the activities that you have problems with, does anyone ever help you with these activities?” </w:t>
      </w:r>
      <w:r>
        <w:rPr>
          <w:lang w:val="en-US"/>
        </w:rPr>
        <w:t xml:space="preserve">with two possible responses (yes or no); “During the last twelve months, did you receive in your own home any professional or paid services listed on this card due to a physical, mental, emotional or memory problem?” (yes or no); “Thinking about the last twelve months, has any family member from outside the household, any friend or </w:t>
      </w:r>
      <w:proofErr w:type="spellStart"/>
      <w:r>
        <w:rPr>
          <w:lang w:val="en-US"/>
        </w:rPr>
        <w:t>neighbour</w:t>
      </w:r>
      <w:proofErr w:type="spellEnd"/>
      <w:r>
        <w:rPr>
          <w:lang w:val="en-US"/>
        </w:rPr>
        <w:t xml:space="preserve"> given you any kind of help listed on this card?” (</w:t>
      </w:r>
      <w:proofErr w:type="gramStart"/>
      <w:r>
        <w:rPr>
          <w:lang w:val="en-US"/>
        </w:rPr>
        <w:t>yes</w:t>
      </w:r>
      <w:proofErr w:type="gramEnd"/>
      <w:r>
        <w:rPr>
          <w:lang w:val="en-US"/>
        </w:rPr>
        <w:t xml:space="preserve"> or no); and “Is there any other family member from outside the household, friend or </w:t>
      </w:r>
      <w:proofErr w:type="spellStart"/>
      <w:r>
        <w:rPr>
          <w:lang w:val="en-US"/>
        </w:rPr>
        <w:t>neighbour</w:t>
      </w:r>
      <w:proofErr w:type="spellEnd"/>
      <w:r>
        <w:rPr>
          <w:lang w:val="en-US"/>
        </w:rPr>
        <w:t xml:space="preserve"> who has given </w:t>
      </w:r>
      <w:proofErr w:type="spellStart"/>
      <w:r>
        <w:rPr>
          <w:lang w:val="en-US"/>
        </w:rPr>
        <w:t>you</w:t>
      </w:r>
      <w:proofErr w:type="spellEnd"/>
      <w:r>
        <w:rPr>
          <w:lang w:val="en-US"/>
        </w:rPr>
        <w:t xml:space="preserve"> personal care or practical household help?” (</w:t>
      </w:r>
      <w:proofErr w:type="gramStart"/>
      <w:r>
        <w:rPr>
          <w:lang w:val="en-US"/>
        </w:rPr>
        <w:t>yes</w:t>
      </w:r>
      <w:proofErr w:type="gramEnd"/>
      <w:r>
        <w:rPr>
          <w:lang w:val="en-US"/>
        </w:rPr>
        <w:t xml:space="preserve"> or no). Services listed included personal care (e.g. getting in and out of bed, dressing, bathing and showering), domestic tasks (e.g. cleaning, ironing, cooking), meals-on-wheels (i.e. ready-made meals provided by a </w:t>
      </w:r>
      <w:r>
        <w:rPr>
          <w:lang w:val="en-US"/>
        </w:rPr>
        <w:lastRenderedPageBreak/>
        <w:t xml:space="preserve">municipality or a private provider), and other activities (e.g. filling a drug dispenser). </w:t>
      </w:r>
    </w:p>
    <w:p w:rsidR="008F0E9A" w:rsidRDefault="00937627">
      <w:pPr>
        <w:pStyle w:val="ListParagraph"/>
        <w:numPr>
          <w:ilvl w:val="1"/>
          <w:numId w:val="1"/>
        </w:numPr>
        <w:spacing w:after="240"/>
      </w:pPr>
      <w:r>
        <w:t xml:space="preserve">In HRS, </w:t>
      </w:r>
      <w:r>
        <w:rPr>
          <w:lang w:val="en-US"/>
        </w:rPr>
        <w:t xml:space="preserve">help received for each </w:t>
      </w:r>
      <w:r>
        <w:t>ADL</w:t>
      </w:r>
      <w:r>
        <w:rPr>
          <w:lang w:val="en-US"/>
        </w:rPr>
        <w:t xml:space="preserve"> was assessed with a question such as: “</w:t>
      </w:r>
      <w:r>
        <w:t>Because of a health or memory problem did anyone help you with dressing, including putting on shoes and socks in the last three months of your life?”</w:t>
      </w:r>
      <w:r>
        <w:rPr>
          <w:lang w:val="en-US"/>
        </w:rPr>
        <w:t xml:space="preserve"> with two possible responses: yes or no.</w:t>
      </w:r>
    </w:p>
    <w:p w:rsidR="008F0E9A" w:rsidRDefault="00937627">
      <w:r>
        <w:rPr>
          <w:lang w:val="en-US"/>
        </w:rPr>
        <w:t xml:space="preserve">The present study simply used a </w:t>
      </w:r>
      <w:r>
        <w:t>binary indicator for receipt of ADL assistance: yes (including formal and informal, paid and non-paid) versus no.</w:t>
      </w:r>
    </w:p>
    <w:p w:rsidR="008F0E9A" w:rsidRDefault="00937627">
      <w:r>
        <w:br w:type="page"/>
      </w:r>
    </w:p>
    <w:p w:rsidR="008F0E9A" w:rsidRDefault="00937627">
      <w:pPr>
        <w:rPr>
          <w:b/>
        </w:rPr>
      </w:pPr>
      <w:r>
        <w:rPr>
          <w:b/>
        </w:rPr>
        <w:lastRenderedPageBreak/>
        <w:t>Formula to calculate the (Erreygers' corrected) concentration index</w:t>
      </w:r>
    </w:p>
    <w:p w:rsidR="008F0E9A" w:rsidRDefault="00937627">
      <w:pPr>
        <w:spacing w:after="240"/>
        <w:jc w:val="both"/>
      </w:pPr>
      <w:r>
        <w:t>To measure inequality in receipt of assistance with ADLs over the socioeconomic distribution, we calculated the concentration index (one of those recommended by World Bank to measure socioeconomic inequality in the health sector) for each survey wave in each country</w:t>
      </w:r>
      <w:r>
        <w:fldChar w:fldCharType="begin"/>
      </w:r>
      <w:r>
        <w:instrText>ADDIN EN.CITE &lt;EndNote&gt;&lt;Cite&gt;&lt;Author&gt;World Bank&lt;/Author&gt;&lt;Year&gt;2007&lt;/Year&gt;&lt;RecNum&gt;49481&lt;/RecNum&gt;&lt;DisplayText&gt;&lt;style face="superscript"&gt;1&lt;/style&gt;&lt;/DisplayText&gt;&lt;record&gt;&lt;rec-number&gt;49481&lt;/rec-number&gt;&lt;foreign-keys&gt;&lt;key app="EN" db-id="rzzt2pte80zfthe5d9eppxxstd09zds2zt95" timestamp="1468315002"&gt;49481&lt;/key&gt;&lt;/foreign-keys&gt;&lt;ref-type name="Report"&gt;27&lt;/ref-type&gt;&lt;contributors&gt;&lt;authors&gt;&lt;author&gt;World Bank,&lt;/author&gt;&lt;/authors&gt;&lt;tertiary-authors&gt;&lt;author&gt;World Bank&lt;/author&gt;&lt;/tertiary-authors&gt;&lt;/contributors&gt;&lt;titles&gt;&lt;title&gt;&lt;style face="normal" font="default" size="100%"&gt;Analyzing Health Equity Using Household Survey Data&lt;/style&gt;&lt;style face="normal" font="default" charset="134" size="100%"&gt;: &lt;/style&gt;&lt;style face="normal" font="default" size="100%"&gt;A Guide to Techniques and Their Implementation&lt;/style&gt;&lt;/title&gt;&lt;/titles&gt;&lt;dates&gt;&lt;year&gt;2007&lt;/year&gt;&lt;/dates&gt;&lt;publisher&gt;&lt;style face="normal" font="default" size="100%"&gt;World&lt;/style&gt;&lt;style face="normal" font="default" charset="134" size="100%"&gt; &lt;/style&gt;&lt;style face="normal" font="default" size="100%"&gt;Bank&lt;/style&gt;&lt;/publisher&gt;&lt;urls&gt;&lt;/urls&gt;&lt;/record&gt;&lt;/Cite&gt;&lt;/EndNote&gt;</w:instrText>
      </w:r>
      <w:r>
        <w:fldChar w:fldCharType="separate"/>
      </w:r>
      <w:r>
        <w:rPr>
          <w:vertAlign w:val="superscript"/>
        </w:rPr>
        <w:t>1</w:t>
      </w:r>
      <w:r>
        <w:fldChar w:fldCharType="end"/>
      </w:r>
      <w:r>
        <w:t>. Briefly, the concentration index is twice the covariance between a binary indicator (here, receipt of ADL assistance) and the person’s fractional rank in the country-specific distribution of the wealth index, divided by the country-specific mean rate of (in this case) receipt of ADL assistance</w:t>
      </w:r>
      <w:r>
        <w:fldChar w:fldCharType="begin"/>
      </w:r>
      <w:r>
        <w:instrText>ADDIN EN.CITE &lt;EndNote&gt;&lt;Cite&gt;&lt;Author&gt;World Bank&lt;/Author&gt;&lt;Year&gt;2007&lt;/Year&gt;&lt;RecNum&gt;49481&lt;/RecNum&gt;&lt;DisplayText&gt;&lt;style face="superscript"&gt;1&lt;/style&gt;&lt;/DisplayText&gt;&lt;record&gt;&lt;rec-number&gt;49481&lt;/rec-number&gt;&lt;foreign-keys&gt;&lt;key app="EN" db-id="rzzt2pte80zfthe5d9eppxxstd09zds2zt95" timestamp="1468315002"&gt;49481&lt;/key&gt;&lt;/foreign-keys&gt;&lt;ref-type name="Report"&gt;27&lt;/ref-type&gt;&lt;contributors&gt;&lt;authors&gt;&lt;author&gt;World Bank,&lt;/author&gt;&lt;/authors&gt;&lt;tertiary-authors&gt;&lt;author&gt;World Bank&lt;/author&gt;&lt;/tertiary-authors&gt;&lt;/contributors&gt;&lt;titles&gt;&lt;title&gt;&lt;style face="normal" font="default" size="100%"&gt;Analyzing Health Equity Using Household Survey Data&lt;/style&gt;&lt;style face="normal" font="default" charset="134" size="100%"&gt;: &lt;/style&gt;&lt;style face="normal" font="default" size="100%"&gt;A Guide to Techniques and Their Implementation&lt;/style&gt;&lt;/title&gt;&lt;/titles&gt;&lt;dates&gt;&lt;year&gt;2007&lt;/year&gt;&lt;/dates&gt;&lt;publisher&gt;&lt;style face="normal" font="default" size="100%"&gt;World&lt;/style&gt;&lt;style face="normal" font="default" charset="134" size="100%"&gt; &lt;/style&gt;&lt;style face="normal" font="default" size="100%"&gt;Bank&lt;/style&gt;&lt;/publisher&gt;&lt;urls&gt;&lt;/urls&gt;&lt;/record&gt;&lt;/Cite&gt;&lt;/EndNote&gt;</w:instrText>
      </w:r>
      <w:r>
        <w:fldChar w:fldCharType="separate"/>
      </w:r>
      <w:r>
        <w:rPr>
          <w:vertAlign w:val="superscript"/>
        </w:rPr>
        <w:t>1</w:t>
      </w:r>
      <w:r>
        <w:fldChar w:fldCharType="end"/>
      </w:r>
      <w:r>
        <w:t xml:space="preserve">. Theoretically, the value of the concentration index is within −1 to 1. If ADL assistance is not correlated with an individual’s position in the wealth distribution, the value of the concentration index is zero, indicating no socioeconomic inequality (though note the difference between this and equity, as discussed in the main text). A positive concentration index indicates means a disproportionate concentration of ADL assistance towards richer individuals (namely “pro-rich”), and conversely for a negative index (“pro-poor”). </w:t>
      </w:r>
    </w:p>
    <w:p w:rsidR="008F0E9A" w:rsidRDefault="00937627">
      <w:pPr>
        <w:spacing w:after="240"/>
        <w:jc w:val="both"/>
      </w:pPr>
      <w:r>
        <w:t>To understand whether help was given to people with greater difficulties with ADLs, besides the wealth-referenced concentration index described above, we also calculated the difficulty-referenced concentration index, by replacing wealth with the extent of difficulty as the reference variable. Positive values indicate help being provided more to those with greater difficulties (“pro-difficulty”) and negative values the converse (“anti-difficulty”).</w:t>
      </w:r>
    </w:p>
    <w:p w:rsidR="008F0E9A" w:rsidRDefault="00937627">
      <w:pPr>
        <w:spacing w:after="240"/>
        <w:jc w:val="both"/>
      </w:pPr>
      <w:r>
        <w:t>Kakwani gave a regression-based model to calculate the concentration index</w:t>
      </w:r>
      <w:r>
        <w:fldChar w:fldCharType="begin"/>
      </w:r>
      <w:r>
        <w:instrText>ADDIN EN.CITE &lt;EndNote&gt;&lt;Cite&gt;&lt;Author&gt;Kakwani&lt;/Author&gt;&lt;Year&gt;1997&lt;/Year&gt;&lt;RecNum&gt;54983&lt;/RecNum&gt;&lt;DisplayText&gt;&lt;style face="superscript"&gt;2&lt;/style&gt;&lt;/DisplayText&gt;&lt;record&gt;&lt;rec-number&gt;54983&lt;/rec-number&gt;&lt;foreign-keys&gt;&lt;key app="EN" db-id="rzzt2pte80zfthe5d9eppxxstd09zds2zt95" timestamp="1516677417"&gt;54983&lt;/key&gt;&lt;/foreign-keys&gt;&lt;ref-type name="Journal Article"&gt;17&lt;/ref-type&gt;&lt;contributors&gt;&lt;authors&gt;&lt;author&gt;Kakwani, N.&lt;/author&gt;&lt;author&gt;Wagstaff, A.&lt;/author&gt;&lt;author&gt;vanDoorslaer, E.&lt;/author&gt;&lt;/authors&gt;&lt;/contributors&gt;&lt;auth-address&gt;UNIV SUSSEX,SCH SOCIAL SCI,BRIGHTON BN1 9QN,E SUSSEX,ENGLAND. ERASMUS UNIV ROTTERDAM,DEPT HLTH POLICY &amp;amp; MANAGEMENT,NL-3000 DR ROTTERDAM,NETHERLANDS.&amp;#xD;Kakwani, N (reprint author), UNIV NEW S WALES,SCH ECON,SYDNEY,NSW 2052,AUSTRALIA.&lt;/auth-address&gt;&lt;titles&gt;&lt;title&gt;Socioeconomic inequalities in health: Measurement, computation, and statistical inference&lt;/title&gt;&lt;secondary-title&gt;Journal of Econometrics&lt;/secondary-title&gt;&lt;alt-title&gt;J. Econom.&lt;/alt-title&gt;&lt;/titles&gt;&lt;periodical&gt;&lt;full-title&gt;Journal of Econometrics&lt;/full-title&gt;&lt;abbr-1&gt;J Econometrics&lt;/abbr-1&gt;&lt;/periodical&gt;&lt;pages&gt;87-103&lt;/pages&gt;&lt;volume&gt;77&lt;/volume&gt;&lt;number&gt;1&lt;/number&gt;&lt;keywords&gt;&lt;keyword&gt;socioeconomic inequality&lt;/keyword&gt;&lt;keyword&gt;concentration index&lt;/keyword&gt;&lt;keyword&gt;standard errors&lt;/keyword&gt;&lt;keyword&gt;mortality&lt;/keyword&gt;&lt;keyword&gt;Business &amp;amp; Economics&lt;/keyword&gt;&lt;keyword&gt;Mathematics&lt;/keyword&gt;&lt;keyword&gt;Mathematical Methods In Social&lt;/keyword&gt;&lt;keyword&gt;Sciences&lt;/keyword&gt;&lt;/keywords&gt;&lt;dates&gt;&lt;year&gt;1997&lt;/year&gt;&lt;pub-dates&gt;&lt;date&gt;Mar&lt;/date&gt;&lt;/pub-dates&gt;&lt;/dates&gt;&lt;isbn&gt;0304-4076&lt;/isbn&gt;&lt;accession-num&gt;WOS:A1997WJ58000005&lt;/accession-num&gt;&lt;work-type&gt;Article&lt;/work-type&gt;&lt;urls&gt;&lt;related-urls&gt;&lt;url&gt;&amp;lt;Go to ISI&amp;gt;://WOS:A1997WJ58000005&lt;/url&gt;&lt;url&gt;https://www.sciencedirect.com/science/article/pii/S0304407696018076?via%3Dihub&lt;/url&gt;&lt;/related-urls&gt;&lt;/urls&gt;&lt;electronic-resource-num&gt;10.1016/s0304-4076(96)01807-6&lt;/electronic-resource-num&gt;&lt;language&gt;English&lt;/language&gt;&lt;/record&gt;&lt;/Cite&gt;&lt;/EndNote&gt;</w:instrText>
      </w:r>
      <w:r>
        <w:fldChar w:fldCharType="separate"/>
      </w:r>
      <w:r>
        <w:rPr>
          <w:vertAlign w:val="superscript"/>
        </w:rPr>
        <w:t>2</w:t>
      </w:r>
      <w:r>
        <w:fldChar w:fldCharType="end"/>
      </w:r>
      <w:r>
        <w:t xml:space="preserve">: </w:t>
      </w:r>
    </w:p>
    <w:p w:rsidR="008F0E9A" w:rsidRDefault="00937627">
      <w:pPr>
        <w:spacing w:line="360" w:lineRule="auto"/>
        <w:jc w:val="both"/>
      </w:pPr>
      <m:oMathPara>
        <m:oMath>
          <m:r>
            <w:rPr>
              <w:rFonts w:ascii="Cambria Math" w:hAnsi="Cambria Math"/>
            </w:rPr>
            <m:t>2</m:t>
          </m:r>
          <m:sSubSup>
            <m:sSubSupPr>
              <m:ctrlPr>
                <w:rPr>
                  <w:rFonts w:ascii="Cambria Math" w:hAnsi="Cambria Math"/>
                </w:rPr>
              </m:ctrlPr>
            </m:sSubSupPr>
            <m:e>
              <m:r>
                <w:rPr>
                  <w:rFonts w:ascii="Cambria Math" w:hAnsi="Cambria Math"/>
                </w:rPr>
                <m:t>σ</m:t>
              </m:r>
            </m:e>
            <m:sub>
              <m:r>
                <w:rPr>
                  <w:rFonts w:ascii="Cambria Math" w:hAnsi="Cambria Math"/>
                </w:rPr>
                <m:t>R</m:t>
              </m:r>
            </m:sub>
            <m:sup>
              <m:r>
                <w:rPr>
                  <w:rFonts w:ascii="Cambria Math" w:hAnsi="Cambria Math"/>
                </w:rPr>
                <m:t>2</m:t>
              </m:r>
            </m:sup>
          </m:sSubSup>
          <m:f>
            <m:fPr>
              <m:ctrlPr>
                <w:rPr>
                  <w:rFonts w:ascii="Cambria Math" w:hAnsi="Cambria Math"/>
                </w:rPr>
              </m:ctrlPr>
            </m:fPr>
            <m:num>
              <m:sSub>
                <m:sSubPr>
                  <m:ctrlPr>
                    <w:rPr>
                      <w:rFonts w:ascii="Cambria Math" w:hAnsi="Cambria Math"/>
                    </w:rPr>
                  </m:ctrlPr>
                </m:sSubPr>
                <m:e>
                  <m:r>
                    <w:rPr>
                      <w:rFonts w:ascii="Cambria Math" w:hAnsi="Cambria Math"/>
                    </w:rPr>
                    <m:t>y</m:t>
                  </m:r>
                </m:e>
                <m:sub>
                  <m:r>
                    <w:rPr>
                      <w:rFonts w:ascii="Cambria Math" w:hAnsi="Cambria Math"/>
                    </w:rPr>
                    <m:t>i</m:t>
                  </m:r>
                </m:sub>
              </m:sSub>
            </m:num>
            <m:den>
              <m:bar>
                <m:barPr>
                  <m:pos m:val="top"/>
                  <m:ctrlPr>
                    <w:rPr>
                      <w:rFonts w:ascii="Cambria Math" w:hAnsi="Cambria Math"/>
                    </w:rPr>
                  </m:ctrlPr>
                </m:barPr>
                <m:e>
                  <m:r>
                    <w:rPr>
                      <w:rFonts w:ascii="Cambria Math" w:hAnsi="Cambria Math"/>
                    </w:rPr>
                    <m:t>y</m:t>
                  </m:r>
                </m:e>
              </m:bar>
            </m:den>
          </m:f>
          <m:r>
            <w:rPr>
              <w:rFonts w:ascii="Cambria Math" w:hAnsi="Cambria Math"/>
            </w:rPr>
            <m:t>=</m:t>
          </m:r>
          <m:sSub>
            <m:sSubPr>
              <m:ctrlPr>
                <w:rPr>
                  <w:rFonts w:ascii="Cambria Math" w:hAnsi="Cambria Math"/>
                </w:rPr>
              </m:ctrlPr>
            </m:sSubPr>
            <m:e>
              <m:r>
                <w:rPr>
                  <w:rFonts w:ascii="Cambria Math" w:hAnsi="Cambria Math"/>
                </w:rPr>
                <m:t>γ</m:t>
              </m:r>
            </m:e>
            <m:sub>
              <m:r>
                <w:rPr>
                  <w:rFonts w:ascii="Cambria Math" w:hAnsi="Cambria Math"/>
                </w:rPr>
                <m:t>1</m:t>
              </m:r>
            </m:sub>
          </m:sSub>
          <m:r>
            <w:rPr>
              <w:rFonts w:ascii="Cambria Math" w:hAnsi="Cambria Math"/>
            </w:rPr>
            <m:t>+δ</m:t>
          </m:r>
          <m:sSub>
            <m:sSubPr>
              <m:ctrlPr>
                <w:rPr>
                  <w:rFonts w:ascii="Cambria Math" w:hAnsi="Cambria Math"/>
                </w:rPr>
              </m:ctrlPr>
            </m:sSubPr>
            <m:e>
              <m:r>
                <w:rPr>
                  <w:rFonts w:ascii="Cambria Math" w:hAnsi="Cambria Math"/>
                </w:rPr>
                <m:t>R</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ε</m:t>
              </m:r>
            </m:e>
            <m:sub>
              <m:r>
                <w:rPr>
                  <w:rFonts w:ascii="Cambria Math" w:hAnsi="Cambria Math"/>
                </w:rPr>
                <m:t>i</m:t>
              </m:r>
            </m:sub>
          </m:sSub>
        </m:oMath>
      </m:oMathPara>
    </w:p>
    <w:p w:rsidR="008F0E9A" w:rsidRDefault="00937627">
      <w:pPr>
        <w:spacing w:after="240"/>
        <w:jc w:val="both"/>
      </w:pPr>
      <w:r>
        <w:t xml:space="preserve">where </w:t>
      </w:r>
      <m:oMath>
        <m:sSub>
          <m:sSubPr>
            <m:ctrlPr>
              <w:rPr>
                <w:rFonts w:ascii="Cambria Math" w:hAnsi="Cambria Math"/>
              </w:rPr>
            </m:ctrlPr>
          </m:sSubPr>
          <m:e>
            <m:r>
              <w:rPr>
                <w:rFonts w:ascii="Cambria Math" w:hAnsi="Cambria Math"/>
              </w:rPr>
              <m:t>y</m:t>
            </m:r>
          </m:e>
          <m:sub>
            <m:r>
              <w:rPr>
                <w:rFonts w:ascii="Cambria Math" w:hAnsi="Cambria Math"/>
              </w:rPr>
              <m:t>i</m:t>
            </m:r>
          </m:sub>
        </m:sSub>
      </m:oMath>
      <w:r>
        <w:rPr>
          <w:color w:val="000000"/>
          <w:sz w:val="24"/>
        </w:rPr>
        <w:t xml:space="preserve"> </w:t>
      </w:r>
      <w:r>
        <w:t xml:space="preserve">is the status of receipt of ADL assistance, </w:t>
      </w:r>
      <m:oMath>
        <m:bar>
          <m:barPr>
            <m:pos m:val="top"/>
            <m:ctrlPr>
              <w:rPr>
                <w:rFonts w:ascii="Cambria Math" w:hAnsi="Cambria Math"/>
              </w:rPr>
            </m:ctrlPr>
          </m:barPr>
          <m:e>
            <m:r>
              <w:rPr>
                <w:rFonts w:ascii="Cambria Math" w:hAnsi="Cambria Math"/>
              </w:rPr>
              <m:t>y</m:t>
            </m:r>
          </m:e>
        </m:bar>
      </m:oMath>
      <w:r>
        <w:rPr>
          <w:color w:val="000000"/>
          <w:sz w:val="24"/>
        </w:rPr>
        <w:t xml:space="preserve"> </w:t>
      </w:r>
      <w:r>
        <w:t xml:space="preserve">is the mean rate of </w:t>
      </w:r>
      <m:oMath>
        <m:sSub>
          <m:sSubPr>
            <m:ctrlPr>
              <w:rPr>
                <w:rFonts w:ascii="Cambria Math" w:hAnsi="Cambria Math"/>
              </w:rPr>
            </m:ctrlPr>
          </m:sSubPr>
          <m:e>
            <m:r>
              <w:rPr>
                <w:rFonts w:ascii="Cambria Math" w:hAnsi="Cambria Math"/>
              </w:rPr>
              <m:t>y</m:t>
            </m:r>
          </m:e>
          <m:sub>
            <m:r>
              <w:rPr>
                <w:rFonts w:ascii="Cambria Math" w:hAnsi="Cambria Math"/>
              </w:rPr>
              <m:t>i</m:t>
            </m:r>
          </m:sub>
        </m:sSub>
      </m:oMath>
      <w:r>
        <w:t xml:space="preserve">, </w:t>
      </w:r>
      <m:oMath>
        <m:sSub>
          <m:sSubPr>
            <m:ctrlPr>
              <w:rPr>
                <w:rFonts w:ascii="Cambria Math" w:hAnsi="Cambria Math"/>
              </w:rPr>
            </m:ctrlPr>
          </m:sSubPr>
          <m:e>
            <m:r>
              <w:rPr>
                <w:rFonts w:ascii="Cambria Math" w:hAnsi="Cambria Math"/>
              </w:rPr>
              <m:t>R</m:t>
            </m:r>
          </m:e>
          <m:sub>
            <m:r>
              <w:rPr>
                <w:rFonts w:ascii="Cambria Math" w:hAnsi="Cambria Math"/>
              </w:rPr>
              <m:t>i</m:t>
            </m:r>
          </m:sub>
        </m:sSub>
      </m:oMath>
      <w:r>
        <w:rPr>
          <w:color w:val="000000"/>
          <w:sz w:val="24"/>
        </w:rPr>
        <w:t xml:space="preserve"> </w:t>
      </w:r>
      <w:r>
        <w:t xml:space="preserve">is the fractional rank of income or extent of ADL difficulty, </w:t>
      </w:r>
      <m:oMath>
        <m:sSubSup>
          <m:sSubSupPr>
            <m:ctrlPr>
              <w:rPr>
                <w:rFonts w:ascii="Cambria Math" w:hAnsi="Cambria Math"/>
              </w:rPr>
            </m:ctrlPr>
          </m:sSubSupPr>
          <m:e>
            <m:r>
              <w:rPr>
                <w:rFonts w:ascii="Cambria Math" w:hAnsi="Cambria Math"/>
              </w:rPr>
              <m:t>σ</m:t>
            </m:r>
          </m:e>
          <m:sub>
            <m:r>
              <w:rPr>
                <w:rFonts w:ascii="Cambria Math" w:hAnsi="Cambria Math"/>
              </w:rPr>
              <m:t>R</m:t>
            </m:r>
          </m:sub>
          <m:sup>
            <m:r>
              <w:rPr>
                <w:rFonts w:ascii="Cambria Math" w:hAnsi="Cambria Math"/>
              </w:rPr>
              <m:t>2</m:t>
            </m:r>
          </m:sup>
        </m:sSubSup>
      </m:oMath>
      <w:r>
        <w:t xml:space="preserve">is the variance of </w:t>
      </w:r>
      <m:oMath>
        <m:sSub>
          <m:sSubPr>
            <m:ctrlPr>
              <w:rPr>
                <w:rFonts w:ascii="Cambria Math" w:hAnsi="Cambria Math"/>
              </w:rPr>
            </m:ctrlPr>
          </m:sSubPr>
          <m:e>
            <m:r>
              <w:rPr>
                <w:rFonts w:ascii="Cambria Math" w:hAnsi="Cambria Math"/>
              </w:rPr>
              <m:t>R</m:t>
            </m:r>
          </m:e>
          <m:sub>
            <m:r>
              <w:rPr>
                <w:rFonts w:ascii="Cambria Math" w:hAnsi="Cambria Math"/>
              </w:rPr>
              <m:t>i</m:t>
            </m:r>
          </m:sub>
        </m:sSub>
      </m:oMath>
      <w:r>
        <w:t xml:space="preserve">, δ is the value of concentration index, and </w:t>
      </w:r>
      <m:oMath>
        <m:sSub>
          <m:sSubPr>
            <m:ctrlPr>
              <w:rPr>
                <w:rFonts w:ascii="Cambria Math" w:hAnsi="Cambria Math"/>
              </w:rPr>
            </m:ctrlPr>
          </m:sSubPr>
          <m:e>
            <m:r>
              <w:rPr>
                <w:rFonts w:ascii="Cambria Math" w:hAnsi="Cambria Math"/>
              </w:rPr>
              <m:t>ε</m:t>
            </m:r>
          </m:e>
          <m:sub>
            <m:r>
              <w:rPr>
                <w:rFonts w:ascii="Cambria Math" w:hAnsi="Cambria Math"/>
              </w:rPr>
              <m:t>i</m:t>
            </m:r>
          </m:sub>
        </m:sSub>
      </m:oMath>
      <w:r>
        <w:rPr>
          <w:color w:val="000000"/>
          <w:sz w:val="24"/>
        </w:rPr>
        <w:t xml:space="preserve"> </w:t>
      </w:r>
      <w:r>
        <w:t xml:space="preserve">is the error term. The advantage of this regression-based model is that it enables calculation of the 95% confidence interval of the concentration index, and calculation of a standardised concentration index by controlling other covariates. In the current study, we adopt </w:t>
      </w:r>
      <w:proofErr w:type="spellStart"/>
      <w:r>
        <w:t>Kakwani’s</w:t>
      </w:r>
      <w:proofErr w:type="spellEnd"/>
      <w:r>
        <w:t xml:space="preserve"> method</w:t>
      </w:r>
      <w:r>
        <w:fldChar w:fldCharType="begin"/>
      </w:r>
      <w:r>
        <w:instrText>ADDIN EN.CITE &lt;EndNote&gt;&lt;Cite&gt;&lt;Author&gt;World Bank&lt;/Author&gt;&lt;Year&gt;2007&lt;/Year&gt;&lt;RecNum&gt;49481&lt;/RecNum&gt;&lt;DisplayText&gt;&lt;style face="superscript"&gt;1&lt;/style&gt;&lt;/DisplayText&gt;&lt;record&gt;&lt;rec-number&gt;49481&lt;/rec-number&gt;&lt;foreign-keys&gt;&lt;key app="EN" db-id="rzzt2pte80zfthe5d9eppxxstd09zds2zt95" timestamp="1468315002"&gt;49481&lt;/key&gt;&lt;/foreign-keys&gt;&lt;ref-type name="Report"&gt;27&lt;/ref-type&gt;&lt;contributors&gt;&lt;authors&gt;&lt;author&gt;World Bank,&lt;/author&gt;&lt;/authors&gt;&lt;tertiary-authors&gt;&lt;author&gt;World Bank&lt;/author&gt;&lt;/tertiary-authors&gt;&lt;/contributors&gt;&lt;titles&gt;&lt;title&gt;&lt;style face="normal" font="default" size="100%"&gt;Analyzing Health Equity Using Household Survey Data&lt;/style&gt;&lt;style face="normal" font="default" charset="134" size="100%"&gt;: &lt;/style&gt;&lt;style face="normal" font="default" size="100%"&gt;A Guide to Techniques and Their Implementation&lt;/style&gt;&lt;/title&gt;&lt;/titles&gt;&lt;dates&gt;&lt;year&gt;2007&lt;/year&gt;&lt;/dates&gt;&lt;publisher&gt;&lt;style face="normal" font="default" size="100%"&gt;World&lt;/style&gt;&lt;style face="normal" font="default" charset="134" size="100%"&gt; &lt;/style&gt;&lt;style face="normal" font="default" size="100%"&gt;Bank&lt;/style&gt;&lt;/publisher&gt;&lt;urls&gt;&lt;/urls&gt;&lt;/record&gt;&lt;/Cite&gt;&lt;/EndNote&gt;</w:instrText>
      </w:r>
      <w:r>
        <w:fldChar w:fldCharType="separate"/>
      </w:r>
      <w:r>
        <w:rPr>
          <w:vertAlign w:val="superscript"/>
        </w:rPr>
        <w:t>1</w:t>
      </w:r>
      <w:r>
        <w:fldChar w:fldCharType="end"/>
      </w:r>
      <w:r>
        <w:t xml:space="preserve">. The wealth-referenced concentration index was standardised for differences in age, </w:t>
      </w:r>
      <w:r w:rsidR="00B44390">
        <w:t>sex</w:t>
      </w:r>
      <w:r>
        <w:t xml:space="preserve">, and the extent of ADL difficulty; and the difficulty-referenced concentration index was standardised for differences in age, </w:t>
      </w:r>
      <w:r w:rsidR="00B44390">
        <w:t>sex</w:t>
      </w:r>
      <w:r>
        <w:t>, and wealth.</w:t>
      </w:r>
    </w:p>
    <w:p w:rsidR="008F0E9A" w:rsidRDefault="00937627">
      <w:pPr>
        <w:spacing w:after="240"/>
        <w:jc w:val="both"/>
      </w:pPr>
      <w:r>
        <w:t>However, when the concentration index method is applied to a binary variable, the bounds of the concentration Index depend upon the rate of ADL assistance and hence make a comparison of countries with different rates of ADL assistance problematic</w:t>
      </w:r>
      <w:r>
        <w:fldChar w:fldCharType="begin"/>
      </w:r>
      <w:r>
        <w:instrText>ADDIN EN.CITE &lt;EndNote&gt;&lt;Cite&gt;&lt;Author&gt;Wagstaff&lt;/Author&gt;&lt;Year&gt;2005&lt;/Year&gt;&lt;RecNum&gt;72985&lt;/RecNum&gt;&lt;DisplayText&gt;&lt;style face="superscript"&gt;3&lt;/style&gt;&lt;/DisplayText&gt;&lt;record&gt;&lt;rec-number&gt;72985&lt;/rec-number&gt;&lt;foreign-keys&gt;&lt;key app="EN" db-id="rzzt2pte80zfthe5d9eppxxstd09zds2zt95" timestamp="1611228670"&gt;72985&lt;/key&gt;&lt;/foreign-keys&gt;&lt;ref-type name="Journal Article"&gt;17&lt;/ref-type&gt;&lt;contributors&gt;&lt;authors&gt;&lt;author&gt;Wagstaff, A.&lt;/author&gt;&lt;/authors&gt;&lt;/contributors&gt;&lt;auth-address&gt;World Bank, Dev Res Grp, Washington, DC 20433 USA&lt;/auth-address&gt;&lt;titles&gt;&lt;title&gt;The bounds of the concentration index when the variable of interest is binary, with an application to immunization inequality&lt;/title&gt;&lt;secondary-title&gt;Health Economics&lt;/secondary-title&gt;&lt;alt-title&gt;Health Econ&lt;/alt-title&gt;&lt;/titles&gt;&lt;periodical&gt;&lt;full-title&gt;Health Economics&lt;/full-title&gt;&lt;abbr-1&gt;Health Econ&lt;/abbr-1&gt;&lt;abbr-2&gt;Health Econ   4   (2.137)&lt;/abbr-2&gt;&lt;/periodical&gt;&lt;alt-periodical&gt;&lt;full-title&gt;Health Econ&lt;/full-title&gt;&lt;abbr-1&gt;Health economics&lt;/abbr-1&gt;&lt;/alt-periodical&gt;&lt;pages&gt;429-432&lt;/pages&gt;&lt;volume&gt;14&lt;/volume&gt;&lt;number&gt;4&lt;/number&gt;&lt;keywords&gt;&lt;keyword&gt;inequality&lt;/keyword&gt;&lt;keyword&gt;concentration index&lt;/keyword&gt;&lt;keyword&gt;immunization&lt;/keyword&gt;&lt;keyword&gt;health&lt;/keyword&gt;&lt;/keywords&gt;&lt;dates&gt;&lt;year&gt;2005&lt;/year&gt;&lt;pub-dates&gt;&lt;date&gt;Apr&lt;/date&gt;&lt;/pub-dates&gt;&lt;/dates&gt;&lt;isbn&gt;1057-9230&lt;/isbn&gt;&lt;accession-num&gt;WOS:000228243900010&lt;/accession-num&gt;&lt;urls&gt;&lt;related-urls&gt;&lt;url&gt;&amp;lt;Go to ISI&amp;gt;://WOS:000228243900010&lt;/url&gt;&lt;/related-urls&gt;&lt;/urls&gt;&lt;electronic-resource-num&gt;10.1002/hec.953&lt;/electronic-resource-num&gt;&lt;language&gt;English&lt;/language&gt;&lt;/record&gt;&lt;/Cite&gt;&lt;/EndNote&gt;</w:instrText>
      </w:r>
      <w:r>
        <w:fldChar w:fldCharType="separate"/>
      </w:r>
      <w:r>
        <w:rPr>
          <w:vertAlign w:val="superscript"/>
        </w:rPr>
        <w:t>3</w:t>
      </w:r>
      <w:r>
        <w:fldChar w:fldCharType="end"/>
      </w:r>
      <w:r>
        <w:rPr>
          <w:lang w:val="en-US"/>
        </w:rPr>
        <w:t xml:space="preserve">. Further, </w:t>
      </w:r>
      <w:r>
        <w:t>the ordering of countries by degree of inequality can depend on whether the concentration index is used to measure inequality in “receipt” versus “lack of receipt” of ADL assistance</w:t>
      </w:r>
      <w:r>
        <w:fldChar w:fldCharType="begin"/>
      </w:r>
      <w:r>
        <w:instrText>ADDIN EN.CITE &lt;EndNote&gt;&lt;Cite&gt;&lt;Author&gt;Clarke&lt;/Author&gt;&lt;Year&gt;2002&lt;/Year&gt;&lt;RecNum&gt;72984&lt;/RecNum&gt;&lt;DisplayText&gt;&lt;style face="superscript"&gt;4&lt;/style&gt;&lt;/DisplayText&gt;&lt;record&gt;&lt;rec-number&gt;72984&lt;/rec-number&gt;&lt;foreign-keys&gt;&lt;key app="EN" db-id="rzzt2pte80zfthe5d9eppxxstd09zds2zt95" timestamp="1611228590"&gt;72984&lt;/key&gt;&lt;/foreign-keys&gt;&lt;ref-type name="Journal Article"&gt;17&lt;/ref-type&gt;&lt;contributors&gt;&lt;authors&gt;&lt;author&gt;Clarke, P. M.&lt;/author&gt;&lt;author&gt;Gerdtham, U. G.&lt;/author&gt;&lt;author&gt;Johannesson, M.&lt;/author&gt;&lt;author&gt;Bingefors, K.&lt;/author&gt;&lt;author&gt;Smith, L.&lt;/author&gt;&lt;/authors&gt;&lt;/contributors&gt;&lt;auth-address&gt;Health Economics Research Centre, University of Oxford, Oxford, UK. philip.clarke@dphpc.ox.ac.uk&lt;/auth-address&gt;&lt;titles&gt;&lt;title&gt;On the measurement of relative and absolute income-related health inequality&lt;/title&gt;&lt;secondary-title&gt;Soc Sci Med&lt;/secondary-title&gt;&lt;/titles&gt;&lt;periodical&gt;&lt;full-title&gt;Soc Sci Med&lt;/full-title&gt;&lt;abbr-1&gt;Social science &amp;amp; medicine (1982)&lt;/abbr-1&gt;&lt;/periodical&gt;&lt;pages&gt;1923-8&lt;/pages&gt;&lt;volume&gt;55&lt;/volume&gt;&lt;number&gt;11&lt;/number&gt;&lt;edition&gt;2002/10/31&lt;/edition&gt;&lt;keywords&gt;&lt;keyword&gt;Australia/epidemiology&lt;/keyword&gt;&lt;keyword&gt;Cross-Cultural Comparison&lt;/keyword&gt;&lt;keyword&gt;*Health Status Indicators&lt;/keyword&gt;&lt;keyword&gt;Humans&lt;/keyword&gt;&lt;keyword&gt;Income/*classification&lt;/keyword&gt;&lt;keyword&gt;Morbidity&lt;/keyword&gt;&lt;keyword&gt;*Socioeconomic Factors&lt;/keyword&gt;&lt;keyword&gt;Sweden/epidemiology&lt;/keyword&gt;&lt;/keywords&gt;&lt;dates&gt;&lt;year&gt;2002&lt;/year&gt;&lt;pub-dates&gt;&lt;date&gt;Dec&lt;/date&gt;&lt;/pub-dates&gt;&lt;/dates&gt;&lt;isbn&gt;0277-9536 (Print)&amp;#xD;0277-9536 (Linking)&lt;/isbn&gt;&lt;accession-num&gt;12406461&lt;/accession-num&gt;&lt;urls&gt;&lt;related-urls&gt;&lt;url&gt;https://www.ncbi.nlm.nih.gov/pubmed/12406461&lt;/url&gt;&lt;/related-urls&gt;&lt;/urls&gt;&lt;electronic-resource-num&gt;10.1016/s0277-9536(01)00321-5&lt;/electronic-resource-num&gt;&lt;/record&gt;&lt;/Cite&gt;&lt;/EndNote&gt;</w:instrText>
      </w:r>
      <w:r>
        <w:fldChar w:fldCharType="separate"/>
      </w:r>
      <w:r>
        <w:rPr>
          <w:vertAlign w:val="superscript"/>
        </w:rPr>
        <w:t>4</w:t>
      </w:r>
      <w:r>
        <w:fldChar w:fldCharType="end"/>
      </w:r>
      <w:r>
        <w:t>. We avoided these limitations by using Erreygers' corrected concentration index</w:t>
      </w:r>
      <w:r>
        <w:fldChar w:fldCharType="begin"/>
      </w:r>
      <w:r>
        <w:instrText>ADDIN EN.CITE &lt;EndNote&gt;&lt;Cite&gt;&lt;Author&gt;Erreygers&lt;/Author&gt;&lt;Year&gt;2009&lt;/Year&gt;&lt;RecNum&gt;44980&lt;/RecNum&gt;&lt;DisplayText&gt;&lt;style face="superscript"&gt;5&lt;/style&gt;&lt;/DisplayText&gt;&lt;record&gt;&lt;rec-number&gt;44980&lt;/rec-number&gt;&lt;foreign-keys&gt;&lt;key app="EN" db-id="rzzt2pte80zfthe5d9eppxxstd09zds2zt95" timestamp="1443687209"&gt;44980&lt;/key&gt;&lt;/foreign-keys&gt;&lt;ref-type name="Journal Article"&gt;17&lt;/ref-type&gt;&lt;contributors&gt;&lt;authors&gt;&lt;author&gt;Erreygers, G.&lt;/author&gt;&lt;/authors&gt;&lt;/contributors&gt;&lt;auth-address&gt;Department of Economics, University of Antwerp, City Campus, Prinsstraat 13, 2000 Antwerpen, Belgium. guido.erreygers@ua.ac.be&lt;/auth-address&gt;&lt;titles&gt;&lt;title&gt;Correcting the concentration index&lt;/title&gt;&lt;secondary-title&gt;J Health Econ&lt;/secondary-title&gt;&lt;/titles&gt;&lt;periodical&gt;&lt;full-title&gt;J Health Econ&lt;/full-title&gt;&lt;abbr-1&gt;Journal of health economics&lt;/abbr-1&gt;&lt;/periodical&gt;&lt;pages&gt;504-15&lt;/pages&gt;&lt;volume&gt;28&lt;/volume&gt;&lt;number&gt;2&lt;/number&gt;&lt;keywords&gt;&lt;keyword&gt;*Data Interpretation, Statistical&lt;/keyword&gt;&lt;keyword&gt;*Health Status Disparities&lt;/keyword&gt;&lt;keyword&gt;Humans&lt;/keyword&gt;&lt;keyword&gt;Models, Statistical&lt;/keyword&gt;&lt;keyword&gt;*Social Class&lt;/keyword&gt;&lt;/keywords&gt;&lt;dates&gt;&lt;year&gt;2009&lt;/year&gt;&lt;pub-dates&gt;&lt;date&gt;Mar&lt;/date&gt;&lt;/pub-dates&gt;&lt;/dates&gt;&lt;isbn&gt;0167-6296 (Print)&amp;#xD;0167-6296 (Linking)&lt;/isbn&gt;&lt;accession-num&gt;18367273&lt;/accession-num&gt;&lt;urls&gt;&lt;related-urls&gt;&lt;url&gt;http://www.ncbi.nlm.nih.gov/pubmed/18367273&lt;/url&gt;&lt;url&gt;http://www.sciencedirect.com/science/article/pii/S0167629608000076&lt;/url&gt;&lt;url&gt;http://ac.els-cdn.com/S0167629608000076/1-s2.0-S0167629608000076-main.pdf?_tid=021e2aae-6817-11e5-81c0-00000aacb360&amp;amp;acdnat=1443688553_4d447f8105789f3e646cb7c8e30aafe9&lt;/url&gt;&lt;/related-urls&gt;&lt;/urls&gt;&lt;electronic-resource-num&gt;10.1016/j.jhealeco.2008.02.003&lt;/electronic-resource-num&gt;&lt;/record&gt;&lt;/Cite&gt;&lt;/EndNote&gt;</w:instrText>
      </w:r>
      <w:r>
        <w:fldChar w:fldCharType="separate"/>
      </w:r>
      <w:r>
        <w:rPr>
          <w:vertAlign w:val="superscript"/>
        </w:rPr>
        <w:t>5</w:t>
      </w:r>
      <w:r>
        <w:fldChar w:fldCharType="end"/>
      </w:r>
      <w:r>
        <w:t>:</w:t>
      </w:r>
    </w:p>
    <w:p w:rsidR="008F0E9A" w:rsidRDefault="00937627">
      <w:pPr>
        <w:spacing w:after="240"/>
        <w:jc w:val="both"/>
      </w:pPr>
      <m:oMathPara>
        <m:oMath>
          <m:r>
            <w:rPr>
              <w:rFonts w:ascii="Cambria Math" w:hAnsi="Cambria Math"/>
            </w:rPr>
            <m:t>Erreyger</m:t>
          </m:r>
          <m:sSup>
            <m:sSupPr>
              <m:ctrlPr>
                <w:rPr>
                  <w:rFonts w:ascii="Cambria Math" w:hAnsi="Cambria Math"/>
                </w:rPr>
              </m:ctrlPr>
            </m:sSupPr>
            <m:e>
              <m:r>
                <w:rPr>
                  <w:rFonts w:ascii="Cambria Math" w:hAnsi="Cambria Math"/>
                </w:rPr>
                <m:t>s</m:t>
              </m:r>
            </m:e>
            <m:sup>
              <m:r>
                <w:rPr>
                  <w:rFonts w:ascii="Cambria Math" w:hAnsi="Cambria Math"/>
                </w:rPr>
                <m:t>'</m:t>
              </m:r>
            </m:sup>
          </m:sSup>
          <m:r>
            <w:rPr>
              <w:rFonts w:ascii="Cambria Math" w:hAnsi="Cambria Math"/>
            </w:rPr>
            <m:t>correctedconcentrationindex=</m:t>
          </m:r>
          <m:f>
            <m:fPr>
              <m:ctrlPr>
                <w:rPr>
                  <w:rFonts w:ascii="Cambria Math" w:hAnsi="Cambria Math"/>
                </w:rPr>
              </m:ctrlPr>
            </m:fPr>
            <m:num>
              <m:r>
                <w:rPr>
                  <w:rFonts w:ascii="Cambria Math" w:hAnsi="Cambria Math"/>
                </w:rPr>
                <m:t>4×</m:t>
              </m:r>
              <m:bar>
                <m:barPr>
                  <m:pos m:val="top"/>
                  <m:ctrlPr>
                    <w:rPr>
                      <w:rFonts w:ascii="Cambria Math" w:hAnsi="Cambria Math"/>
                    </w:rPr>
                  </m:ctrlPr>
                </m:barPr>
                <m:e>
                  <m:r>
                    <w:rPr>
                      <w:rFonts w:ascii="Cambria Math" w:hAnsi="Cambria Math"/>
                    </w:rPr>
                    <m:t>y</m:t>
                  </m:r>
                </m:e>
              </m:bar>
            </m:num>
            <m:den>
              <m:r>
                <w:rPr>
                  <w:rFonts w:ascii="Cambria Math" w:hAnsi="Cambria Math"/>
                </w:rPr>
                <m:t>max</m:t>
              </m:r>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i</m:t>
                      </m:r>
                    </m:sub>
                  </m:sSub>
                </m:e>
              </m:d>
              <m:r>
                <w:rPr>
                  <w:rFonts w:ascii="Cambria Math" w:hAnsi="Cambria Math"/>
                </w:rPr>
                <m:t>-min⁡</m:t>
              </m:r>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i</m:t>
                      </m:r>
                    </m:sub>
                  </m:sSub>
                </m:e>
              </m:d>
            </m:den>
          </m:f>
          <m:r>
            <w:rPr>
              <w:rFonts w:ascii="Cambria Math" w:hAnsi="Cambria Math"/>
            </w:rPr>
            <m:t>×concentrationinde</m:t>
          </m:r>
        </m:oMath>
      </m:oMathPara>
    </w:p>
    <w:p w:rsidR="008F0E9A" w:rsidRDefault="008F0E9A">
      <w:pPr>
        <w:jc w:val="both"/>
      </w:pPr>
    </w:p>
    <w:p w:rsidR="008F0E9A" w:rsidRDefault="008F0E9A"/>
    <w:p w:rsidR="008F0E9A" w:rsidRDefault="00937627">
      <w:pPr>
        <w:pStyle w:val="EndNoteBibliography"/>
        <w:spacing w:after="0"/>
      </w:pPr>
      <w:r>
        <w:lastRenderedPageBreak/>
        <w:fldChar w:fldCharType="begin"/>
      </w:r>
      <w:r>
        <w:instrText>ADDIN EN.REFLIST</w:instrText>
      </w:r>
      <w:r>
        <w:fldChar w:fldCharType="separate"/>
      </w:r>
      <w:r>
        <w:t>1.</w:t>
      </w:r>
      <w:r>
        <w:tab/>
        <w:t>World Bank. Analyzing Health Equity Using Household Survey Data: A Guide to Techniques and Their Implementation: World Bank, 2007.</w:t>
      </w:r>
    </w:p>
    <w:p w:rsidR="008F0E9A" w:rsidRDefault="00937627">
      <w:pPr>
        <w:pStyle w:val="EndNoteBibliography"/>
        <w:spacing w:after="0"/>
      </w:pPr>
      <w:r>
        <w:t>2.</w:t>
      </w:r>
      <w:r>
        <w:tab/>
        <w:t xml:space="preserve">Kakwani N, Wagstaff A, vanDoorslaer E. Socioeconomic inequalities in health: Measurement, computation, and statistical inference. </w:t>
      </w:r>
      <w:r>
        <w:rPr>
          <w:i/>
        </w:rPr>
        <w:t>J Econometrics</w:t>
      </w:r>
      <w:r>
        <w:t xml:space="preserve"> 1997; </w:t>
      </w:r>
      <w:r>
        <w:rPr>
          <w:b/>
        </w:rPr>
        <w:t>77</w:t>
      </w:r>
      <w:r>
        <w:t>(1): 87-103.</w:t>
      </w:r>
    </w:p>
    <w:p w:rsidR="008F0E9A" w:rsidRDefault="00937627">
      <w:pPr>
        <w:pStyle w:val="EndNoteBibliography"/>
        <w:spacing w:after="0"/>
      </w:pPr>
      <w:r>
        <w:t>3.</w:t>
      </w:r>
      <w:r>
        <w:tab/>
        <w:t xml:space="preserve">Wagstaff A. The bounds of the concentration index when the variable of interest is binary, with an application to immunization inequality. </w:t>
      </w:r>
      <w:r>
        <w:rPr>
          <w:i/>
        </w:rPr>
        <w:t>Health Econ</w:t>
      </w:r>
      <w:r>
        <w:t xml:space="preserve"> 2005; </w:t>
      </w:r>
      <w:r>
        <w:rPr>
          <w:b/>
        </w:rPr>
        <w:t>14</w:t>
      </w:r>
      <w:r>
        <w:t>(4): 429-32.</w:t>
      </w:r>
    </w:p>
    <w:p w:rsidR="008F0E9A" w:rsidRDefault="00937627">
      <w:pPr>
        <w:pStyle w:val="EndNoteBibliography"/>
        <w:spacing w:after="0"/>
      </w:pPr>
      <w:r>
        <w:t>4.</w:t>
      </w:r>
      <w:r>
        <w:tab/>
        <w:t xml:space="preserve">Clarke PM, Gerdtham UG, Johannesson M, Bingefors K, Smith L. On the measurement of relative and absolute income-related health inequality. </w:t>
      </w:r>
      <w:r>
        <w:rPr>
          <w:i/>
        </w:rPr>
        <w:t>Social science &amp; medicine (1982)</w:t>
      </w:r>
      <w:r>
        <w:t xml:space="preserve"> 2002; </w:t>
      </w:r>
      <w:r>
        <w:rPr>
          <w:b/>
        </w:rPr>
        <w:t>55</w:t>
      </w:r>
      <w:r>
        <w:t>(11): 1923-8.</w:t>
      </w:r>
    </w:p>
    <w:p w:rsidR="008F0E9A" w:rsidRDefault="00937627">
      <w:pPr>
        <w:pStyle w:val="EndNoteBibliography"/>
      </w:pPr>
      <w:r>
        <w:t>5.</w:t>
      </w:r>
      <w:r>
        <w:tab/>
        <w:t xml:space="preserve">Erreygers G. Correcting the concentration index. </w:t>
      </w:r>
      <w:r>
        <w:rPr>
          <w:i/>
        </w:rPr>
        <w:t>Journal of health economics</w:t>
      </w:r>
      <w:r>
        <w:t xml:space="preserve"> 2009; </w:t>
      </w:r>
      <w:r>
        <w:rPr>
          <w:b/>
        </w:rPr>
        <w:t>28</w:t>
      </w:r>
      <w:r>
        <w:t>(2): 504-15.</w:t>
      </w:r>
    </w:p>
    <w:p w:rsidR="008F0E9A" w:rsidRDefault="00937627">
      <w:r>
        <w:fldChar w:fldCharType="end"/>
      </w:r>
    </w:p>
    <w:p w:rsidR="008F0E9A" w:rsidRDefault="00937627">
      <w:pPr>
        <w:spacing w:after="0" w:line="240" w:lineRule="auto"/>
      </w:pPr>
      <w:r>
        <w:br w:type="page"/>
      </w:r>
    </w:p>
    <w:p w:rsidR="008F0E9A" w:rsidRDefault="00937627">
      <w:pPr>
        <w:spacing w:after="0" w:line="240" w:lineRule="auto"/>
        <w:rPr>
          <w:b/>
          <w:lang w:val="en-US"/>
        </w:rPr>
      </w:pPr>
      <w:r>
        <w:rPr>
          <w:b/>
        </w:rPr>
        <w:lastRenderedPageBreak/>
        <w:t xml:space="preserve">Measures </w:t>
      </w:r>
      <w:r>
        <w:rPr>
          <w:b/>
          <w:lang w:val="en-US"/>
        </w:rPr>
        <w:t>of wealth status</w:t>
      </w:r>
    </w:p>
    <w:p w:rsidR="008F0E9A" w:rsidRDefault="00937627">
      <w:pPr>
        <w:spacing w:after="0" w:line="240" w:lineRule="auto"/>
      </w:pPr>
      <w:r>
        <w:t xml:space="preserve">The wealth measure in ESLA and HRS is a combined measure. The questionnaire contains hundreds of questions regarding respondents’ economic situation (earnings, benefits, pensions, assets, debts, </w:t>
      </w:r>
      <w:proofErr w:type="spellStart"/>
      <w:r>
        <w:t>etc</w:t>
      </w:r>
      <w:proofErr w:type="spellEnd"/>
      <w:r>
        <w:t>) and they are spread over several different modules: Work and Pensions (WP), Income and Assets (IA) and Housing (HO).</w:t>
      </w:r>
    </w:p>
    <w:p w:rsidR="008F0E9A" w:rsidRDefault="00937627">
      <w:pPr>
        <w:spacing w:after="0" w:line="240" w:lineRule="auto"/>
      </w:pPr>
      <w:r>
        <w:fldChar w:fldCharType="begin"/>
      </w:r>
      <w:r>
        <w:instrText>ADDIN EN.CITE &lt;EndNote&gt;&lt;Cite&gt;&lt;Author&gt;Oldfield&lt;/Author&gt;&lt;Year&gt;2019&lt;/Year&gt;&lt;RecNum&gt;73437&lt;/RecNum&gt;&lt;DisplayText&gt;&lt;style face="superscript"&gt;1&lt;/style&gt;&lt;/DisplayText&gt;&lt;record&gt;&lt;rec-number&gt;73437&lt;/rec-number&gt;&lt;foreign-keys&gt;&lt;key app="EN" db-id="rzzt2pte80zfthe5d9eppxxstd09zds2zt95" timestamp="1620204115"&gt;73437&lt;/key&gt;&lt;/foreign-keys&gt;&lt;ref-type name="Web Page"&gt;12&lt;/ref-type&gt;&lt;contributors&gt;&lt;authors&gt;&lt;author&gt;Oldfield, Zoë&lt;/author&gt;&lt;/authors&gt;&lt;/contributors&gt;&lt;titles&gt;&lt;title&gt;Financial derived variables ELSA waves 1-8, in user guides&lt;/title&gt;&lt;secondary-title&gt;London: Institute for Fiscal Studies&lt;/secondary-title&gt;&lt;/titles&gt;&lt;periodical&gt;&lt;full-title&gt;London: Institute for Fiscal Studies&lt;/full-title&gt;&lt;/periodical&gt;&lt;dates&gt;&lt;year&gt;2019&lt;/year&gt;&lt;/dates&gt;&lt;urls&gt;&lt;related-urls&gt;&lt;url&gt;http://doc.ukdataservice.ac.uk/doc/5050/mrdoc/pdf/5050_waves_1-8_financial_derived_variables_user_guide.pdf&lt;/url&gt;&lt;/related-urls&gt;&lt;/urls&gt;&lt;/record&gt;&lt;/Cite&gt;&lt;/EndNote&gt;</w:instrText>
      </w:r>
      <w:r>
        <w:fldChar w:fldCharType="end"/>
      </w:r>
    </w:p>
    <w:p w:rsidR="008F0E9A" w:rsidRDefault="00937627">
      <w:pPr>
        <w:spacing w:after="0" w:line="240" w:lineRule="auto"/>
      </w:pPr>
      <w:r>
        <w:t>The wealth measure in SHARE is level of income.</w:t>
      </w:r>
    </w:p>
    <w:p w:rsidR="008F0E9A" w:rsidRDefault="008F0E9A">
      <w:pPr>
        <w:spacing w:after="0" w:line="240" w:lineRule="auto"/>
      </w:pPr>
    </w:p>
    <w:p w:rsidR="008F0E9A" w:rsidRDefault="008F0E9A">
      <w:pPr>
        <w:spacing w:after="0" w:line="240" w:lineRule="auto"/>
      </w:pPr>
    </w:p>
    <w:p w:rsidR="008F0E9A" w:rsidRDefault="008F0E9A">
      <w:pPr>
        <w:spacing w:after="0" w:line="240" w:lineRule="auto"/>
      </w:pPr>
    </w:p>
    <w:p w:rsidR="008F0E9A" w:rsidRDefault="008F0E9A">
      <w:pPr>
        <w:spacing w:after="0" w:line="240" w:lineRule="auto"/>
        <w:sectPr w:rsidR="008F0E9A">
          <w:footerReference w:type="default" r:id="rId7"/>
          <w:pgSz w:w="11906" w:h="16838"/>
          <w:pgMar w:top="1440" w:right="1800" w:bottom="1440" w:left="1800" w:header="0" w:footer="0" w:gutter="0"/>
          <w:cols w:space="720"/>
          <w:formProt w:val="0"/>
          <w:docGrid w:linePitch="360" w:charSpace="16384"/>
        </w:sectPr>
      </w:pPr>
    </w:p>
    <w:p w:rsidR="008F0E9A" w:rsidRDefault="00937627">
      <w:pPr>
        <w:spacing w:after="0" w:line="240" w:lineRule="auto"/>
        <w:rPr>
          <w:b/>
        </w:rPr>
      </w:pPr>
      <w:r>
        <w:rPr>
          <w:b/>
        </w:rPr>
        <w:lastRenderedPageBreak/>
        <w:t xml:space="preserve">SUPPLEMENTARY TABLE 1. Testing the influence of pandemic on the association between national level factors and outcomes of interest. </w:t>
      </w:r>
      <w:r>
        <w:rPr>
          <w:b/>
          <w:sz w:val="18"/>
          <w:lang w:val="en-US"/>
        </w:rPr>
        <w:t>To test the effect of the COVID-19 pandemic on the association between national-level factors and outcomes of interest, we fitted linear regression models, using outcomes (shown in columns) as the dependent variable. Predictor variables were the relevant national-level factor (shown in rows), COVID-19 pandemic (yes = data collected in the year 2020; no = collected earlier), and the interaction term, national-level factor × COVID-19 pandemic. The table shows the effects of the interaction term in each case.</w:t>
      </w:r>
    </w:p>
    <w:p w:rsidR="008F0E9A" w:rsidRDefault="008F0E9A">
      <w:pPr>
        <w:spacing w:after="0" w:line="240" w:lineRule="auto"/>
      </w:pPr>
    </w:p>
    <w:tbl>
      <w:tblPr>
        <w:tblW w:w="5000" w:type="pct"/>
        <w:tblCellMar>
          <w:top w:w="15" w:type="dxa"/>
          <w:left w:w="15" w:type="dxa"/>
          <w:right w:w="15" w:type="dxa"/>
        </w:tblCellMar>
        <w:tblLook w:val="04A0" w:firstRow="1" w:lastRow="0" w:firstColumn="1" w:lastColumn="0" w:noHBand="0" w:noVBand="1"/>
      </w:tblPr>
      <w:tblGrid>
        <w:gridCol w:w="4203"/>
        <w:gridCol w:w="2102"/>
        <w:gridCol w:w="1663"/>
        <w:gridCol w:w="2118"/>
        <w:gridCol w:w="902"/>
        <w:gridCol w:w="2070"/>
        <w:gridCol w:w="900"/>
      </w:tblGrid>
      <w:tr w:rsidR="008F0E9A">
        <w:trPr>
          <w:trHeight w:val="523"/>
        </w:trPr>
        <w:tc>
          <w:tcPr>
            <w:tcW w:w="4202" w:type="dxa"/>
            <w:tcBorders>
              <w:top w:val="single" w:sz="12" w:space="0" w:color="000000"/>
            </w:tcBorders>
            <w:shd w:val="clear" w:color="auto" w:fill="auto"/>
            <w:vAlign w:val="center"/>
          </w:tcPr>
          <w:p w:rsidR="008F0E9A" w:rsidRDefault="00937627">
            <w:pPr>
              <w:spacing w:after="0" w:line="240" w:lineRule="auto"/>
              <w:rPr>
                <w:rFonts w:cs="Calibri"/>
                <w:color w:val="000000"/>
                <w:sz w:val="18"/>
              </w:rPr>
            </w:pPr>
            <w:r>
              <w:rPr>
                <w:rFonts w:cs="Calibri"/>
                <w:color w:val="000000"/>
                <w:sz w:val="18"/>
              </w:rPr>
              <w:t> </w:t>
            </w:r>
          </w:p>
        </w:tc>
        <w:tc>
          <w:tcPr>
            <w:tcW w:w="3765" w:type="dxa"/>
            <w:gridSpan w:val="2"/>
            <w:tcBorders>
              <w:top w:val="single" w:sz="12" w:space="0" w:color="000000"/>
              <w:bottom w:val="single" w:sz="4" w:space="0" w:color="000000"/>
            </w:tcBorders>
            <w:shd w:val="clear" w:color="auto" w:fill="auto"/>
            <w:vAlign w:val="center"/>
          </w:tcPr>
          <w:p w:rsidR="008F0E9A" w:rsidRDefault="00937627">
            <w:pPr>
              <w:jc w:val="center"/>
              <w:rPr>
                <w:rFonts w:cs="Calibri"/>
                <w:b/>
                <w:color w:val="000000"/>
                <w:sz w:val="18"/>
              </w:rPr>
            </w:pPr>
            <w:r>
              <w:rPr>
                <w:rFonts w:cs="Calibri"/>
                <w:b/>
                <w:color w:val="000000"/>
                <w:sz w:val="18"/>
              </w:rPr>
              <w:t>Percentage of people receiving assistance with ADLs</w:t>
            </w:r>
          </w:p>
        </w:tc>
        <w:tc>
          <w:tcPr>
            <w:tcW w:w="3020" w:type="dxa"/>
            <w:gridSpan w:val="2"/>
            <w:tcBorders>
              <w:top w:val="single" w:sz="12" w:space="0" w:color="000000"/>
              <w:bottom w:val="single" w:sz="4" w:space="0" w:color="000000"/>
            </w:tcBorders>
            <w:shd w:val="clear" w:color="auto" w:fill="auto"/>
            <w:vAlign w:val="center"/>
          </w:tcPr>
          <w:p w:rsidR="008F0E9A" w:rsidRDefault="00937627">
            <w:pPr>
              <w:jc w:val="center"/>
              <w:rPr>
                <w:rFonts w:cs="Calibri"/>
                <w:b/>
                <w:color w:val="000000"/>
                <w:sz w:val="18"/>
              </w:rPr>
            </w:pPr>
            <w:r>
              <w:rPr>
                <w:rFonts w:cs="Calibri"/>
                <w:b/>
                <w:color w:val="000000"/>
                <w:sz w:val="18"/>
              </w:rPr>
              <w:t xml:space="preserve">Wealth equality/inequality in receiving assistance with ADLs </w:t>
            </w:r>
          </w:p>
        </w:tc>
        <w:tc>
          <w:tcPr>
            <w:tcW w:w="2970" w:type="dxa"/>
            <w:gridSpan w:val="2"/>
            <w:tcBorders>
              <w:top w:val="single" w:sz="12" w:space="0" w:color="000000"/>
              <w:bottom w:val="single" w:sz="4" w:space="0" w:color="000000"/>
            </w:tcBorders>
            <w:shd w:val="clear" w:color="auto" w:fill="auto"/>
            <w:vAlign w:val="center"/>
          </w:tcPr>
          <w:p w:rsidR="008F0E9A" w:rsidRDefault="00937627">
            <w:pPr>
              <w:jc w:val="center"/>
              <w:rPr>
                <w:rFonts w:cs="Calibri"/>
                <w:b/>
                <w:color w:val="000000"/>
                <w:sz w:val="18"/>
              </w:rPr>
            </w:pPr>
            <w:r>
              <w:rPr>
                <w:rFonts w:cs="Calibri"/>
                <w:b/>
                <w:color w:val="000000"/>
                <w:sz w:val="18"/>
              </w:rPr>
              <w:t xml:space="preserve">Needs-based equity/inequity in receiving assistance with ADLs </w:t>
            </w:r>
          </w:p>
        </w:tc>
      </w:tr>
      <w:tr w:rsidR="008F0E9A">
        <w:trPr>
          <w:trHeight w:val="292"/>
        </w:trPr>
        <w:tc>
          <w:tcPr>
            <w:tcW w:w="4202" w:type="dxa"/>
            <w:tcBorders>
              <w:bottom w:val="single" w:sz="4" w:space="0" w:color="000000"/>
            </w:tcBorders>
            <w:shd w:val="clear" w:color="auto" w:fill="auto"/>
            <w:vAlign w:val="center"/>
          </w:tcPr>
          <w:p w:rsidR="008F0E9A" w:rsidRDefault="00937627">
            <w:pPr>
              <w:rPr>
                <w:rFonts w:cs="Calibri"/>
                <w:color w:val="000000"/>
                <w:sz w:val="18"/>
              </w:rPr>
            </w:pPr>
            <w:r>
              <w:rPr>
                <w:rFonts w:cs="Calibri"/>
                <w:color w:val="000000"/>
                <w:sz w:val="18"/>
              </w:rPr>
              <w:t> </w:t>
            </w:r>
          </w:p>
        </w:tc>
        <w:tc>
          <w:tcPr>
            <w:tcW w:w="2102" w:type="dxa"/>
            <w:tcBorders>
              <w:bottom w:val="single" w:sz="4" w:space="0" w:color="000000"/>
            </w:tcBorders>
            <w:shd w:val="clear" w:color="auto" w:fill="auto"/>
            <w:vAlign w:val="center"/>
          </w:tcPr>
          <w:p w:rsidR="008F0E9A" w:rsidRDefault="00937627">
            <w:pPr>
              <w:jc w:val="center"/>
              <w:rPr>
                <w:rFonts w:cs="Calibri"/>
                <w:b/>
                <w:bCs/>
                <w:color w:val="000000"/>
                <w:sz w:val="18"/>
              </w:rPr>
            </w:pPr>
            <w:r>
              <w:rPr>
                <w:rFonts w:cs="Calibri"/>
                <w:b/>
                <w:bCs/>
                <w:color w:val="000000"/>
                <w:sz w:val="18"/>
              </w:rPr>
              <w:t>Coefficient (95%CI)</w:t>
            </w:r>
          </w:p>
        </w:tc>
        <w:tc>
          <w:tcPr>
            <w:tcW w:w="1663" w:type="dxa"/>
            <w:tcBorders>
              <w:bottom w:val="single" w:sz="4" w:space="0" w:color="000000"/>
            </w:tcBorders>
            <w:shd w:val="clear" w:color="auto" w:fill="auto"/>
            <w:vAlign w:val="center"/>
          </w:tcPr>
          <w:p w:rsidR="008F0E9A" w:rsidRDefault="00937627">
            <w:pPr>
              <w:jc w:val="center"/>
              <w:rPr>
                <w:rFonts w:cs="Calibri"/>
                <w:b/>
                <w:bCs/>
                <w:color w:val="000000"/>
                <w:sz w:val="18"/>
              </w:rPr>
            </w:pPr>
            <w:r>
              <w:rPr>
                <w:rFonts w:cs="Calibri"/>
                <w:b/>
                <w:bCs/>
                <w:color w:val="000000"/>
                <w:sz w:val="18"/>
              </w:rPr>
              <w:t>P</w:t>
            </w:r>
          </w:p>
        </w:tc>
        <w:tc>
          <w:tcPr>
            <w:tcW w:w="2118" w:type="dxa"/>
            <w:tcBorders>
              <w:bottom w:val="single" w:sz="4" w:space="0" w:color="000000"/>
            </w:tcBorders>
            <w:shd w:val="clear" w:color="auto" w:fill="auto"/>
            <w:vAlign w:val="center"/>
          </w:tcPr>
          <w:p w:rsidR="008F0E9A" w:rsidRDefault="00937627">
            <w:pPr>
              <w:jc w:val="center"/>
              <w:rPr>
                <w:rFonts w:cs="Calibri"/>
                <w:b/>
                <w:bCs/>
                <w:color w:val="000000"/>
                <w:sz w:val="18"/>
              </w:rPr>
            </w:pPr>
            <w:r>
              <w:rPr>
                <w:rFonts w:cs="Calibri"/>
                <w:b/>
                <w:bCs/>
                <w:color w:val="000000"/>
                <w:sz w:val="18"/>
              </w:rPr>
              <w:t>Coefficient (95%CI)</w:t>
            </w:r>
          </w:p>
        </w:tc>
        <w:tc>
          <w:tcPr>
            <w:tcW w:w="902" w:type="dxa"/>
            <w:tcBorders>
              <w:bottom w:val="single" w:sz="4" w:space="0" w:color="000000"/>
            </w:tcBorders>
            <w:shd w:val="clear" w:color="auto" w:fill="auto"/>
            <w:vAlign w:val="center"/>
          </w:tcPr>
          <w:p w:rsidR="008F0E9A" w:rsidRDefault="00937627">
            <w:pPr>
              <w:jc w:val="center"/>
              <w:rPr>
                <w:rFonts w:cs="Calibri"/>
                <w:b/>
                <w:bCs/>
                <w:color w:val="000000"/>
                <w:sz w:val="18"/>
              </w:rPr>
            </w:pPr>
            <w:r>
              <w:rPr>
                <w:rFonts w:cs="Calibri"/>
                <w:b/>
                <w:bCs/>
                <w:color w:val="000000"/>
                <w:sz w:val="18"/>
              </w:rPr>
              <w:t>P</w:t>
            </w:r>
          </w:p>
        </w:tc>
        <w:tc>
          <w:tcPr>
            <w:tcW w:w="2070" w:type="dxa"/>
            <w:tcBorders>
              <w:bottom w:val="single" w:sz="4" w:space="0" w:color="000000"/>
            </w:tcBorders>
            <w:shd w:val="clear" w:color="auto" w:fill="auto"/>
            <w:vAlign w:val="center"/>
          </w:tcPr>
          <w:p w:rsidR="008F0E9A" w:rsidRDefault="00937627">
            <w:pPr>
              <w:jc w:val="center"/>
              <w:rPr>
                <w:rFonts w:cs="Calibri"/>
                <w:b/>
                <w:bCs/>
                <w:color w:val="000000"/>
                <w:sz w:val="18"/>
              </w:rPr>
            </w:pPr>
            <w:r>
              <w:rPr>
                <w:rFonts w:cs="Calibri"/>
                <w:b/>
                <w:bCs/>
                <w:color w:val="000000"/>
                <w:sz w:val="18"/>
              </w:rPr>
              <w:t>Coefficient (95%CI)</w:t>
            </w:r>
          </w:p>
        </w:tc>
        <w:tc>
          <w:tcPr>
            <w:tcW w:w="900" w:type="dxa"/>
            <w:tcBorders>
              <w:bottom w:val="single" w:sz="4" w:space="0" w:color="000000"/>
            </w:tcBorders>
            <w:shd w:val="clear" w:color="auto" w:fill="auto"/>
            <w:vAlign w:val="center"/>
          </w:tcPr>
          <w:p w:rsidR="008F0E9A" w:rsidRDefault="00937627">
            <w:pPr>
              <w:jc w:val="center"/>
              <w:rPr>
                <w:rFonts w:cs="Calibri"/>
                <w:b/>
                <w:bCs/>
                <w:color w:val="000000"/>
                <w:sz w:val="18"/>
              </w:rPr>
            </w:pPr>
            <w:r>
              <w:rPr>
                <w:rFonts w:cs="Calibri"/>
                <w:b/>
                <w:bCs/>
                <w:color w:val="000000"/>
                <w:sz w:val="18"/>
              </w:rPr>
              <w:t>P</w:t>
            </w:r>
          </w:p>
        </w:tc>
      </w:tr>
      <w:tr w:rsidR="008F0E9A">
        <w:trPr>
          <w:trHeight w:val="583"/>
        </w:trPr>
        <w:tc>
          <w:tcPr>
            <w:tcW w:w="4202" w:type="dxa"/>
            <w:shd w:val="clear" w:color="auto" w:fill="auto"/>
            <w:vAlign w:val="center"/>
          </w:tcPr>
          <w:p w:rsidR="008F0E9A" w:rsidRDefault="00937627">
            <w:pPr>
              <w:rPr>
                <w:rFonts w:cs="Calibri"/>
                <w:b/>
                <w:color w:val="000000"/>
                <w:sz w:val="18"/>
              </w:rPr>
            </w:pPr>
            <w:r>
              <w:rPr>
                <w:rFonts w:cs="Calibri"/>
                <w:b/>
                <w:color w:val="000000"/>
                <w:sz w:val="18"/>
              </w:rPr>
              <w:t>A: Gross national income per capita (1000 US dollars)</w:t>
            </w:r>
          </w:p>
        </w:tc>
        <w:tc>
          <w:tcPr>
            <w:tcW w:w="2102" w:type="dxa"/>
            <w:shd w:val="clear" w:color="auto" w:fill="auto"/>
            <w:vAlign w:val="center"/>
          </w:tcPr>
          <w:p w:rsidR="008F0E9A" w:rsidRDefault="00937627">
            <w:pPr>
              <w:jc w:val="center"/>
              <w:rPr>
                <w:rFonts w:cs="Calibri"/>
                <w:b/>
                <w:bCs/>
                <w:color w:val="000000"/>
                <w:sz w:val="18"/>
              </w:rPr>
            </w:pPr>
            <w:r>
              <w:rPr>
                <w:rFonts w:cs="Calibri"/>
                <w:b/>
                <w:bCs/>
                <w:color w:val="000000"/>
                <w:sz w:val="18"/>
              </w:rPr>
              <w:t>-0.900(-1.338, -0.462)</w:t>
            </w:r>
          </w:p>
        </w:tc>
        <w:tc>
          <w:tcPr>
            <w:tcW w:w="1663" w:type="dxa"/>
            <w:shd w:val="clear" w:color="auto" w:fill="auto"/>
            <w:vAlign w:val="center"/>
          </w:tcPr>
          <w:p w:rsidR="008F0E9A" w:rsidRDefault="00937627">
            <w:pPr>
              <w:jc w:val="center"/>
              <w:rPr>
                <w:rFonts w:cs="Calibri"/>
                <w:b/>
                <w:bCs/>
                <w:color w:val="000000"/>
                <w:sz w:val="18"/>
              </w:rPr>
            </w:pPr>
            <w:r>
              <w:rPr>
                <w:rFonts w:cs="Calibri"/>
                <w:b/>
                <w:bCs/>
                <w:color w:val="000000"/>
                <w:sz w:val="18"/>
              </w:rPr>
              <w:t>0.0001</w:t>
            </w:r>
          </w:p>
        </w:tc>
        <w:tc>
          <w:tcPr>
            <w:tcW w:w="2118" w:type="dxa"/>
            <w:shd w:val="clear" w:color="auto" w:fill="auto"/>
            <w:vAlign w:val="center"/>
          </w:tcPr>
          <w:p w:rsidR="008F0E9A" w:rsidRDefault="00937627">
            <w:pPr>
              <w:jc w:val="center"/>
              <w:rPr>
                <w:rFonts w:cs="Calibri"/>
                <w:b/>
                <w:bCs/>
                <w:color w:val="000000"/>
                <w:sz w:val="18"/>
              </w:rPr>
            </w:pPr>
            <w:r>
              <w:rPr>
                <w:rFonts w:cs="Calibri"/>
                <w:b/>
                <w:bCs/>
                <w:color w:val="000000"/>
                <w:sz w:val="18"/>
              </w:rPr>
              <w:t>0.003(0.001, 0.005)</w:t>
            </w:r>
          </w:p>
        </w:tc>
        <w:tc>
          <w:tcPr>
            <w:tcW w:w="902" w:type="dxa"/>
            <w:shd w:val="clear" w:color="auto" w:fill="auto"/>
            <w:vAlign w:val="center"/>
          </w:tcPr>
          <w:p w:rsidR="008F0E9A" w:rsidRDefault="00937627">
            <w:pPr>
              <w:jc w:val="center"/>
              <w:rPr>
                <w:rFonts w:cs="Calibri"/>
                <w:b/>
                <w:bCs/>
                <w:color w:val="000000"/>
                <w:sz w:val="18"/>
              </w:rPr>
            </w:pPr>
            <w:r>
              <w:rPr>
                <w:rFonts w:cs="Calibri"/>
                <w:b/>
                <w:bCs/>
                <w:color w:val="000000"/>
                <w:sz w:val="18"/>
              </w:rPr>
              <w:t>0.0008</w:t>
            </w:r>
          </w:p>
        </w:tc>
        <w:tc>
          <w:tcPr>
            <w:tcW w:w="2070" w:type="dxa"/>
            <w:shd w:val="clear" w:color="auto" w:fill="auto"/>
            <w:vAlign w:val="center"/>
          </w:tcPr>
          <w:p w:rsidR="008F0E9A" w:rsidRDefault="00937627">
            <w:pPr>
              <w:jc w:val="center"/>
              <w:rPr>
                <w:rFonts w:cs="Calibri"/>
                <w:b/>
                <w:bCs/>
                <w:color w:val="000000"/>
                <w:sz w:val="18"/>
              </w:rPr>
            </w:pPr>
            <w:r>
              <w:rPr>
                <w:rFonts w:cs="Calibri"/>
                <w:b/>
                <w:bCs/>
                <w:color w:val="000000"/>
                <w:sz w:val="18"/>
              </w:rPr>
              <w:t>-0.004(-0.007, 0.000)</w:t>
            </w:r>
          </w:p>
        </w:tc>
        <w:tc>
          <w:tcPr>
            <w:tcW w:w="900" w:type="dxa"/>
            <w:shd w:val="clear" w:color="auto" w:fill="auto"/>
            <w:vAlign w:val="center"/>
          </w:tcPr>
          <w:p w:rsidR="008F0E9A" w:rsidRDefault="00937627">
            <w:pPr>
              <w:jc w:val="center"/>
              <w:rPr>
                <w:rFonts w:cs="Calibri"/>
                <w:b/>
                <w:bCs/>
                <w:color w:val="000000"/>
                <w:sz w:val="18"/>
              </w:rPr>
            </w:pPr>
            <w:r>
              <w:rPr>
                <w:rFonts w:cs="Calibri"/>
                <w:b/>
                <w:bCs/>
                <w:color w:val="000000"/>
                <w:sz w:val="18"/>
              </w:rPr>
              <w:t>0.0388</w:t>
            </w:r>
          </w:p>
        </w:tc>
      </w:tr>
      <w:tr w:rsidR="008F0E9A">
        <w:trPr>
          <w:trHeight w:val="292"/>
        </w:trPr>
        <w:tc>
          <w:tcPr>
            <w:tcW w:w="4202" w:type="dxa"/>
            <w:shd w:val="clear" w:color="auto" w:fill="auto"/>
            <w:vAlign w:val="center"/>
          </w:tcPr>
          <w:p w:rsidR="008F0E9A" w:rsidRDefault="00937627">
            <w:pPr>
              <w:rPr>
                <w:rFonts w:cs="Calibri"/>
                <w:b/>
                <w:color w:val="000000"/>
                <w:sz w:val="18"/>
              </w:rPr>
            </w:pPr>
            <w:r>
              <w:rPr>
                <w:rFonts w:cs="Calibri"/>
                <w:b/>
                <w:color w:val="000000"/>
                <w:sz w:val="18"/>
              </w:rPr>
              <w:t>B: Active ageing index</w:t>
            </w:r>
          </w:p>
        </w:tc>
        <w:tc>
          <w:tcPr>
            <w:tcW w:w="2102" w:type="dxa"/>
            <w:shd w:val="clear" w:color="auto" w:fill="auto"/>
            <w:vAlign w:val="center"/>
          </w:tcPr>
          <w:p w:rsidR="008F0E9A" w:rsidRDefault="00937627">
            <w:pPr>
              <w:jc w:val="center"/>
              <w:rPr>
                <w:rFonts w:cs="Calibri"/>
                <w:b/>
                <w:bCs/>
                <w:color w:val="000000"/>
                <w:sz w:val="18"/>
              </w:rPr>
            </w:pPr>
            <w:r>
              <w:rPr>
                <w:rFonts w:cs="Calibri"/>
                <w:b/>
                <w:bCs/>
                <w:color w:val="000000"/>
                <w:sz w:val="18"/>
              </w:rPr>
              <w:t>-3.876(-5.698, -2.054)</w:t>
            </w:r>
          </w:p>
        </w:tc>
        <w:tc>
          <w:tcPr>
            <w:tcW w:w="1663" w:type="dxa"/>
            <w:shd w:val="clear" w:color="auto" w:fill="auto"/>
            <w:vAlign w:val="center"/>
          </w:tcPr>
          <w:p w:rsidR="008F0E9A" w:rsidRDefault="00937627">
            <w:pPr>
              <w:jc w:val="center"/>
              <w:rPr>
                <w:rFonts w:cs="Calibri"/>
                <w:b/>
                <w:bCs/>
                <w:color w:val="000000"/>
                <w:sz w:val="18"/>
              </w:rPr>
            </w:pPr>
            <w:r>
              <w:rPr>
                <w:rFonts w:cs="Calibri"/>
                <w:b/>
                <w:bCs/>
                <w:color w:val="000000"/>
                <w:sz w:val="18"/>
              </w:rPr>
              <w:t>0.0001</w:t>
            </w:r>
          </w:p>
        </w:tc>
        <w:tc>
          <w:tcPr>
            <w:tcW w:w="2118" w:type="dxa"/>
            <w:shd w:val="clear" w:color="auto" w:fill="auto"/>
            <w:vAlign w:val="center"/>
          </w:tcPr>
          <w:p w:rsidR="008F0E9A" w:rsidRDefault="00937627">
            <w:pPr>
              <w:jc w:val="center"/>
              <w:rPr>
                <w:rFonts w:cs="Calibri"/>
                <w:b/>
                <w:bCs/>
                <w:color w:val="000000"/>
                <w:sz w:val="18"/>
              </w:rPr>
            </w:pPr>
            <w:r>
              <w:rPr>
                <w:rFonts w:cs="Calibri"/>
                <w:b/>
                <w:bCs/>
                <w:color w:val="000000"/>
                <w:sz w:val="18"/>
              </w:rPr>
              <w:t>0.012(0.005, 0.020)</w:t>
            </w:r>
          </w:p>
        </w:tc>
        <w:tc>
          <w:tcPr>
            <w:tcW w:w="902" w:type="dxa"/>
            <w:shd w:val="clear" w:color="auto" w:fill="auto"/>
            <w:vAlign w:val="center"/>
          </w:tcPr>
          <w:p w:rsidR="008F0E9A" w:rsidRDefault="00937627">
            <w:pPr>
              <w:jc w:val="center"/>
              <w:rPr>
                <w:rFonts w:cs="Calibri"/>
                <w:b/>
                <w:bCs/>
                <w:color w:val="000000"/>
                <w:sz w:val="18"/>
              </w:rPr>
            </w:pPr>
            <w:r>
              <w:rPr>
                <w:rFonts w:cs="Calibri"/>
                <w:b/>
                <w:bCs/>
                <w:color w:val="000000"/>
                <w:sz w:val="18"/>
              </w:rPr>
              <w:t>0.0017</w:t>
            </w:r>
          </w:p>
        </w:tc>
        <w:tc>
          <w:tcPr>
            <w:tcW w:w="2070" w:type="dxa"/>
            <w:shd w:val="clear" w:color="auto" w:fill="auto"/>
            <w:vAlign w:val="center"/>
          </w:tcPr>
          <w:p w:rsidR="008F0E9A" w:rsidRDefault="00937627">
            <w:pPr>
              <w:jc w:val="center"/>
              <w:rPr>
                <w:rFonts w:cs="Calibri"/>
                <w:b/>
                <w:bCs/>
                <w:color w:val="000000"/>
                <w:sz w:val="18"/>
              </w:rPr>
            </w:pPr>
            <w:r>
              <w:rPr>
                <w:rFonts w:cs="Calibri"/>
                <w:b/>
                <w:bCs/>
                <w:color w:val="000000"/>
                <w:sz w:val="18"/>
              </w:rPr>
              <w:t>-0.016(-0.028, -0.003)</w:t>
            </w:r>
          </w:p>
        </w:tc>
        <w:tc>
          <w:tcPr>
            <w:tcW w:w="900" w:type="dxa"/>
            <w:shd w:val="clear" w:color="auto" w:fill="auto"/>
            <w:vAlign w:val="center"/>
          </w:tcPr>
          <w:p w:rsidR="008F0E9A" w:rsidRDefault="00937627">
            <w:pPr>
              <w:jc w:val="center"/>
              <w:rPr>
                <w:rFonts w:cs="Calibri"/>
                <w:b/>
                <w:bCs/>
                <w:color w:val="000000"/>
                <w:sz w:val="18"/>
              </w:rPr>
            </w:pPr>
            <w:r>
              <w:rPr>
                <w:rFonts w:cs="Calibri"/>
                <w:b/>
                <w:bCs/>
                <w:color w:val="000000"/>
                <w:sz w:val="18"/>
              </w:rPr>
              <w:t>0.016</w:t>
            </w:r>
          </w:p>
        </w:tc>
      </w:tr>
      <w:tr w:rsidR="008F0E9A">
        <w:trPr>
          <w:trHeight w:val="292"/>
        </w:trPr>
        <w:tc>
          <w:tcPr>
            <w:tcW w:w="4202" w:type="dxa"/>
            <w:shd w:val="clear" w:color="auto" w:fill="auto"/>
            <w:vAlign w:val="center"/>
          </w:tcPr>
          <w:p w:rsidR="008F0E9A" w:rsidRDefault="00937627">
            <w:pPr>
              <w:rPr>
                <w:rFonts w:cs="Calibri"/>
                <w:b/>
                <w:color w:val="000000"/>
                <w:sz w:val="18"/>
              </w:rPr>
            </w:pPr>
            <w:r>
              <w:rPr>
                <w:rFonts w:cs="Calibri"/>
                <w:b/>
                <w:color w:val="000000"/>
                <w:sz w:val="18"/>
              </w:rPr>
              <w:t>C: Public expenditure on health (% of GDP)</w:t>
            </w:r>
          </w:p>
        </w:tc>
        <w:tc>
          <w:tcPr>
            <w:tcW w:w="2102" w:type="dxa"/>
            <w:shd w:val="clear" w:color="auto" w:fill="auto"/>
            <w:vAlign w:val="center"/>
          </w:tcPr>
          <w:p w:rsidR="008F0E9A" w:rsidRDefault="00937627">
            <w:pPr>
              <w:jc w:val="center"/>
              <w:rPr>
                <w:rFonts w:cs="Calibri"/>
                <w:b/>
                <w:bCs/>
                <w:color w:val="000000"/>
                <w:sz w:val="18"/>
              </w:rPr>
            </w:pPr>
            <w:r>
              <w:rPr>
                <w:rFonts w:cs="Calibri"/>
                <w:b/>
                <w:bCs/>
                <w:color w:val="000000"/>
                <w:sz w:val="18"/>
              </w:rPr>
              <w:t>-5.539(-9.313, -1.766)</w:t>
            </w:r>
          </w:p>
        </w:tc>
        <w:tc>
          <w:tcPr>
            <w:tcW w:w="1663" w:type="dxa"/>
            <w:shd w:val="clear" w:color="auto" w:fill="auto"/>
            <w:vAlign w:val="center"/>
          </w:tcPr>
          <w:p w:rsidR="008F0E9A" w:rsidRDefault="00937627">
            <w:pPr>
              <w:jc w:val="center"/>
              <w:rPr>
                <w:rFonts w:cs="Calibri"/>
                <w:b/>
                <w:bCs/>
                <w:color w:val="000000"/>
                <w:sz w:val="18"/>
              </w:rPr>
            </w:pPr>
            <w:r>
              <w:rPr>
                <w:rFonts w:cs="Calibri"/>
                <w:b/>
                <w:bCs/>
                <w:color w:val="000000"/>
                <w:sz w:val="18"/>
              </w:rPr>
              <w:t>0.0048</w:t>
            </w:r>
          </w:p>
        </w:tc>
        <w:tc>
          <w:tcPr>
            <w:tcW w:w="2118" w:type="dxa"/>
            <w:shd w:val="clear" w:color="auto" w:fill="auto"/>
            <w:vAlign w:val="center"/>
          </w:tcPr>
          <w:p w:rsidR="008F0E9A" w:rsidRDefault="00937627">
            <w:pPr>
              <w:jc w:val="center"/>
              <w:rPr>
                <w:rFonts w:cs="Calibri"/>
                <w:color w:val="000000"/>
                <w:sz w:val="18"/>
              </w:rPr>
            </w:pPr>
            <w:r>
              <w:rPr>
                <w:rFonts w:cs="Calibri"/>
                <w:color w:val="000000"/>
                <w:sz w:val="18"/>
              </w:rPr>
              <w:t>0.008(-0.009, 0.024)</w:t>
            </w:r>
          </w:p>
        </w:tc>
        <w:tc>
          <w:tcPr>
            <w:tcW w:w="902" w:type="dxa"/>
            <w:shd w:val="clear" w:color="auto" w:fill="auto"/>
            <w:vAlign w:val="center"/>
          </w:tcPr>
          <w:p w:rsidR="008F0E9A" w:rsidRDefault="00937627">
            <w:pPr>
              <w:jc w:val="center"/>
              <w:rPr>
                <w:rFonts w:cs="Calibri"/>
                <w:color w:val="000000"/>
                <w:sz w:val="18"/>
              </w:rPr>
            </w:pPr>
            <w:r>
              <w:rPr>
                <w:rFonts w:cs="Calibri"/>
                <w:color w:val="000000"/>
                <w:sz w:val="18"/>
              </w:rPr>
              <w:t>0.3586</w:t>
            </w:r>
          </w:p>
        </w:tc>
        <w:tc>
          <w:tcPr>
            <w:tcW w:w="2070" w:type="dxa"/>
            <w:shd w:val="clear" w:color="auto" w:fill="auto"/>
            <w:vAlign w:val="center"/>
          </w:tcPr>
          <w:p w:rsidR="008F0E9A" w:rsidRDefault="00937627">
            <w:pPr>
              <w:jc w:val="center"/>
              <w:rPr>
                <w:rFonts w:cs="Calibri"/>
                <w:color w:val="000000"/>
                <w:sz w:val="18"/>
              </w:rPr>
            </w:pPr>
            <w:r>
              <w:rPr>
                <w:rFonts w:cs="Calibri"/>
                <w:color w:val="000000"/>
                <w:sz w:val="18"/>
              </w:rPr>
              <w:t>-0.015(-0.043, 0.012)</w:t>
            </w:r>
          </w:p>
        </w:tc>
        <w:tc>
          <w:tcPr>
            <w:tcW w:w="900" w:type="dxa"/>
            <w:shd w:val="clear" w:color="auto" w:fill="auto"/>
            <w:vAlign w:val="center"/>
          </w:tcPr>
          <w:p w:rsidR="008F0E9A" w:rsidRDefault="00937627">
            <w:pPr>
              <w:jc w:val="center"/>
              <w:rPr>
                <w:rFonts w:cs="Calibri"/>
                <w:color w:val="000000"/>
                <w:sz w:val="18"/>
              </w:rPr>
            </w:pPr>
            <w:r>
              <w:rPr>
                <w:rFonts w:cs="Calibri"/>
                <w:color w:val="000000"/>
                <w:sz w:val="18"/>
              </w:rPr>
              <w:t>0.262</w:t>
            </w:r>
          </w:p>
        </w:tc>
      </w:tr>
      <w:tr w:rsidR="008F0E9A">
        <w:trPr>
          <w:trHeight w:val="583"/>
        </w:trPr>
        <w:tc>
          <w:tcPr>
            <w:tcW w:w="4202" w:type="dxa"/>
            <w:shd w:val="clear" w:color="auto" w:fill="auto"/>
            <w:vAlign w:val="center"/>
          </w:tcPr>
          <w:p w:rsidR="008F0E9A" w:rsidRDefault="00937627">
            <w:pPr>
              <w:rPr>
                <w:rFonts w:cs="Calibri"/>
                <w:b/>
                <w:color w:val="000000"/>
                <w:sz w:val="18"/>
              </w:rPr>
            </w:pPr>
            <w:r>
              <w:rPr>
                <w:rFonts w:cs="Calibri"/>
                <w:b/>
                <w:color w:val="000000"/>
                <w:sz w:val="18"/>
              </w:rPr>
              <w:t>D: Formal LTC workers, Personal carers per 100 population aged 65 years old and over</w:t>
            </w:r>
          </w:p>
        </w:tc>
        <w:tc>
          <w:tcPr>
            <w:tcW w:w="2102" w:type="dxa"/>
            <w:shd w:val="clear" w:color="auto" w:fill="auto"/>
            <w:vAlign w:val="center"/>
          </w:tcPr>
          <w:p w:rsidR="008F0E9A" w:rsidRDefault="00937627">
            <w:pPr>
              <w:jc w:val="center"/>
              <w:rPr>
                <w:rFonts w:cs="Calibri"/>
                <w:color w:val="000000"/>
                <w:sz w:val="18"/>
              </w:rPr>
            </w:pPr>
            <w:r>
              <w:rPr>
                <w:rFonts w:cs="Calibri"/>
                <w:color w:val="000000"/>
                <w:sz w:val="18"/>
              </w:rPr>
              <w:t>-4.145(-8.716, 0.425)</w:t>
            </w:r>
          </w:p>
        </w:tc>
        <w:tc>
          <w:tcPr>
            <w:tcW w:w="1663" w:type="dxa"/>
            <w:shd w:val="clear" w:color="auto" w:fill="auto"/>
            <w:vAlign w:val="center"/>
          </w:tcPr>
          <w:p w:rsidR="008F0E9A" w:rsidRDefault="00937627">
            <w:pPr>
              <w:jc w:val="center"/>
              <w:rPr>
                <w:rFonts w:cs="Calibri"/>
                <w:color w:val="000000"/>
                <w:sz w:val="18"/>
              </w:rPr>
            </w:pPr>
            <w:r>
              <w:rPr>
                <w:rFonts w:cs="Calibri"/>
                <w:color w:val="000000"/>
                <w:sz w:val="18"/>
              </w:rPr>
              <w:t>0.0733</w:t>
            </w:r>
          </w:p>
        </w:tc>
        <w:tc>
          <w:tcPr>
            <w:tcW w:w="2118" w:type="dxa"/>
            <w:shd w:val="clear" w:color="auto" w:fill="auto"/>
            <w:vAlign w:val="center"/>
          </w:tcPr>
          <w:p w:rsidR="008F0E9A" w:rsidRDefault="00937627">
            <w:pPr>
              <w:jc w:val="center"/>
              <w:rPr>
                <w:rFonts w:cs="Calibri"/>
                <w:b/>
                <w:bCs/>
                <w:color w:val="000000"/>
                <w:sz w:val="18"/>
              </w:rPr>
            </w:pPr>
            <w:r>
              <w:rPr>
                <w:rFonts w:cs="Calibri"/>
                <w:b/>
                <w:bCs/>
                <w:color w:val="000000"/>
                <w:sz w:val="18"/>
              </w:rPr>
              <w:t>0.020(0.001, 0.040)</w:t>
            </w:r>
          </w:p>
        </w:tc>
        <w:tc>
          <w:tcPr>
            <w:tcW w:w="902" w:type="dxa"/>
            <w:shd w:val="clear" w:color="auto" w:fill="auto"/>
            <w:vAlign w:val="center"/>
          </w:tcPr>
          <w:p w:rsidR="008F0E9A" w:rsidRDefault="00937627">
            <w:pPr>
              <w:jc w:val="center"/>
              <w:rPr>
                <w:rFonts w:cs="Calibri"/>
                <w:b/>
                <w:bCs/>
                <w:color w:val="000000"/>
                <w:sz w:val="18"/>
              </w:rPr>
            </w:pPr>
            <w:r>
              <w:rPr>
                <w:rFonts w:cs="Calibri"/>
                <w:b/>
                <w:bCs/>
                <w:color w:val="000000"/>
                <w:sz w:val="18"/>
              </w:rPr>
              <w:t>0.0448</w:t>
            </w:r>
          </w:p>
        </w:tc>
        <w:tc>
          <w:tcPr>
            <w:tcW w:w="2070" w:type="dxa"/>
            <w:shd w:val="clear" w:color="auto" w:fill="auto"/>
            <w:vAlign w:val="center"/>
          </w:tcPr>
          <w:p w:rsidR="008F0E9A" w:rsidRDefault="00937627">
            <w:pPr>
              <w:jc w:val="center"/>
              <w:rPr>
                <w:rFonts w:cs="Calibri"/>
                <w:color w:val="000000"/>
                <w:sz w:val="18"/>
              </w:rPr>
            </w:pPr>
            <w:r>
              <w:rPr>
                <w:rFonts w:cs="Calibri"/>
                <w:color w:val="000000"/>
                <w:sz w:val="18"/>
              </w:rPr>
              <w:t>-0.033(-0.076, 0.009)</w:t>
            </w:r>
          </w:p>
        </w:tc>
        <w:tc>
          <w:tcPr>
            <w:tcW w:w="900" w:type="dxa"/>
            <w:shd w:val="clear" w:color="auto" w:fill="auto"/>
            <w:vAlign w:val="center"/>
          </w:tcPr>
          <w:p w:rsidR="008F0E9A" w:rsidRDefault="00937627">
            <w:pPr>
              <w:jc w:val="center"/>
              <w:rPr>
                <w:rFonts w:cs="Calibri"/>
                <w:color w:val="000000"/>
                <w:sz w:val="18"/>
              </w:rPr>
            </w:pPr>
            <w:r>
              <w:rPr>
                <w:rFonts w:cs="Calibri"/>
                <w:color w:val="000000"/>
                <w:sz w:val="18"/>
              </w:rPr>
              <w:t>0.1174</w:t>
            </w:r>
          </w:p>
        </w:tc>
      </w:tr>
      <w:tr w:rsidR="008F0E9A">
        <w:trPr>
          <w:trHeight w:val="583"/>
        </w:trPr>
        <w:tc>
          <w:tcPr>
            <w:tcW w:w="4202" w:type="dxa"/>
            <w:shd w:val="clear" w:color="auto" w:fill="auto"/>
            <w:vAlign w:val="center"/>
          </w:tcPr>
          <w:p w:rsidR="008F0E9A" w:rsidRDefault="00937627">
            <w:pPr>
              <w:rPr>
                <w:rFonts w:cs="Calibri"/>
                <w:b/>
                <w:color w:val="000000"/>
                <w:sz w:val="18"/>
              </w:rPr>
            </w:pPr>
            <w:r>
              <w:rPr>
                <w:rFonts w:cs="Calibri"/>
                <w:b/>
                <w:color w:val="000000"/>
                <w:sz w:val="18"/>
              </w:rPr>
              <w:t>E: Formal LTC workers, Nurses per 100 population aged 65 years old and over</w:t>
            </w:r>
          </w:p>
        </w:tc>
        <w:tc>
          <w:tcPr>
            <w:tcW w:w="2102" w:type="dxa"/>
            <w:shd w:val="clear" w:color="auto" w:fill="auto"/>
            <w:vAlign w:val="center"/>
          </w:tcPr>
          <w:p w:rsidR="008F0E9A" w:rsidRDefault="00937627">
            <w:pPr>
              <w:jc w:val="center"/>
              <w:rPr>
                <w:rFonts w:cs="Calibri"/>
                <w:color w:val="000000"/>
                <w:sz w:val="18"/>
              </w:rPr>
            </w:pPr>
            <w:r>
              <w:rPr>
                <w:rFonts w:cs="Calibri"/>
                <w:color w:val="000000"/>
                <w:sz w:val="18"/>
              </w:rPr>
              <w:t>-1.189(-13.018, 10.640)</w:t>
            </w:r>
          </w:p>
        </w:tc>
        <w:tc>
          <w:tcPr>
            <w:tcW w:w="1663" w:type="dxa"/>
            <w:shd w:val="clear" w:color="auto" w:fill="auto"/>
            <w:vAlign w:val="center"/>
          </w:tcPr>
          <w:p w:rsidR="008F0E9A" w:rsidRDefault="00937627">
            <w:pPr>
              <w:jc w:val="center"/>
              <w:rPr>
                <w:rFonts w:cs="Calibri"/>
                <w:color w:val="000000"/>
                <w:sz w:val="18"/>
              </w:rPr>
            </w:pPr>
            <w:r>
              <w:rPr>
                <w:rFonts w:cs="Calibri"/>
                <w:color w:val="000000"/>
                <w:sz w:val="18"/>
              </w:rPr>
              <w:t>0.8351</w:t>
            </w:r>
          </w:p>
        </w:tc>
        <w:tc>
          <w:tcPr>
            <w:tcW w:w="2118" w:type="dxa"/>
            <w:shd w:val="clear" w:color="auto" w:fill="auto"/>
            <w:vAlign w:val="center"/>
          </w:tcPr>
          <w:p w:rsidR="008F0E9A" w:rsidRDefault="00937627">
            <w:pPr>
              <w:jc w:val="center"/>
              <w:rPr>
                <w:rFonts w:cs="Calibri"/>
                <w:color w:val="000000"/>
                <w:sz w:val="18"/>
              </w:rPr>
            </w:pPr>
            <w:r>
              <w:rPr>
                <w:rFonts w:cs="Calibri"/>
                <w:color w:val="000000"/>
                <w:sz w:val="18"/>
              </w:rPr>
              <w:t>0.024(-0.040, 0.088)</w:t>
            </w:r>
          </w:p>
        </w:tc>
        <w:tc>
          <w:tcPr>
            <w:tcW w:w="902" w:type="dxa"/>
            <w:shd w:val="clear" w:color="auto" w:fill="auto"/>
            <w:vAlign w:val="center"/>
          </w:tcPr>
          <w:p w:rsidR="008F0E9A" w:rsidRDefault="00937627">
            <w:pPr>
              <w:jc w:val="center"/>
              <w:rPr>
                <w:rFonts w:cs="Calibri"/>
                <w:color w:val="000000"/>
                <w:sz w:val="18"/>
              </w:rPr>
            </w:pPr>
            <w:r>
              <w:rPr>
                <w:rFonts w:cs="Calibri"/>
                <w:color w:val="000000"/>
                <w:sz w:val="18"/>
              </w:rPr>
              <w:t>0.4425</w:t>
            </w:r>
          </w:p>
        </w:tc>
        <w:tc>
          <w:tcPr>
            <w:tcW w:w="2070" w:type="dxa"/>
            <w:shd w:val="clear" w:color="auto" w:fill="auto"/>
            <w:vAlign w:val="center"/>
          </w:tcPr>
          <w:p w:rsidR="008F0E9A" w:rsidRDefault="00937627">
            <w:pPr>
              <w:jc w:val="center"/>
              <w:rPr>
                <w:rFonts w:cs="Calibri"/>
                <w:color w:val="000000"/>
                <w:sz w:val="18"/>
              </w:rPr>
            </w:pPr>
            <w:r>
              <w:rPr>
                <w:rFonts w:cs="Calibri"/>
                <w:color w:val="000000"/>
                <w:sz w:val="18"/>
              </w:rPr>
              <w:t>0.003(-0.125, 0.131)</w:t>
            </w:r>
          </w:p>
        </w:tc>
        <w:tc>
          <w:tcPr>
            <w:tcW w:w="900" w:type="dxa"/>
            <w:shd w:val="clear" w:color="auto" w:fill="auto"/>
            <w:vAlign w:val="center"/>
          </w:tcPr>
          <w:p w:rsidR="008F0E9A" w:rsidRDefault="00937627">
            <w:pPr>
              <w:jc w:val="center"/>
              <w:rPr>
                <w:rFonts w:cs="Calibri"/>
                <w:color w:val="000000"/>
                <w:sz w:val="18"/>
              </w:rPr>
            </w:pPr>
            <w:r>
              <w:rPr>
                <w:rFonts w:cs="Calibri"/>
                <w:color w:val="000000"/>
                <w:sz w:val="18"/>
              </w:rPr>
              <w:t>0.9587</w:t>
            </w:r>
          </w:p>
        </w:tc>
      </w:tr>
      <w:tr w:rsidR="008F0E9A">
        <w:trPr>
          <w:trHeight w:val="592"/>
        </w:trPr>
        <w:tc>
          <w:tcPr>
            <w:tcW w:w="4202" w:type="dxa"/>
            <w:tcBorders>
              <w:bottom w:val="single" w:sz="12" w:space="0" w:color="000000"/>
            </w:tcBorders>
            <w:shd w:val="clear" w:color="auto" w:fill="auto"/>
            <w:vAlign w:val="center"/>
          </w:tcPr>
          <w:p w:rsidR="008F0E9A" w:rsidRDefault="00937627">
            <w:pPr>
              <w:rPr>
                <w:rFonts w:cs="Calibri"/>
                <w:b/>
                <w:color w:val="000000"/>
                <w:sz w:val="18"/>
              </w:rPr>
            </w:pPr>
            <w:r>
              <w:rPr>
                <w:rFonts w:cs="Calibri"/>
                <w:b/>
                <w:color w:val="000000"/>
                <w:sz w:val="18"/>
              </w:rPr>
              <w:t>F: Percentage of population volunteering to provide ADL support</w:t>
            </w:r>
          </w:p>
        </w:tc>
        <w:tc>
          <w:tcPr>
            <w:tcW w:w="2102" w:type="dxa"/>
            <w:tcBorders>
              <w:bottom w:val="single" w:sz="12" w:space="0" w:color="000000"/>
            </w:tcBorders>
            <w:shd w:val="clear" w:color="auto" w:fill="auto"/>
            <w:vAlign w:val="center"/>
          </w:tcPr>
          <w:p w:rsidR="008F0E9A" w:rsidRDefault="00937627">
            <w:pPr>
              <w:jc w:val="center"/>
              <w:rPr>
                <w:rFonts w:cs="Calibri"/>
                <w:b/>
                <w:bCs/>
                <w:color w:val="000000"/>
                <w:sz w:val="18"/>
              </w:rPr>
            </w:pPr>
            <w:r>
              <w:rPr>
                <w:rFonts w:cs="Calibri"/>
                <w:b/>
                <w:bCs/>
                <w:color w:val="000000"/>
                <w:sz w:val="18"/>
              </w:rPr>
              <w:t>-1.498(-2.413, -0.583)</w:t>
            </w:r>
          </w:p>
        </w:tc>
        <w:tc>
          <w:tcPr>
            <w:tcW w:w="1663" w:type="dxa"/>
            <w:tcBorders>
              <w:bottom w:val="single" w:sz="12" w:space="0" w:color="000000"/>
            </w:tcBorders>
            <w:shd w:val="clear" w:color="auto" w:fill="auto"/>
            <w:vAlign w:val="center"/>
          </w:tcPr>
          <w:p w:rsidR="008F0E9A" w:rsidRDefault="00937627">
            <w:pPr>
              <w:jc w:val="center"/>
              <w:rPr>
                <w:rFonts w:cs="Calibri"/>
                <w:b/>
                <w:bCs/>
                <w:color w:val="000000"/>
                <w:sz w:val="18"/>
              </w:rPr>
            </w:pPr>
            <w:r>
              <w:rPr>
                <w:rFonts w:cs="Calibri"/>
                <w:b/>
                <w:bCs/>
                <w:color w:val="000000"/>
                <w:sz w:val="18"/>
              </w:rPr>
              <w:t>0.0018</w:t>
            </w:r>
          </w:p>
        </w:tc>
        <w:tc>
          <w:tcPr>
            <w:tcW w:w="2118" w:type="dxa"/>
            <w:tcBorders>
              <w:bottom w:val="single" w:sz="12" w:space="0" w:color="000000"/>
            </w:tcBorders>
            <w:shd w:val="clear" w:color="auto" w:fill="auto"/>
            <w:vAlign w:val="center"/>
          </w:tcPr>
          <w:p w:rsidR="008F0E9A" w:rsidRDefault="00937627">
            <w:pPr>
              <w:jc w:val="center"/>
              <w:rPr>
                <w:rFonts w:cs="Calibri"/>
                <w:b/>
                <w:bCs/>
                <w:color w:val="000000"/>
                <w:sz w:val="18"/>
              </w:rPr>
            </w:pPr>
            <w:r>
              <w:rPr>
                <w:rFonts w:cs="Calibri"/>
                <w:b/>
                <w:bCs/>
                <w:color w:val="000000"/>
                <w:sz w:val="18"/>
              </w:rPr>
              <w:t>0.005(0.001, 0.009)</w:t>
            </w:r>
          </w:p>
        </w:tc>
        <w:tc>
          <w:tcPr>
            <w:tcW w:w="902" w:type="dxa"/>
            <w:tcBorders>
              <w:bottom w:val="single" w:sz="12" w:space="0" w:color="000000"/>
            </w:tcBorders>
            <w:shd w:val="clear" w:color="auto" w:fill="auto"/>
            <w:vAlign w:val="center"/>
          </w:tcPr>
          <w:p w:rsidR="008F0E9A" w:rsidRDefault="00937627">
            <w:pPr>
              <w:jc w:val="center"/>
              <w:rPr>
                <w:rFonts w:cs="Calibri"/>
                <w:b/>
                <w:bCs/>
                <w:color w:val="000000"/>
                <w:sz w:val="18"/>
              </w:rPr>
            </w:pPr>
            <w:r>
              <w:rPr>
                <w:rFonts w:cs="Calibri"/>
                <w:b/>
                <w:bCs/>
                <w:color w:val="000000"/>
                <w:sz w:val="18"/>
              </w:rPr>
              <w:t>0.011</w:t>
            </w:r>
          </w:p>
        </w:tc>
        <w:tc>
          <w:tcPr>
            <w:tcW w:w="2070" w:type="dxa"/>
            <w:tcBorders>
              <w:bottom w:val="single" w:sz="12" w:space="0" w:color="000000"/>
            </w:tcBorders>
            <w:shd w:val="clear" w:color="auto" w:fill="auto"/>
            <w:vAlign w:val="center"/>
          </w:tcPr>
          <w:p w:rsidR="008F0E9A" w:rsidRDefault="00937627">
            <w:pPr>
              <w:jc w:val="center"/>
              <w:rPr>
                <w:rFonts w:cs="Calibri"/>
                <w:color w:val="000000"/>
                <w:sz w:val="18"/>
              </w:rPr>
            </w:pPr>
            <w:r>
              <w:rPr>
                <w:rFonts w:cs="Calibri"/>
                <w:color w:val="000000"/>
                <w:sz w:val="18"/>
              </w:rPr>
              <w:t>-0.005(-0.012, 0.002)</w:t>
            </w:r>
          </w:p>
        </w:tc>
        <w:tc>
          <w:tcPr>
            <w:tcW w:w="900" w:type="dxa"/>
            <w:tcBorders>
              <w:bottom w:val="single" w:sz="12" w:space="0" w:color="000000"/>
            </w:tcBorders>
            <w:shd w:val="clear" w:color="auto" w:fill="auto"/>
            <w:vAlign w:val="center"/>
          </w:tcPr>
          <w:p w:rsidR="008F0E9A" w:rsidRDefault="00937627">
            <w:pPr>
              <w:jc w:val="center"/>
              <w:rPr>
                <w:rFonts w:cs="Calibri"/>
                <w:color w:val="000000"/>
                <w:sz w:val="18"/>
              </w:rPr>
            </w:pPr>
            <w:r>
              <w:rPr>
                <w:rFonts w:cs="Calibri"/>
                <w:color w:val="000000"/>
                <w:sz w:val="18"/>
              </w:rPr>
              <w:t>0.1537</w:t>
            </w:r>
          </w:p>
        </w:tc>
      </w:tr>
    </w:tbl>
    <w:p w:rsidR="008F0E9A" w:rsidRDefault="008F0E9A">
      <w:pPr>
        <w:spacing w:after="0"/>
        <w:jc w:val="both"/>
        <w:rPr>
          <w:sz w:val="18"/>
          <w:lang w:val="en-US"/>
        </w:rPr>
        <w:sectPr w:rsidR="008F0E9A">
          <w:footerReference w:type="default" r:id="rId8"/>
          <w:pgSz w:w="16838" w:h="11906" w:orient="landscape"/>
          <w:pgMar w:top="1800" w:right="1440" w:bottom="1800" w:left="1440" w:header="0" w:footer="0" w:gutter="0"/>
          <w:cols w:space="720"/>
          <w:formProt w:val="0"/>
          <w:docGrid w:linePitch="360" w:charSpace="16384"/>
        </w:sectPr>
      </w:pPr>
    </w:p>
    <w:p w:rsidR="008F0E9A" w:rsidRDefault="00937627">
      <w:pPr>
        <w:rPr>
          <w:b/>
        </w:rPr>
      </w:pPr>
      <w:r>
        <w:rPr>
          <w:b/>
          <w:lang w:val="en-US"/>
        </w:rPr>
        <w:lastRenderedPageBreak/>
        <w:t xml:space="preserve">SUPPLEMENTARY FIGURE </w:t>
      </w:r>
      <w:r w:rsidR="004F20B4">
        <w:rPr>
          <w:b/>
          <w:lang w:val="en-US"/>
        </w:rPr>
        <w:t>1</w:t>
      </w:r>
      <w:r>
        <w:rPr>
          <w:b/>
          <w:lang w:val="en-US"/>
        </w:rPr>
        <w:t>. Sensitivity analysis. P</w:t>
      </w:r>
      <w:proofErr w:type="spellStart"/>
      <w:r>
        <w:rPr>
          <w:b/>
        </w:rPr>
        <w:t>ercentage</w:t>
      </w:r>
      <w:proofErr w:type="spellEnd"/>
      <w:r>
        <w:rPr>
          <w:b/>
        </w:rPr>
        <w:t xml:space="preserve"> of people receiving assistance with ADLs plotted against national-level health system factors, including only including data from SHARE. Conventions as for Figure 3.</w:t>
      </w:r>
    </w:p>
    <w:p w:rsidR="008F0E9A" w:rsidRDefault="0007418E">
      <w:pPr>
        <w:rPr>
          <w:b/>
          <w:lang w:val="en-US"/>
        </w:rPr>
      </w:pPr>
      <w:r>
        <w:rPr>
          <w:b/>
          <w:noProof/>
        </w:rPr>
        <w:drawing>
          <wp:inline distT="0" distB="0" distL="0" distR="0">
            <wp:extent cx="5274310" cy="602107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atter_percentage_50_SHARE_notex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6021070"/>
                    </a:xfrm>
                    <a:prstGeom prst="rect">
                      <a:avLst/>
                    </a:prstGeom>
                  </pic:spPr>
                </pic:pic>
              </a:graphicData>
            </a:graphic>
          </wp:inline>
        </w:drawing>
      </w:r>
    </w:p>
    <w:p w:rsidR="008F0E9A" w:rsidRDefault="00937627">
      <w:pPr>
        <w:spacing w:after="0" w:line="240" w:lineRule="auto"/>
        <w:rPr>
          <w:b/>
          <w:lang w:val="en-US"/>
        </w:rPr>
      </w:pPr>
      <w:r>
        <w:br w:type="page"/>
      </w:r>
    </w:p>
    <w:p w:rsidR="008F0E9A" w:rsidRDefault="00937627">
      <w:pPr>
        <w:rPr>
          <w:b/>
          <w:lang w:val="en-US"/>
        </w:rPr>
      </w:pPr>
      <w:r>
        <w:rPr>
          <w:b/>
          <w:lang w:val="en-US"/>
        </w:rPr>
        <w:lastRenderedPageBreak/>
        <w:t xml:space="preserve">SUPPLEMENTARY FIGURE </w:t>
      </w:r>
      <w:r w:rsidR="004F20B4">
        <w:rPr>
          <w:b/>
          <w:lang w:val="en-US"/>
        </w:rPr>
        <w:t>2</w:t>
      </w:r>
      <w:r>
        <w:rPr>
          <w:b/>
          <w:lang w:val="en-US"/>
        </w:rPr>
        <w:t>. Sensitivity analysis. Wealth equality/inequality in receiving assistance with ADLs plotted against national-level health system factors,</w:t>
      </w:r>
      <w:r>
        <w:rPr>
          <w:b/>
        </w:rPr>
        <w:t xml:space="preserve"> including only data from SHARE. Conventions as for Figure 4.</w:t>
      </w:r>
    </w:p>
    <w:p w:rsidR="008F0E9A" w:rsidRDefault="00FC5F9B">
      <w:pPr>
        <w:rPr>
          <w:lang w:val="en-US"/>
        </w:rPr>
      </w:pPr>
      <w:r>
        <w:rPr>
          <w:noProof/>
        </w:rPr>
        <w:drawing>
          <wp:inline distT="0" distB="0" distL="0" distR="0">
            <wp:extent cx="5274310" cy="602107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atter_inc_50_SHARE_notext.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6021070"/>
                    </a:xfrm>
                    <a:prstGeom prst="rect">
                      <a:avLst/>
                    </a:prstGeom>
                  </pic:spPr>
                </pic:pic>
              </a:graphicData>
            </a:graphic>
          </wp:inline>
        </w:drawing>
      </w:r>
    </w:p>
    <w:p w:rsidR="008F0E9A" w:rsidRDefault="00937627">
      <w:pPr>
        <w:spacing w:after="0" w:line="240" w:lineRule="auto"/>
        <w:rPr>
          <w:b/>
          <w:lang w:val="en-US"/>
        </w:rPr>
      </w:pPr>
      <w:r>
        <w:br w:type="page"/>
      </w:r>
    </w:p>
    <w:p w:rsidR="008F0E9A" w:rsidRDefault="00937627">
      <w:pPr>
        <w:rPr>
          <w:b/>
        </w:rPr>
      </w:pPr>
      <w:r>
        <w:rPr>
          <w:b/>
          <w:lang w:val="en-US"/>
        </w:rPr>
        <w:lastRenderedPageBreak/>
        <w:t xml:space="preserve">SUPPLEMENTARY FIGURE </w:t>
      </w:r>
      <w:r w:rsidR="004F20B4">
        <w:rPr>
          <w:b/>
          <w:lang w:val="en-US"/>
        </w:rPr>
        <w:t>3</w:t>
      </w:r>
      <w:r>
        <w:rPr>
          <w:b/>
          <w:lang w:val="en-US"/>
        </w:rPr>
        <w:t>. Sensitivity analysis. Needs-based equity/inequity in receiving assistance with ADLs plotted against national-level health system factors,</w:t>
      </w:r>
      <w:r>
        <w:rPr>
          <w:b/>
        </w:rPr>
        <w:t xml:space="preserve"> including only data from SHARE. Conventions as for Figure 5.</w:t>
      </w:r>
    </w:p>
    <w:p w:rsidR="008F0E9A" w:rsidRDefault="00FC5F9B">
      <w:pPr>
        <w:rPr>
          <w:b/>
          <w:highlight w:val="yellow"/>
        </w:rPr>
      </w:pPr>
      <w:r>
        <w:rPr>
          <w:b/>
          <w:noProof/>
        </w:rPr>
        <w:drawing>
          <wp:inline distT="0" distB="0" distL="0" distR="0">
            <wp:extent cx="5274310" cy="602107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atter_diff_50_SHARE_notext.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6021070"/>
                    </a:xfrm>
                    <a:prstGeom prst="rect">
                      <a:avLst/>
                    </a:prstGeom>
                  </pic:spPr>
                </pic:pic>
              </a:graphicData>
            </a:graphic>
          </wp:inline>
        </w:drawing>
      </w:r>
    </w:p>
    <w:p w:rsidR="004F20B4" w:rsidRDefault="004F20B4">
      <w:pPr>
        <w:spacing w:after="0" w:line="240" w:lineRule="auto"/>
        <w:rPr>
          <w:b/>
        </w:rPr>
      </w:pPr>
      <w:r>
        <w:rPr>
          <w:b/>
        </w:rPr>
        <w:br w:type="page"/>
      </w:r>
    </w:p>
    <w:p w:rsidR="004F20B4" w:rsidRDefault="004F20B4" w:rsidP="004F20B4">
      <w:pPr>
        <w:rPr>
          <w:b/>
        </w:rPr>
      </w:pPr>
      <w:r>
        <w:rPr>
          <w:b/>
        </w:rPr>
        <w:lastRenderedPageBreak/>
        <w:t xml:space="preserve">SUPPLEMENTARY FIGURE 4. Change on the percentage of population volunteering to provide ADL support against Change on the percentage of people receiving assistance with ADLs. </w:t>
      </w:r>
      <w:r>
        <w:t xml:space="preserve">For countries with a near-zero percentage of population volunteering to provide ADL support before pandemic (red points), an increase in the percentage of the population volunteering was more likely to be associated with an increased percentage of people receiving assistance with ADLs (red points mainly located in first quadrant). For countries that already had a substantial volunteer ADL workforce before pandemic (blue points), an increase of the percentage volunteering may not be associated with an increased percentage of people receiving assistance with ADLs </w:t>
      </w:r>
      <w:r>
        <w:rPr>
          <w:lang w:val="en-US"/>
        </w:rPr>
        <w:t xml:space="preserve">(blue points located in both the first and fourth </w:t>
      </w:r>
      <w:bookmarkStart w:id="1" w:name="_GoBack1"/>
      <w:bookmarkEnd w:id="1"/>
      <w:r>
        <w:rPr>
          <w:lang w:val="en-US"/>
        </w:rPr>
        <w:t>quadrants)</w:t>
      </w:r>
      <w:r>
        <w:t>.</w:t>
      </w:r>
    </w:p>
    <w:p w:rsidR="004F20B4" w:rsidRDefault="004F20B4" w:rsidP="004F20B4">
      <w:pPr>
        <w:rPr>
          <w:b/>
        </w:rPr>
      </w:pPr>
      <w:r>
        <w:rPr>
          <w:noProof/>
        </w:rPr>
        <w:drawing>
          <wp:inline distT="0" distB="0" distL="0" distR="0" wp14:anchorId="46F2FA5B" wp14:editId="727B51BE">
            <wp:extent cx="5274310" cy="366204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2"/>
                    <a:stretch>
                      <a:fillRect/>
                    </a:stretch>
                  </pic:blipFill>
                  <pic:spPr bwMode="auto">
                    <a:xfrm>
                      <a:off x="0" y="0"/>
                      <a:ext cx="5274310" cy="3662045"/>
                    </a:xfrm>
                    <a:prstGeom prst="rect">
                      <a:avLst/>
                    </a:prstGeom>
                  </pic:spPr>
                </pic:pic>
              </a:graphicData>
            </a:graphic>
          </wp:inline>
        </w:drawing>
      </w:r>
    </w:p>
    <w:p w:rsidR="004F20B4" w:rsidRDefault="004F20B4" w:rsidP="004F20B4">
      <w:pPr>
        <w:spacing w:after="0" w:line="240" w:lineRule="auto"/>
        <w:jc w:val="both"/>
        <w:rPr>
          <w:b/>
        </w:rPr>
      </w:pPr>
      <w:r>
        <w:br w:type="page"/>
      </w:r>
    </w:p>
    <w:p w:rsidR="008F0E9A" w:rsidRDefault="00937627">
      <w:pPr>
        <w:rPr>
          <w:highlight w:val="yellow"/>
        </w:rPr>
      </w:pPr>
      <w:r>
        <w:lastRenderedPageBreak/>
        <w:fldChar w:fldCharType="begin"/>
      </w:r>
      <w:r>
        <w:instrText>ADDIN EN.REFLIST</w:instrText>
      </w:r>
      <w:r>
        <w:fldChar w:fldCharType="end"/>
      </w:r>
    </w:p>
    <w:sectPr w:rsidR="008F0E9A">
      <w:footerReference w:type="default" r:id="rId13"/>
      <w:pgSz w:w="11906" w:h="16838"/>
      <w:pgMar w:top="1440" w:right="1800" w:bottom="1440" w:left="1800" w:header="0" w:footer="0" w:gutter="0"/>
      <w:cols w:space="720"/>
      <w:formProt w:val="0"/>
      <w:docGrid w:linePitch="360" w:charSpace="1638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15B3" w:rsidRDefault="00F715B3">
      <w:pPr>
        <w:spacing w:after="0" w:line="240" w:lineRule="auto"/>
      </w:pPr>
      <w:r>
        <w:separator/>
      </w:r>
    </w:p>
  </w:endnote>
  <w:endnote w:type="continuationSeparator" w:id="0">
    <w:p w:rsidR="00F715B3" w:rsidRDefault="00F71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Noto Sans Arabic UI">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01"/>
    <w:family w:val="roman"/>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6583895"/>
      <w:docPartObj>
        <w:docPartGallery w:val="Page Numbers (Bottom of Page)"/>
        <w:docPartUnique/>
      </w:docPartObj>
    </w:sdtPr>
    <w:sdtEndPr/>
    <w:sdtContent>
      <w:p w:rsidR="008F0E9A" w:rsidRDefault="00937627">
        <w:pPr>
          <w:pStyle w:val="Footer"/>
          <w:jc w:val="center"/>
        </w:pPr>
        <w:r>
          <w:fldChar w:fldCharType="begin"/>
        </w:r>
        <w:r>
          <w:instrText>PAGE</w:instrText>
        </w:r>
        <w:r>
          <w:fldChar w:fldCharType="separate"/>
        </w:r>
        <w:r w:rsidR="001B4A3A">
          <w:rPr>
            <w:noProof/>
          </w:rPr>
          <w:t>5</w:t>
        </w:r>
        <w:r>
          <w:fldChar w:fldCharType="end"/>
        </w:r>
      </w:p>
      <w:p w:rsidR="008F0E9A" w:rsidRDefault="00F715B3">
        <w:pPr>
          <w:pStyle w:val="Footer"/>
        </w:pP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7521605"/>
      <w:docPartObj>
        <w:docPartGallery w:val="Page Numbers (Bottom of Page)"/>
        <w:docPartUnique/>
      </w:docPartObj>
    </w:sdtPr>
    <w:sdtEndPr/>
    <w:sdtContent>
      <w:p w:rsidR="008F0E9A" w:rsidRDefault="00937627">
        <w:pPr>
          <w:pStyle w:val="Footer"/>
          <w:jc w:val="center"/>
        </w:pPr>
        <w:r>
          <w:fldChar w:fldCharType="begin"/>
        </w:r>
        <w:r>
          <w:instrText>PAGE</w:instrText>
        </w:r>
        <w:r>
          <w:fldChar w:fldCharType="separate"/>
        </w:r>
        <w:r w:rsidR="001B4A3A">
          <w:rPr>
            <w:noProof/>
          </w:rPr>
          <w:t>6</w:t>
        </w:r>
        <w:r>
          <w:fldChar w:fldCharType="end"/>
        </w:r>
      </w:p>
      <w:p w:rsidR="008F0E9A" w:rsidRDefault="00F715B3">
        <w:pPr>
          <w:pStyle w:val="Footer"/>
        </w:pP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6461217"/>
      <w:docPartObj>
        <w:docPartGallery w:val="Page Numbers (Bottom of Page)"/>
        <w:docPartUnique/>
      </w:docPartObj>
    </w:sdtPr>
    <w:sdtEndPr/>
    <w:sdtContent>
      <w:p w:rsidR="008F0E9A" w:rsidRDefault="00937627">
        <w:pPr>
          <w:pStyle w:val="Footer"/>
          <w:jc w:val="center"/>
        </w:pPr>
        <w:r>
          <w:fldChar w:fldCharType="begin"/>
        </w:r>
        <w:r>
          <w:instrText>PAGE</w:instrText>
        </w:r>
        <w:r>
          <w:fldChar w:fldCharType="separate"/>
        </w:r>
        <w:r w:rsidR="001B4A3A">
          <w:rPr>
            <w:noProof/>
          </w:rPr>
          <w:t>10</w:t>
        </w:r>
        <w:r>
          <w:fldChar w:fldCharType="end"/>
        </w:r>
      </w:p>
      <w:p w:rsidR="008F0E9A" w:rsidRDefault="00F715B3">
        <w:pPr>
          <w:pStyle w:val="Foote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15B3" w:rsidRDefault="00F715B3">
      <w:pPr>
        <w:spacing w:after="0" w:line="240" w:lineRule="auto"/>
      </w:pPr>
      <w:r>
        <w:separator/>
      </w:r>
    </w:p>
  </w:footnote>
  <w:footnote w:type="continuationSeparator" w:id="0">
    <w:p w:rsidR="00F715B3" w:rsidRDefault="00F715B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C42F83"/>
    <w:multiLevelType w:val="multilevel"/>
    <w:tmpl w:val="D238485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2606A25"/>
    <w:multiLevelType w:val="multilevel"/>
    <w:tmpl w:val="B13259F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EwtjQxMjU3MDEwtDBQ0lEKTi0uzszPAykwrwUABmdXQywAAAA="/>
  </w:docVars>
  <w:rsids>
    <w:rsidRoot w:val="008F0E9A"/>
    <w:rsid w:val="0007418E"/>
    <w:rsid w:val="001B4A3A"/>
    <w:rsid w:val="001E0F60"/>
    <w:rsid w:val="002D2592"/>
    <w:rsid w:val="003E5ADF"/>
    <w:rsid w:val="003F061D"/>
    <w:rsid w:val="004439CA"/>
    <w:rsid w:val="004F20B4"/>
    <w:rsid w:val="00763F06"/>
    <w:rsid w:val="00803197"/>
    <w:rsid w:val="008F0E9A"/>
    <w:rsid w:val="00937627"/>
    <w:rsid w:val="00970667"/>
    <w:rsid w:val="00A80C7B"/>
    <w:rsid w:val="00B44390"/>
    <w:rsid w:val="00DB7C45"/>
    <w:rsid w:val="00E555D7"/>
    <w:rsid w:val="00ED53C4"/>
    <w:rsid w:val="00F564F1"/>
    <w:rsid w:val="00F715B3"/>
    <w:rsid w:val="00FC5F9B"/>
  </w:rsids>
  <m:mathPr>
    <m:mathFont m:val="Cambria Math"/>
    <m:brkBin m:val="before"/>
    <m:brkBinSub m:val="--"/>
    <m:smallFrac m:val="0"/>
    <m:dispDef/>
    <m:lMargin m:val="0"/>
    <m:rMargin m:val="0"/>
    <m:defJc m:val="centerGroup"/>
    <m:wrapIndent m:val="1440"/>
    <m:intLim m:val="subSup"/>
    <m:naryLim m:val="undOvr"/>
  </m:mathPr>
  <w:themeFontLang w:val="en-GB" w:eastAsia="zh-CN"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C5A1EF-D1DF-4D1D-8ADA-B3A19C2F5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Noto Sans Arabic UI"/>
        <w:sz w:val="22"/>
        <w:szCs w:val="22"/>
        <w:lang w:val="en-GB" w:eastAsia="zh-CN"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qFormat/>
  </w:style>
  <w:style w:type="character" w:customStyle="1" w:styleId="FooterChar">
    <w:name w:val="Footer Char"/>
    <w:basedOn w:val="DefaultParagraphFont"/>
    <w:uiPriority w:val="99"/>
    <w:qFormat/>
  </w:style>
  <w:style w:type="character" w:styleId="CommentReference">
    <w:name w:val="annotation reference"/>
    <w:basedOn w:val="DefaultParagraphFont"/>
    <w:qFormat/>
    <w:rPr>
      <w:sz w:val="21"/>
      <w:szCs w:val="21"/>
    </w:rPr>
  </w:style>
  <w:style w:type="character" w:customStyle="1" w:styleId="CommentTextChar">
    <w:name w:val="Comment Text Char"/>
    <w:basedOn w:val="DefaultParagraphFont"/>
    <w:qFormat/>
    <w:rPr>
      <w:kern w:val="2"/>
      <w:sz w:val="21"/>
    </w:rPr>
  </w:style>
  <w:style w:type="character" w:customStyle="1" w:styleId="BalloonTextChar">
    <w:name w:val="Balloon Text Char"/>
    <w:basedOn w:val="DefaultParagraphFont"/>
    <w:qFormat/>
    <w:rPr>
      <w:rFonts w:ascii="Segoe UI" w:hAnsi="Segoe UI" w:cs="Segoe UI"/>
      <w:sz w:val="18"/>
      <w:szCs w:val="18"/>
    </w:rPr>
  </w:style>
  <w:style w:type="character" w:customStyle="1" w:styleId="EndNoteBibliographyTitleChar">
    <w:name w:val="EndNote Bibliography Title Char"/>
    <w:basedOn w:val="DefaultParagraphFont"/>
    <w:qFormat/>
    <w:rPr>
      <w:rFonts w:ascii="Calibri" w:hAnsi="Calibri" w:cs="Calibri"/>
    </w:rPr>
  </w:style>
  <w:style w:type="character" w:customStyle="1" w:styleId="EndNoteBibliographyChar">
    <w:name w:val="EndNote Bibliography Char"/>
    <w:basedOn w:val="DefaultParagraphFont"/>
    <w:qFormat/>
    <w:rPr>
      <w:rFonts w:ascii="Calibri" w:hAnsi="Calibri" w:cs="Calibri"/>
    </w:rPr>
  </w:style>
  <w:style w:type="character" w:customStyle="1" w:styleId="CommentTextChar1">
    <w:name w:val="Comment Text Char1"/>
    <w:basedOn w:val="DefaultParagraphFont"/>
    <w:link w:val="CommentText"/>
    <w:qFormat/>
    <w:rsid w:val="00EC2984"/>
    <w:rPr>
      <w:kern w:val="2"/>
      <w:sz w:val="21"/>
    </w:rPr>
  </w:style>
  <w:style w:type="character" w:customStyle="1" w:styleId="CommentSubjectChar">
    <w:name w:val="Comment Subject Char"/>
    <w:basedOn w:val="CommentTextChar1"/>
    <w:link w:val="CommentSubject"/>
    <w:uiPriority w:val="99"/>
    <w:semiHidden/>
    <w:qFormat/>
    <w:rsid w:val="00EC2984"/>
    <w:rPr>
      <w:b/>
      <w:bCs/>
      <w:kern w:val="2"/>
      <w:sz w:val="20"/>
      <w:szCs w:val="20"/>
    </w:rPr>
  </w:style>
  <w:style w:type="character" w:styleId="Hyperlink">
    <w:name w:val="Hyperlink"/>
    <w:basedOn w:val="DefaultParagraphFont"/>
    <w:uiPriority w:val="99"/>
    <w:unhideWhenUsed/>
    <w:rsid w:val="002800F9"/>
    <w:rPr>
      <w:color w:val="0563C1" w:themeColor="hyperlink"/>
      <w:u w:val="single"/>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Header">
    <w:name w:val="header"/>
    <w:basedOn w:val="Normal"/>
    <w:pPr>
      <w:tabs>
        <w:tab w:val="center" w:pos="4153"/>
        <w:tab w:val="right" w:pos="8306"/>
      </w:tabs>
      <w:spacing w:after="0" w:line="240" w:lineRule="auto"/>
    </w:pPr>
  </w:style>
  <w:style w:type="paragraph" w:styleId="Footer">
    <w:name w:val="footer"/>
    <w:basedOn w:val="Normal"/>
    <w:uiPriority w:val="99"/>
    <w:pPr>
      <w:tabs>
        <w:tab w:val="center" w:pos="4153"/>
        <w:tab w:val="right" w:pos="8306"/>
      </w:tabs>
      <w:spacing w:after="0" w:line="240" w:lineRule="auto"/>
    </w:pPr>
  </w:style>
  <w:style w:type="paragraph" w:styleId="ListParagraph">
    <w:name w:val="List Paragraph"/>
    <w:basedOn w:val="Normal"/>
    <w:qFormat/>
    <w:pPr>
      <w:widowControl w:val="0"/>
      <w:spacing w:after="0" w:line="240" w:lineRule="auto"/>
      <w:ind w:firstLine="420"/>
      <w:jc w:val="both"/>
    </w:pPr>
    <w:rPr>
      <w:kern w:val="2"/>
      <w:sz w:val="21"/>
    </w:rPr>
  </w:style>
  <w:style w:type="paragraph" w:styleId="CommentText">
    <w:name w:val="annotation text"/>
    <w:basedOn w:val="Normal"/>
    <w:link w:val="CommentTextChar1"/>
    <w:qFormat/>
    <w:pPr>
      <w:widowControl w:val="0"/>
      <w:spacing w:after="0" w:line="240" w:lineRule="auto"/>
    </w:pPr>
    <w:rPr>
      <w:kern w:val="2"/>
      <w:sz w:val="21"/>
    </w:rPr>
  </w:style>
  <w:style w:type="paragraph" w:styleId="BalloonText">
    <w:name w:val="Balloon Text"/>
    <w:basedOn w:val="Normal"/>
    <w:qFormat/>
    <w:pPr>
      <w:spacing w:after="0" w:line="240" w:lineRule="auto"/>
    </w:pPr>
    <w:rPr>
      <w:rFonts w:ascii="Segoe UI" w:hAnsi="Segoe UI" w:cs="Segoe UI"/>
      <w:sz w:val="18"/>
      <w:szCs w:val="18"/>
    </w:rPr>
  </w:style>
  <w:style w:type="paragraph" w:customStyle="1" w:styleId="EndNoteBibliographyTitle">
    <w:name w:val="EndNote Bibliography Title"/>
    <w:basedOn w:val="Normal"/>
    <w:qFormat/>
    <w:pPr>
      <w:spacing w:after="0"/>
      <w:jc w:val="center"/>
    </w:pPr>
    <w:rPr>
      <w:rFonts w:cs="Calibri"/>
    </w:rPr>
  </w:style>
  <w:style w:type="paragraph" w:customStyle="1" w:styleId="EndNoteBibliography">
    <w:name w:val="EndNote Bibliography"/>
    <w:basedOn w:val="Normal"/>
    <w:qFormat/>
    <w:pPr>
      <w:spacing w:line="240" w:lineRule="auto"/>
    </w:pPr>
    <w:rPr>
      <w:rFonts w:cs="Calibri"/>
    </w:rPr>
  </w:style>
  <w:style w:type="paragraph" w:styleId="CommentSubject">
    <w:name w:val="annotation subject"/>
    <w:basedOn w:val="CommentText"/>
    <w:next w:val="CommentText"/>
    <w:link w:val="CommentSubjectChar"/>
    <w:uiPriority w:val="99"/>
    <w:semiHidden/>
    <w:unhideWhenUsed/>
    <w:qFormat/>
    <w:rsid w:val="00EC2984"/>
    <w:pPr>
      <w:widowControl/>
      <w:spacing w:after="160"/>
    </w:pPr>
    <w:rPr>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11</Pages>
  <Words>3304</Words>
  <Characters>18834</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shanquan</dc:creator>
  <dc:description/>
  <cp:lastModifiedBy>chen shanquan</cp:lastModifiedBy>
  <cp:revision>11</cp:revision>
  <dcterms:created xsi:type="dcterms:W3CDTF">2021-12-19T22:58:00Z</dcterms:created>
  <dcterms:modified xsi:type="dcterms:W3CDTF">2022-01-25T22:21:00Z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