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607D4" w14:textId="1A255B3F" w:rsidR="00B95A56" w:rsidRPr="00A24C5F" w:rsidRDefault="00A24C5F" w:rsidP="00B95A56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A24C5F"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t>S</w:t>
      </w:r>
      <w:r w:rsidR="00B95A56" w:rsidRPr="00A24C5F"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t xml:space="preserve">upplementary </w:t>
      </w:r>
      <w:r w:rsidRPr="00A24C5F">
        <w:rPr>
          <w:rFonts w:ascii="Times New Roman" w:hAnsi="Times New Roman" w:cs="Times New Roman"/>
          <w:b/>
          <w:bCs/>
          <w:noProof/>
          <w:sz w:val="32"/>
          <w:szCs w:val="32"/>
          <w:lang w:val="en-US"/>
        </w:rPr>
        <w:t xml:space="preserve">material </w:t>
      </w:r>
    </w:p>
    <w:p w14:paraId="36F71819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S1: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>Inclusion and exclusion criteria for study population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950CEE">
        <w:rPr>
          <w:rFonts w:ascii="Times New Roman" w:hAnsi="Times New Roman" w:cs="Times New Roman"/>
          <w:sz w:val="24"/>
          <w:szCs w:val="24"/>
          <w:u w:val="single"/>
          <w:lang w:val="en-US"/>
        </w:rPr>
        <w:t>Inclusion-criteria: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A total of 400 patients were consecutively included: Age ≥ 60 year with one or more risk factors for developing heart failure (HF): </w:t>
      </w:r>
    </w:p>
    <w:p w14:paraId="406446E2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Stable ischemic heart disease</w:t>
      </w:r>
    </w:p>
    <w:p w14:paraId="620010BC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Peripheral arterial disease</w:t>
      </w:r>
    </w:p>
    <w:p w14:paraId="378EE4D3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Hypertension</w:t>
      </w:r>
    </w:p>
    <w:p w14:paraId="7FED3509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History of arterial fibrillation/arterial flutter</w:t>
      </w:r>
    </w:p>
    <w:p w14:paraId="4A1897ED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Diabetes</w:t>
      </w:r>
    </w:p>
    <w:p w14:paraId="2C892A1A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Apoplexy cerebri</w:t>
      </w:r>
    </w:p>
    <w:p w14:paraId="2520FA78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Chronic kidney disease.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7D358AF5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Exclusion-criteria: </w:t>
      </w:r>
    </w:p>
    <w:p w14:paraId="0A20D025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Age ≤ 60 years</w:t>
      </w:r>
    </w:p>
    <w:p w14:paraId="27DDC7BA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No risk factor of HF</w:t>
      </w:r>
    </w:p>
    <w:p w14:paraId="0243EB76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Previously diagnosed with HF or admitted with heart failure. Known left ventricle ejection fraction ≤ 45 %</w:t>
      </w:r>
    </w:p>
    <w:p w14:paraId="02ACCCE3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Current admission with congestion or </w:t>
      </w:r>
      <w:proofErr w:type="spellStart"/>
      <w:r w:rsidRPr="00950CEE">
        <w:rPr>
          <w:rFonts w:ascii="Times New Roman" w:hAnsi="Times New Roman" w:cs="Times New Roman"/>
          <w:sz w:val="24"/>
          <w:szCs w:val="24"/>
          <w:lang w:val="en-US"/>
        </w:rPr>
        <w:t>dyspnoea</w:t>
      </w:r>
      <w:proofErr w:type="spellEnd"/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and suspected HF by the treating clinician.</w:t>
      </w:r>
    </w:p>
    <w:p w14:paraId="3A3CCABA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Advanced cardiac disease (Moderate-severe valvular disease, third-degree atrioventricular block, pacemaker with &gt;70% ventricular pace). </w:t>
      </w:r>
    </w:p>
    <w:p w14:paraId="493A1D21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Ongoing or recent cardiac disease or procedure (Cardioversion within the previous 30 days, coronary angiograph or percutaneous coronary intervention or coronary artery bypass 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operation within the previous 30 days, ongoing endocarditis or myocarditis, or pulmonary embolism) </w:t>
      </w:r>
    </w:p>
    <w:p w14:paraId="557C4BD6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Dialysis/estimated glomerular filtration rate &lt;15 mL/min/1.73 m</w:t>
      </w:r>
      <w:r w:rsidRPr="00950CE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C762A36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Moderate-severe chronic obstructive pulmonary disease (global initiative for chronic obstructive lung disease stadium (GOLD) ≥2C)</w:t>
      </w:r>
    </w:p>
    <w:p w14:paraId="7C3E0872" w14:textId="77777777" w:rsidR="00B95A56" w:rsidRPr="00950CEE" w:rsidRDefault="00B95A56" w:rsidP="00B95A56">
      <w:pPr>
        <w:pStyle w:val="Listeafsnit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sz w:val="24"/>
          <w:szCs w:val="24"/>
          <w:lang w:val="en-US"/>
        </w:rPr>
        <w:t>Sepsis (systemic inflammatory response system criteria) within the previous 30 days or ongoing intravenous antibiotic</w:t>
      </w:r>
    </w:p>
    <w:p w14:paraId="72D6EB68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11E77F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EAD092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505E49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83DE9EA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439637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E69E82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5BDBF6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123439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6A4FF6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8A87BA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85D20B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1D7EA47" w14:textId="77777777" w:rsidR="00B95A56" w:rsidRPr="00950CEE" w:rsidRDefault="00B95A56" w:rsidP="00B95A56">
      <w:pPr>
        <w:pStyle w:val="Listeafsnit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343906B" w14:textId="77777777" w:rsidR="00B95A56" w:rsidRPr="00950CEE" w:rsidRDefault="00B95A56" w:rsidP="00B95A56">
      <w:pPr>
        <w:spacing w:line="360" w:lineRule="auto"/>
        <w:rPr>
          <w:bCs/>
          <w:i/>
          <w:iCs/>
          <w:lang w:val="en-US"/>
        </w:rPr>
      </w:pPr>
    </w:p>
    <w:tbl>
      <w:tblPr>
        <w:tblStyle w:val="Almindeligtabel2"/>
        <w:tblW w:w="0" w:type="auto"/>
        <w:tblLook w:val="04A0" w:firstRow="1" w:lastRow="0" w:firstColumn="1" w:lastColumn="0" w:noHBand="0" w:noVBand="1"/>
      </w:tblPr>
      <w:tblGrid>
        <w:gridCol w:w="3464"/>
        <w:gridCol w:w="4441"/>
      </w:tblGrid>
      <w:tr w:rsidR="00B95A56" w:rsidRPr="00950CEE" w14:paraId="1F817730" w14:textId="77777777" w:rsidTr="00212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22081E8E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4441" w:type="dxa"/>
          </w:tcPr>
          <w:p w14:paraId="2C890494" w14:textId="77777777" w:rsidR="00B95A56" w:rsidRPr="00950CEE" w:rsidRDefault="00B95A56" w:rsidP="0021279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Echocardiographic parameters and values:</w:t>
            </w:r>
          </w:p>
        </w:tc>
      </w:tr>
      <w:tr w:rsidR="00B95A56" w:rsidRPr="00147EFA" w14:paraId="4DC9DA68" w14:textId="77777777" w:rsidTr="00212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44C6229C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Abnormal systolic function</w:t>
            </w:r>
          </w:p>
        </w:tc>
        <w:tc>
          <w:tcPr>
            <w:tcW w:w="4441" w:type="dxa"/>
          </w:tcPr>
          <w:p w14:paraId="002AA107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Simpson’s biplane LVEF:</w:t>
            </w:r>
          </w:p>
          <w:p w14:paraId="7E7041A9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Female ≤ 53 %</w:t>
            </w:r>
          </w:p>
          <w:p w14:paraId="3393F279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Male ≤ 51 %</w:t>
            </w:r>
          </w:p>
        </w:tc>
      </w:tr>
      <w:tr w:rsidR="00B95A56" w:rsidRPr="00147EFA" w14:paraId="25F7C916" w14:textId="77777777" w:rsidTr="00212799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53CCA870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LV enlargement</w:t>
            </w:r>
          </w:p>
        </w:tc>
        <w:tc>
          <w:tcPr>
            <w:tcW w:w="4441" w:type="dxa"/>
          </w:tcPr>
          <w:p w14:paraId="6D66B6AA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LVEDV indexed to body surface area: </w:t>
            </w:r>
          </w:p>
          <w:p w14:paraId="187A79C4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Female &gt; 61 ml/m</w:t>
            </w:r>
            <w:r w:rsidRPr="00950CE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  <w:p w14:paraId="2D9E1E29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Male &gt; 74 ml/m</w:t>
            </w:r>
            <w:r w:rsidRPr="00950CE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</w:tr>
      <w:tr w:rsidR="00B95A56" w:rsidRPr="00147EFA" w14:paraId="07A4259D" w14:textId="77777777" w:rsidTr="00212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2DEA21B1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LV hypertrophy</w:t>
            </w:r>
          </w:p>
        </w:tc>
        <w:tc>
          <w:tcPr>
            <w:tcW w:w="4441" w:type="dxa"/>
          </w:tcPr>
          <w:p w14:paraId="0A1B4ED5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LV mass indexed to body surface area:</w:t>
            </w:r>
          </w:p>
          <w:p w14:paraId="54ABF873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Female &gt;96 g/m</w:t>
            </w:r>
            <w:r w:rsidRPr="00950CE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  <w:p w14:paraId="64674105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Male &gt;116 g/m</w:t>
            </w:r>
            <w:r w:rsidRPr="00950CE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  <w:p w14:paraId="68365693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A56" w:rsidRPr="00147EFA" w14:paraId="194229E7" w14:textId="77777777" w:rsidTr="00212799">
        <w:trPr>
          <w:trHeight w:val="1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3F43B434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Abnormal diastolic function</w:t>
            </w:r>
          </w:p>
        </w:tc>
        <w:tc>
          <w:tcPr>
            <w:tcW w:w="4441" w:type="dxa"/>
          </w:tcPr>
          <w:p w14:paraId="23650343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e’ septal:</w:t>
            </w:r>
          </w:p>
          <w:p w14:paraId="753AE90B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Female &lt; 4.1 cm/s</w:t>
            </w:r>
          </w:p>
          <w:p w14:paraId="700B44AD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Male &lt; 4.3 cm/s </w:t>
            </w:r>
          </w:p>
          <w:p w14:paraId="7B56A072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14:paraId="45564281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Lateral E/e′ ratio &gt; 13 or Septal E/e′ &gt; 15 </w:t>
            </w:r>
          </w:p>
        </w:tc>
      </w:tr>
      <w:tr w:rsidR="00B95A56" w:rsidRPr="00950CEE" w14:paraId="18456B8F" w14:textId="77777777" w:rsidTr="00212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1A4E50FF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Left atrial enlargement</w:t>
            </w:r>
          </w:p>
        </w:tc>
        <w:tc>
          <w:tcPr>
            <w:tcW w:w="4441" w:type="dxa"/>
          </w:tcPr>
          <w:p w14:paraId="49860474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Left atrial volume indexed to body surface:</w:t>
            </w:r>
          </w:p>
          <w:p w14:paraId="3565AA5C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 ≥35 ml/m</w:t>
            </w:r>
            <w:r w:rsidRPr="00950CEE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2 </w:t>
            </w:r>
          </w:p>
        </w:tc>
      </w:tr>
      <w:tr w:rsidR="00B95A56" w:rsidRPr="00950CEE" w14:paraId="4F7E68C3" w14:textId="77777777" w:rsidTr="00212799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3A3C0226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Global Longitudinal Strain</w:t>
            </w:r>
          </w:p>
        </w:tc>
        <w:tc>
          <w:tcPr>
            <w:tcW w:w="4441" w:type="dxa"/>
          </w:tcPr>
          <w:p w14:paraId="2B2B444C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Study definition of abnormal GLS:</w:t>
            </w:r>
          </w:p>
          <w:p w14:paraId="35E7DEF1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Female &gt; -15.3 % </w:t>
            </w:r>
          </w:p>
          <w:p w14:paraId="1B609A65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Male &gt; -14.7 % </w:t>
            </w:r>
          </w:p>
          <w:p w14:paraId="640FDC2C" w14:textId="77777777" w:rsidR="00B95A56" w:rsidRPr="00950CEE" w:rsidRDefault="00B95A56" w:rsidP="0021279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A56" w:rsidRPr="00950CEE" w14:paraId="64FBEDAF" w14:textId="77777777" w:rsidTr="00212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64" w:type="dxa"/>
          </w:tcPr>
          <w:p w14:paraId="3F85E671" w14:textId="77777777" w:rsidR="00B95A56" w:rsidRPr="00950CEE" w:rsidRDefault="00B95A56" w:rsidP="00212799">
            <w:pPr>
              <w:spacing w:line="360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Significant valve disease</w:t>
            </w:r>
          </w:p>
        </w:tc>
        <w:tc>
          <w:tcPr>
            <w:tcW w:w="4441" w:type="dxa"/>
          </w:tcPr>
          <w:p w14:paraId="0EE66295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Moderate-severe Aortic Stenosis – aortic valve area &lt; 1cm</w:t>
            </w:r>
            <w:r w:rsidRPr="00950CEE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  <w:p w14:paraId="3760A653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Moderate-severe Aortic Regurgitation - visual judgment</w:t>
            </w:r>
          </w:p>
          <w:p w14:paraId="11D9A0D6" w14:textId="77777777" w:rsidR="00B95A56" w:rsidRPr="00950CEE" w:rsidRDefault="00B95A56" w:rsidP="0021279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Severe Mitral Stenosis - PG mean &gt; 12mmHg</w:t>
            </w:r>
          </w:p>
        </w:tc>
      </w:tr>
    </w:tbl>
    <w:p w14:paraId="2FDA3867" w14:textId="77777777" w:rsidR="00B95A56" w:rsidRPr="00950CEE" w:rsidRDefault="00B95A56" w:rsidP="00B95A56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b/>
          <w:lang w:val="en-US"/>
        </w:rPr>
        <w:t>Supplementary Table S2</w:t>
      </w:r>
      <w:r w:rsidRPr="00950CEE">
        <w:rPr>
          <w:rFonts w:ascii="Times New Roman" w:hAnsi="Times New Roman" w:cs="Times New Roman"/>
          <w:bCs/>
          <w:i/>
          <w:iCs/>
          <w:lang w:val="en-US"/>
        </w:rPr>
        <w:t xml:space="preserve">: </w:t>
      </w:r>
      <w:r w:rsidRPr="00950CE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Definition of abnormal echocardiographic parameters in the Copenhagen Heart Failure Risk Study.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Abbreviations: LVEF, left ventricle ejection fraction; LV, left ventricle; LVEDV, left ventricle end-diastolic diameter volume; e’,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myocardial peak early velocity;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E, peak velocity of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GB"/>
        </w:rPr>
        <w:t>early mitral inflow;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GLS, global longitudinal strain.</w:t>
      </w:r>
    </w:p>
    <w:p w14:paraId="61B29B7C" w14:textId="77777777" w:rsidR="00B95A56" w:rsidRPr="00950CEE" w:rsidRDefault="00B95A56" w:rsidP="00B95A56">
      <w:pPr>
        <w:pStyle w:val="Listeafsnit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-Gitter"/>
        <w:tblW w:w="9766" w:type="dxa"/>
        <w:tblLook w:val="00A0" w:firstRow="1" w:lastRow="0" w:firstColumn="1" w:lastColumn="0" w:noHBand="0" w:noVBand="0"/>
      </w:tblPr>
      <w:tblGrid>
        <w:gridCol w:w="2547"/>
        <w:gridCol w:w="3487"/>
        <w:gridCol w:w="3732"/>
      </w:tblGrid>
      <w:tr w:rsidR="00B95A56" w:rsidRPr="00950CEE" w14:paraId="3CEABC2B" w14:textId="77777777" w:rsidTr="00212799">
        <w:trPr>
          <w:trHeight w:val="444"/>
        </w:trPr>
        <w:tc>
          <w:tcPr>
            <w:tcW w:w="2547" w:type="dxa"/>
          </w:tcPr>
          <w:p w14:paraId="1C03DC9C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487" w:type="dxa"/>
          </w:tcPr>
          <w:p w14:paraId="5B330A1D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Details on definition</w:t>
            </w:r>
          </w:p>
        </w:tc>
        <w:tc>
          <w:tcPr>
            <w:tcW w:w="3732" w:type="dxa"/>
          </w:tcPr>
          <w:p w14:paraId="5017D247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ICD-10 and procedure codes</w:t>
            </w:r>
          </w:p>
        </w:tc>
      </w:tr>
      <w:tr w:rsidR="00B95A56" w:rsidRPr="00950CEE" w14:paraId="33569BCC" w14:textId="77777777" w:rsidTr="00212799">
        <w:trPr>
          <w:trHeight w:val="288"/>
        </w:trPr>
        <w:tc>
          <w:tcPr>
            <w:tcW w:w="9766" w:type="dxa"/>
            <w:gridSpan w:val="3"/>
          </w:tcPr>
          <w:p w14:paraId="14419750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50CEE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Outcome</w:t>
            </w:r>
          </w:p>
        </w:tc>
      </w:tr>
      <w:tr w:rsidR="00B95A56" w:rsidRPr="00950CEE" w14:paraId="4BEFAA3D" w14:textId="77777777" w:rsidTr="00212799">
        <w:trPr>
          <w:trHeight w:val="288"/>
        </w:trPr>
        <w:tc>
          <w:tcPr>
            <w:tcW w:w="2547" w:type="dxa"/>
          </w:tcPr>
          <w:p w14:paraId="1CA3C2BE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Heart failure hospitalization</w:t>
            </w:r>
          </w:p>
        </w:tc>
        <w:tc>
          <w:tcPr>
            <w:tcW w:w="3487" w:type="dxa"/>
          </w:tcPr>
          <w:p w14:paraId="5172C080" w14:textId="77777777" w:rsidR="00B95A56" w:rsidRPr="00950CEE" w:rsidRDefault="00B95A56" w:rsidP="00212799">
            <w:pPr>
              <w:spacing w:line="276" w:lineRule="auto"/>
              <w:ind w:left="-10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Defined as an overnight stay with a discharge diagnosis codes including heart failure, cardiomyopathies, hypertensive heart failure.</w:t>
            </w:r>
          </w:p>
          <w:p w14:paraId="3A4FC14C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32" w:type="dxa"/>
          </w:tcPr>
          <w:p w14:paraId="20B74F70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</w:rPr>
              <w:t xml:space="preserve">ICD-10: </w:t>
            </w:r>
            <w:bookmarkStart w:id="0" w:name="_Hlk57125657"/>
            <w:r w:rsidRPr="00950CEE">
              <w:rPr>
                <w:rFonts w:ascii="Times New Roman" w:hAnsi="Times New Roman" w:cs="Times New Roman"/>
                <w:sz w:val="18"/>
                <w:szCs w:val="18"/>
              </w:rPr>
              <w:t>I110, I130, I132, I42, I426-29, I50</w:t>
            </w:r>
            <w:bookmarkEnd w:id="0"/>
          </w:p>
          <w:p w14:paraId="336F3276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5A56" w:rsidRPr="00147EFA" w14:paraId="397E711A" w14:textId="77777777" w:rsidTr="00212799">
        <w:trPr>
          <w:trHeight w:val="288"/>
        </w:trPr>
        <w:tc>
          <w:tcPr>
            <w:tcW w:w="2547" w:type="dxa"/>
          </w:tcPr>
          <w:p w14:paraId="4462CA0A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Fatal and non-fatal ischemic heart disease </w:t>
            </w:r>
          </w:p>
        </w:tc>
        <w:tc>
          <w:tcPr>
            <w:tcW w:w="3487" w:type="dxa"/>
          </w:tcPr>
          <w:p w14:paraId="1CEDC058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Defined from diagnosis and procedural </w:t>
            </w:r>
            <w:proofErr w:type="gramStart"/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codes</w:t>
            </w:r>
            <w:proofErr w:type="gramEnd"/>
          </w:p>
          <w:p w14:paraId="67F8BA38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C0CF6C5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 fatal event was defined as having a diagnosis of myocardial infarction in the underlying cause of death. </w:t>
            </w:r>
          </w:p>
        </w:tc>
        <w:tc>
          <w:tcPr>
            <w:tcW w:w="3732" w:type="dxa"/>
          </w:tcPr>
          <w:p w14:paraId="2863CA25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ICD-10: I21-22, I20</w:t>
            </w:r>
          </w:p>
          <w:p w14:paraId="174EBA78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CABG: KFNA, KFNB, KFNC, KFND, KFNE</w:t>
            </w:r>
          </w:p>
          <w:p w14:paraId="42545CF1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PCI: KFNG02, KFNG05, KFNG10, KFNG12, KFNG02A, KFNG05A</w:t>
            </w:r>
          </w:p>
        </w:tc>
      </w:tr>
      <w:tr w:rsidR="00B95A56" w:rsidRPr="00950CEE" w14:paraId="702ECD89" w14:textId="77777777" w:rsidTr="00212799">
        <w:trPr>
          <w:trHeight w:val="288"/>
        </w:trPr>
        <w:tc>
          <w:tcPr>
            <w:tcW w:w="2547" w:type="dxa"/>
          </w:tcPr>
          <w:p w14:paraId="42C5CD55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Fatal and non-fatal stroke</w:t>
            </w:r>
          </w:p>
        </w:tc>
        <w:tc>
          <w:tcPr>
            <w:tcW w:w="3487" w:type="dxa"/>
          </w:tcPr>
          <w:p w14:paraId="39631C62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Defined from </w:t>
            </w:r>
            <w:proofErr w:type="gramStart"/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  <w:proofErr w:type="gramEnd"/>
          </w:p>
          <w:p w14:paraId="2A44A1A9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5FAA3DE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 fatal event was defined as having a diagnosis of stroke in the underlying cause of death.</w:t>
            </w:r>
          </w:p>
        </w:tc>
        <w:tc>
          <w:tcPr>
            <w:tcW w:w="3732" w:type="dxa"/>
          </w:tcPr>
          <w:p w14:paraId="1B6D3C77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ICD-10: I60-64</w:t>
            </w:r>
          </w:p>
          <w:p w14:paraId="48B55947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95A56" w:rsidRPr="00950CEE" w14:paraId="32EEDEC1" w14:textId="77777777" w:rsidTr="00212799">
        <w:trPr>
          <w:trHeight w:val="288"/>
        </w:trPr>
        <w:tc>
          <w:tcPr>
            <w:tcW w:w="2547" w:type="dxa"/>
          </w:tcPr>
          <w:p w14:paraId="4E8FEB51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Non-cardiovascular</w:t>
            </w:r>
          </w:p>
        </w:tc>
        <w:tc>
          <w:tcPr>
            <w:tcW w:w="3487" w:type="dxa"/>
          </w:tcPr>
          <w:p w14:paraId="024367A8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Defined from diagnosis </w:t>
            </w:r>
            <w:proofErr w:type="gramStart"/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codes</w:t>
            </w:r>
            <w:proofErr w:type="gramEnd"/>
          </w:p>
          <w:p w14:paraId="6EEC5AB7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32" w:type="dxa"/>
          </w:tcPr>
          <w:p w14:paraId="7C6111A5" w14:textId="77777777" w:rsidR="00B95A56" w:rsidRPr="00950CEE" w:rsidRDefault="00B95A56" w:rsidP="0021279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50C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ICD-10: other than I01-99</w:t>
            </w:r>
          </w:p>
        </w:tc>
      </w:tr>
    </w:tbl>
    <w:p w14:paraId="10E456AD" w14:textId="77777777" w:rsidR="00B95A56" w:rsidRPr="00950CEE" w:rsidRDefault="00B95A56" w:rsidP="00B95A56">
      <w:pPr>
        <w:suppressAutoHyphens/>
        <w:spacing w:line="480" w:lineRule="auto"/>
        <w:rPr>
          <w:rFonts w:ascii="Times New Roman" w:hAnsi="Times New Roman" w:cs="Times New Roman"/>
          <w:sz w:val="24"/>
          <w:szCs w:val="24"/>
          <w:lang w:val="en-US" w:eastAsia="da-DK"/>
        </w:rPr>
      </w:pPr>
      <w:r w:rsidRPr="00950CE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S3: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ICD codes used for outcomes and procedure codes. CABG, coronary artery bypass grafting; </w:t>
      </w:r>
      <w:r w:rsidRPr="00950CE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IHD,</w:t>
      </w:r>
      <w:r w:rsidRPr="00950CE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r w:rsidRPr="00950CE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>ischemic heart disease; PCI,</w:t>
      </w:r>
      <w:r w:rsidRPr="00950CEE">
        <w:rPr>
          <w:i/>
          <w:iCs/>
          <w:sz w:val="24"/>
          <w:szCs w:val="24"/>
          <w:lang w:val="en-US"/>
        </w:rPr>
        <w:t xml:space="preserve"> </w:t>
      </w:r>
      <w:r w:rsidRPr="00950CE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percutaneous coronary intervention;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 w:eastAsia="da-DK"/>
        </w:rPr>
        <w:t>ICD-10, 10</w:t>
      </w:r>
      <w:r w:rsidRPr="00950CEE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 w:eastAsia="da-DK"/>
        </w:rPr>
        <w:t>th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 w:eastAsia="da-DK"/>
        </w:rPr>
        <w:t> revision of the International Classification of Diseases system.</w:t>
      </w:r>
    </w:p>
    <w:p w14:paraId="22DDE60B" w14:textId="77777777" w:rsidR="00B95A56" w:rsidRPr="00950CEE" w:rsidRDefault="00B95A56" w:rsidP="00B95A56">
      <w:pPr>
        <w:suppressAutoHyphens/>
        <w:spacing w:line="240" w:lineRule="auto"/>
        <w:rPr>
          <w:rFonts w:ascii="Times New Roman" w:hAnsi="Times New Roman" w:cs="Times New Roman"/>
          <w:i/>
          <w:iCs/>
          <w:lang w:val="en-US" w:eastAsia="da-DK"/>
        </w:rPr>
      </w:pPr>
    </w:p>
    <w:p w14:paraId="35CEFA81" w14:textId="77777777" w:rsidR="00B95A56" w:rsidRPr="00950CEE" w:rsidRDefault="00B95A56" w:rsidP="00B95A56">
      <w:pPr>
        <w:suppressAutoHyphens/>
        <w:spacing w:line="240" w:lineRule="auto"/>
        <w:rPr>
          <w:rFonts w:ascii="Times New Roman" w:hAnsi="Times New Roman" w:cs="Times New Roman"/>
          <w:i/>
          <w:iCs/>
          <w:lang w:val="en-US" w:eastAsia="da-DK"/>
        </w:rPr>
      </w:pPr>
    </w:p>
    <w:p w14:paraId="606CFDC7" w14:textId="77777777" w:rsidR="00B95A56" w:rsidRPr="00950CEE" w:rsidRDefault="00B95A56" w:rsidP="00B95A56">
      <w:pPr>
        <w:suppressAutoHyphens/>
        <w:spacing w:line="240" w:lineRule="auto"/>
        <w:rPr>
          <w:rFonts w:ascii="Times New Roman" w:hAnsi="Times New Roman" w:cs="Times New Roman"/>
          <w:i/>
          <w:iCs/>
          <w:lang w:val="en-US" w:eastAsia="da-DK"/>
        </w:rPr>
      </w:pPr>
    </w:p>
    <w:p w14:paraId="5050B01B" w14:textId="77777777" w:rsidR="00B95A56" w:rsidRPr="00950CEE" w:rsidRDefault="00B95A56" w:rsidP="00B95A56">
      <w:pPr>
        <w:suppressAutoHyphens/>
        <w:spacing w:line="240" w:lineRule="auto"/>
        <w:rPr>
          <w:rFonts w:ascii="Times New Roman" w:hAnsi="Times New Roman" w:cs="Times New Roman"/>
          <w:i/>
          <w:iCs/>
          <w:lang w:val="en-US" w:eastAsia="da-DK"/>
        </w:rPr>
      </w:pPr>
    </w:p>
    <w:p w14:paraId="4280DC77" w14:textId="77777777" w:rsidR="00B95A56" w:rsidRPr="00950CEE" w:rsidRDefault="00B95A56" w:rsidP="00B95A56">
      <w:pPr>
        <w:suppressAutoHyphens/>
        <w:spacing w:line="240" w:lineRule="auto"/>
        <w:rPr>
          <w:rFonts w:ascii="Times New Roman" w:eastAsia="MS Mincho" w:hAnsi="Times New Roman" w:cs="Times New Roman"/>
          <w:i/>
          <w:iCs/>
          <w:lang w:val="en-US"/>
        </w:rPr>
      </w:pPr>
    </w:p>
    <w:p w14:paraId="6496A735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  <w:r w:rsidRPr="00950CEE">
        <w:rPr>
          <w:noProof/>
        </w:rPr>
        <w:lastRenderedPageBreak/>
        <w:drawing>
          <wp:inline distT="0" distB="0" distL="0" distR="0" wp14:anchorId="338DBA31" wp14:editId="5F2CAC8F">
            <wp:extent cx="6120130" cy="4037330"/>
            <wp:effectExtent l="0" t="0" r="0" b="127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7E44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figure 1a-d: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Cumulative incidence curves for the individual outcomes of </w:t>
      </w:r>
      <w:r w:rsidRPr="00950CE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(a)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HFH, </w:t>
      </w:r>
      <w:r w:rsidRPr="00950CE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(b)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all-cause death, </w:t>
      </w:r>
      <w:r w:rsidRPr="00950CE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(c)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stroke, and </w:t>
      </w:r>
      <w:r w:rsidRPr="00950CE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(d)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IHD by HF stage. Total number of events were HFH: 14, IHD: 22, stroke: 18, all cause death: 29. HFH, heart failure hospitalization; IHD, Ischemic heart disease.</w:t>
      </w:r>
    </w:p>
    <w:p w14:paraId="558D9A4B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346513CE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24B5872D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630F8BCF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66736275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73950FAC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38872C46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34BA5DC2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6CABBDA1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p w14:paraId="1396C7BF" w14:textId="77777777" w:rsidR="00B95A56" w:rsidRPr="00950CEE" w:rsidRDefault="00B95A56" w:rsidP="00B95A56">
      <w:pPr>
        <w:rPr>
          <w:rFonts w:ascii="Times New Roman" w:hAnsi="Times New Roman" w:cs="Times New Roman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1203"/>
        <w:gridCol w:w="1204"/>
        <w:gridCol w:w="2407"/>
        <w:gridCol w:w="2407"/>
      </w:tblGrid>
      <w:tr w:rsidR="00B95A56" w:rsidRPr="00950CEE" w14:paraId="6F9EB5AB" w14:textId="77777777" w:rsidTr="00212799">
        <w:tc>
          <w:tcPr>
            <w:tcW w:w="2407" w:type="dxa"/>
            <w:shd w:val="clear" w:color="auto" w:fill="auto"/>
          </w:tcPr>
          <w:p w14:paraId="1A79A06A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Variables</w:t>
            </w:r>
          </w:p>
        </w:tc>
        <w:tc>
          <w:tcPr>
            <w:tcW w:w="2407" w:type="dxa"/>
            <w:gridSpan w:val="2"/>
            <w:shd w:val="clear" w:color="auto" w:fill="auto"/>
          </w:tcPr>
          <w:p w14:paraId="470BB48F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Hazard ratio</w:t>
            </w:r>
          </w:p>
        </w:tc>
        <w:tc>
          <w:tcPr>
            <w:tcW w:w="2407" w:type="dxa"/>
            <w:shd w:val="clear" w:color="auto" w:fill="auto"/>
          </w:tcPr>
          <w:p w14:paraId="271AB8AE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95 % CI</w:t>
            </w:r>
          </w:p>
        </w:tc>
        <w:tc>
          <w:tcPr>
            <w:tcW w:w="2407" w:type="dxa"/>
            <w:shd w:val="clear" w:color="auto" w:fill="auto"/>
          </w:tcPr>
          <w:p w14:paraId="472B9FCF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P-value</w:t>
            </w:r>
          </w:p>
        </w:tc>
      </w:tr>
      <w:tr w:rsidR="00B95A56" w:rsidRPr="00950CEE" w14:paraId="1467A3B1" w14:textId="77777777" w:rsidTr="00212799">
        <w:tc>
          <w:tcPr>
            <w:tcW w:w="2407" w:type="dxa"/>
            <w:shd w:val="clear" w:color="auto" w:fill="FFFFFF" w:themeFill="background1"/>
          </w:tcPr>
          <w:p w14:paraId="36AC496C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HF stage</w:t>
            </w:r>
          </w:p>
        </w:tc>
        <w:tc>
          <w:tcPr>
            <w:tcW w:w="1203" w:type="dxa"/>
            <w:shd w:val="clear" w:color="auto" w:fill="FFFFFF" w:themeFill="background1"/>
          </w:tcPr>
          <w:p w14:paraId="0A898815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A</w:t>
            </w:r>
          </w:p>
        </w:tc>
        <w:tc>
          <w:tcPr>
            <w:tcW w:w="1204" w:type="dxa"/>
            <w:shd w:val="clear" w:color="auto" w:fill="FFFFFF" w:themeFill="background1"/>
          </w:tcPr>
          <w:p w14:paraId="59364AE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Ref</w:t>
            </w:r>
          </w:p>
        </w:tc>
        <w:tc>
          <w:tcPr>
            <w:tcW w:w="2407" w:type="dxa"/>
            <w:shd w:val="clear" w:color="auto" w:fill="FFFFFF" w:themeFill="background1"/>
          </w:tcPr>
          <w:p w14:paraId="12E5098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7ABC9BF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A56" w:rsidRPr="00950CEE" w14:paraId="27D375F0" w14:textId="77777777" w:rsidTr="00212799">
        <w:tc>
          <w:tcPr>
            <w:tcW w:w="2407" w:type="dxa"/>
            <w:shd w:val="clear" w:color="auto" w:fill="FFFFFF" w:themeFill="background1"/>
          </w:tcPr>
          <w:p w14:paraId="66FF8827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3" w:type="dxa"/>
            <w:shd w:val="clear" w:color="auto" w:fill="FFFFFF" w:themeFill="background1"/>
          </w:tcPr>
          <w:p w14:paraId="74172B9D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204" w:type="dxa"/>
            <w:shd w:val="clear" w:color="auto" w:fill="FFFFFF" w:themeFill="background1"/>
          </w:tcPr>
          <w:p w14:paraId="37F11202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2407" w:type="dxa"/>
            <w:shd w:val="clear" w:color="auto" w:fill="FFFFFF" w:themeFill="background1"/>
          </w:tcPr>
          <w:p w14:paraId="364CA6D3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[0.85;2.51]</w:t>
            </w:r>
          </w:p>
        </w:tc>
        <w:tc>
          <w:tcPr>
            <w:tcW w:w="2407" w:type="dxa"/>
            <w:shd w:val="clear" w:color="auto" w:fill="FFFFFF" w:themeFill="background1"/>
          </w:tcPr>
          <w:p w14:paraId="35A8CD29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0.1661</w:t>
            </w:r>
          </w:p>
        </w:tc>
      </w:tr>
      <w:tr w:rsidR="00B95A56" w:rsidRPr="00950CEE" w14:paraId="5EC8C619" w14:textId="77777777" w:rsidTr="00212799">
        <w:trPr>
          <w:trHeight w:val="50"/>
        </w:trPr>
        <w:tc>
          <w:tcPr>
            <w:tcW w:w="2407" w:type="dxa"/>
            <w:shd w:val="clear" w:color="auto" w:fill="FFFFFF" w:themeFill="background1"/>
          </w:tcPr>
          <w:p w14:paraId="76603C12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3" w:type="dxa"/>
            <w:shd w:val="clear" w:color="auto" w:fill="FFFFFF" w:themeFill="background1"/>
          </w:tcPr>
          <w:p w14:paraId="64ED6E1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1204" w:type="dxa"/>
            <w:shd w:val="clear" w:color="auto" w:fill="FFFFFF" w:themeFill="background1"/>
          </w:tcPr>
          <w:p w14:paraId="03A5ED7C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2.01</w:t>
            </w:r>
          </w:p>
        </w:tc>
        <w:tc>
          <w:tcPr>
            <w:tcW w:w="2407" w:type="dxa"/>
            <w:shd w:val="clear" w:color="auto" w:fill="FFFFFF" w:themeFill="background1"/>
          </w:tcPr>
          <w:p w14:paraId="0F946233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[1.10;3.66]</w:t>
            </w:r>
          </w:p>
        </w:tc>
        <w:tc>
          <w:tcPr>
            <w:tcW w:w="2407" w:type="dxa"/>
            <w:shd w:val="clear" w:color="auto" w:fill="FFFFFF" w:themeFill="background1"/>
          </w:tcPr>
          <w:p w14:paraId="4A880230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0.0224</w:t>
            </w:r>
          </w:p>
        </w:tc>
      </w:tr>
      <w:tr w:rsidR="00B95A56" w:rsidRPr="00950CEE" w14:paraId="697F3DE0" w14:textId="77777777" w:rsidTr="00212799">
        <w:tc>
          <w:tcPr>
            <w:tcW w:w="2407" w:type="dxa"/>
            <w:shd w:val="clear" w:color="auto" w:fill="FFFFFF" w:themeFill="background1"/>
          </w:tcPr>
          <w:p w14:paraId="5764A50B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Sex</w:t>
            </w:r>
          </w:p>
        </w:tc>
        <w:tc>
          <w:tcPr>
            <w:tcW w:w="1203" w:type="dxa"/>
            <w:shd w:val="clear" w:color="auto" w:fill="FFFFFF" w:themeFill="background1"/>
          </w:tcPr>
          <w:p w14:paraId="4B1C696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Female</w:t>
            </w:r>
          </w:p>
        </w:tc>
        <w:tc>
          <w:tcPr>
            <w:tcW w:w="1204" w:type="dxa"/>
            <w:shd w:val="clear" w:color="auto" w:fill="FFFFFF" w:themeFill="background1"/>
          </w:tcPr>
          <w:p w14:paraId="1C05003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Ref</w:t>
            </w:r>
          </w:p>
        </w:tc>
        <w:tc>
          <w:tcPr>
            <w:tcW w:w="2407" w:type="dxa"/>
            <w:shd w:val="clear" w:color="auto" w:fill="FFFFFF" w:themeFill="background1"/>
          </w:tcPr>
          <w:p w14:paraId="06E62FBA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47C19BB5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95A56" w:rsidRPr="00950CEE" w14:paraId="7A9D4900" w14:textId="77777777" w:rsidTr="00212799">
        <w:tc>
          <w:tcPr>
            <w:tcW w:w="2407" w:type="dxa"/>
            <w:shd w:val="clear" w:color="auto" w:fill="FFFFFF" w:themeFill="background1"/>
          </w:tcPr>
          <w:p w14:paraId="5175B362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3" w:type="dxa"/>
            <w:shd w:val="clear" w:color="auto" w:fill="FFFFFF" w:themeFill="background1"/>
          </w:tcPr>
          <w:p w14:paraId="2B6F9DD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Male</w:t>
            </w:r>
          </w:p>
        </w:tc>
        <w:tc>
          <w:tcPr>
            <w:tcW w:w="1204" w:type="dxa"/>
            <w:shd w:val="clear" w:color="auto" w:fill="FFFFFF" w:themeFill="background1"/>
          </w:tcPr>
          <w:p w14:paraId="74079992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1.34</w:t>
            </w:r>
          </w:p>
        </w:tc>
        <w:tc>
          <w:tcPr>
            <w:tcW w:w="2407" w:type="dxa"/>
            <w:shd w:val="clear" w:color="auto" w:fill="FFFFFF" w:themeFill="background1"/>
          </w:tcPr>
          <w:p w14:paraId="629B6D06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[0.86;2.10]</w:t>
            </w:r>
          </w:p>
        </w:tc>
        <w:tc>
          <w:tcPr>
            <w:tcW w:w="2407" w:type="dxa"/>
            <w:shd w:val="clear" w:color="auto" w:fill="FFFFFF" w:themeFill="background1"/>
          </w:tcPr>
          <w:p w14:paraId="7FB26A19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0.2006</w:t>
            </w:r>
          </w:p>
        </w:tc>
      </w:tr>
      <w:tr w:rsidR="00B95A56" w:rsidRPr="00950CEE" w14:paraId="2139CCAC" w14:textId="77777777" w:rsidTr="00212799">
        <w:tc>
          <w:tcPr>
            <w:tcW w:w="2407" w:type="dxa"/>
            <w:shd w:val="clear" w:color="auto" w:fill="FFFFFF" w:themeFill="background1"/>
          </w:tcPr>
          <w:p w14:paraId="7F067204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Age</w:t>
            </w:r>
          </w:p>
        </w:tc>
        <w:tc>
          <w:tcPr>
            <w:tcW w:w="1203" w:type="dxa"/>
            <w:shd w:val="clear" w:color="auto" w:fill="FFFFFF" w:themeFill="background1"/>
          </w:tcPr>
          <w:p w14:paraId="35510EBF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04" w:type="dxa"/>
            <w:shd w:val="clear" w:color="auto" w:fill="FFFFFF" w:themeFill="background1"/>
          </w:tcPr>
          <w:p w14:paraId="01AF82A4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1.06</w:t>
            </w:r>
          </w:p>
        </w:tc>
        <w:tc>
          <w:tcPr>
            <w:tcW w:w="2407" w:type="dxa"/>
            <w:shd w:val="clear" w:color="auto" w:fill="FFFFFF" w:themeFill="background1"/>
          </w:tcPr>
          <w:p w14:paraId="45338B7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[1.03;1.09]</w:t>
            </w:r>
          </w:p>
        </w:tc>
        <w:tc>
          <w:tcPr>
            <w:tcW w:w="2407" w:type="dxa"/>
            <w:shd w:val="clear" w:color="auto" w:fill="FFFFFF" w:themeFill="background1"/>
          </w:tcPr>
          <w:p w14:paraId="657A55C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</w:tbl>
    <w:p w14:paraId="416DB55B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S4: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>A Cox proportional-hazards model adjusted for age and gender to estimate the hazard rate ratio of the composite outcome. Results presented with 95% confidence intervals and p-value.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8D339DA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A5F3936" w14:textId="77777777" w:rsidR="00B95A56" w:rsidRPr="00950CEE" w:rsidRDefault="00B95A56" w:rsidP="00B95A56">
      <w:pPr>
        <w:spacing w:line="360" w:lineRule="auto"/>
        <w:rPr>
          <w:rFonts w:ascii="Times New Roman" w:hAnsi="Times New Roman" w:cs="Times New Roman"/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95A56" w:rsidRPr="00950CEE" w14:paraId="570FC180" w14:textId="77777777" w:rsidTr="00212799">
        <w:tc>
          <w:tcPr>
            <w:tcW w:w="2407" w:type="dxa"/>
            <w:shd w:val="clear" w:color="auto" w:fill="auto"/>
          </w:tcPr>
          <w:p w14:paraId="42229E5D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Non-CV cause</w:t>
            </w:r>
          </w:p>
        </w:tc>
        <w:tc>
          <w:tcPr>
            <w:tcW w:w="2407" w:type="dxa"/>
            <w:shd w:val="clear" w:color="auto" w:fill="auto"/>
          </w:tcPr>
          <w:p w14:paraId="45223625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HF stage A</w:t>
            </w:r>
          </w:p>
          <w:p w14:paraId="4C83F38C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n (%) </w:t>
            </w:r>
          </w:p>
        </w:tc>
        <w:tc>
          <w:tcPr>
            <w:tcW w:w="2407" w:type="dxa"/>
            <w:shd w:val="clear" w:color="auto" w:fill="auto"/>
          </w:tcPr>
          <w:p w14:paraId="7D230DFC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HF stage B</w:t>
            </w:r>
          </w:p>
        </w:tc>
        <w:tc>
          <w:tcPr>
            <w:tcW w:w="2407" w:type="dxa"/>
            <w:shd w:val="clear" w:color="auto" w:fill="auto"/>
          </w:tcPr>
          <w:p w14:paraId="44DC6B5E" w14:textId="77777777" w:rsidR="00B95A56" w:rsidRPr="00950CEE" w:rsidRDefault="00B95A56" w:rsidP="0021279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HF stage C </w:t>
            </w:r>
          </w:p>
        </w:tc>
      </w:tr>
      <w:tr w:rsidR="00B95A56" w:rsidRPr="00950CEE" w14:paraId="180F5612" w14:textId="77777777" w:rsidTr="00212799">
        <w:tc>
          <w:tcPr>
            <w:tcW w:w="2407" w:type="dxa"/>
          </w:tcPr>
          <w:p w14:paraId="127F28DD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Cancer </w:t>
            </w:r>
          </w:p>
        </w:tc>
        <w:tc>
          <w:tcPr>
            <w:tcW w:w="2407" w:type="dxa"/>
          </w:tcPr>
          <w:p w14:paraId="334F6633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4 (6 %)</w:t>
            </w:r>
          </w:p>
        </w:tc>
        <w:tc>
          <w:tcPr>
            <w:tcW w:w="2407" w:type="dxa"/>
          </w:tcPr>
          <w:p w14:paraId="08108A0C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6 (8 %)</w:t>
            </w:r>
          </w:p>
        </w:tc>
        <w:tc>
          <w:tcPr>
            <w:tcW w:w="2407" w:type="dxa"/>
          </w:tcPr>
          <w:p w14:paraId="7D8CA7D3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4 (9 %) </w:t>
            </w:r>
          </w:p>
        </w:tc>
      </w:tr>
      <w:tr w:rsidR="00B95A56" w:rsidRPr="00950CEE" w14:paraId="51F8713D" w14:textId="77777777" w:rsidTr="00212799">
        <w:tc>
          <w:tcPr>
            <w:tcW w:w="2407" w:type="dxa"/>
          </w:tcPr>
          <w:p w14:paraId="1F65B34D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Infection</w:t>
            </w:r>
          </w:p>
        </w:tc>
        <w:tc>
          <w:tcPr>
            <w:tcW w:w="2407" w:type="dxa"/>
          </w:tcPr>
          <w:p w14:paraId="1B9C64BF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12 (18 %)</w:t>
            </w:r>
          </w:p>
        </w:tc>
        <w:tc>
          <w:tcPr>
            <w:tcW w:w="2407" w:type="dxa"/>
          </w:tcPr>
          <w:p w14:paraId="59D1A9B5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12 (15 %)</w:t>
            </w:r>
          </w:p>
        </w:tc>
        <w:tc>
          <w:tcPr>
            <w:tcW w:w="2407" w:type="dxa"/>
          </w:tcPr>
          <w:p w14:paraId="5B68790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4 (9 %)</w:t>
            </w:r>
          </w:p>
        </w:tc>
      </w:tr>
      <w:tr w:rsidR="00B95A56" w:rsidRPr="00950CEE" w14:paraId="6274BB9C" w14:textId="77777777" w:rsidTr="00212799">
        <w:tc>
          <w:tcPr>
            <w:tcW w:w="2407" w:type="dxa"/>
          </w:tcPr>
          <w:p w14:paraId="431D0D9F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Lungs </w:t>
            </w:r>
          </w:p>
        </w:tc>
        <w:tc>
          <w:tcPr>
            <w:tcW w:w="2407" w:type="dxa"/>
          </w:tcPr>
          <w:p w14:paraId="4CA06C25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2 (3 %)</w:t>
            </w:r>
          </w:p>
        </w:tc>
        <w:tc>
          <w:tcPr>
            <w:tcW w:w="2407" w:type="dxa"/>
          </w:tcPr>
          <w:p w14:paraId="4161AA0C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3 (4 %) </w:t>
            </w:r>
          </w:p>
        </w:tc>
        <w:tc>
          <w:tcPr>
            <w:tcW w:w="2407" w:type="dxa"/>
          </w:tcPr>
          <w:p w14:paraId="5AC569B2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4 (9 %)</w:t>
            </w:r>
          </w:p>
        </w:tc>
      </w:tr>
      <w:tr w:rsidR="00B95A56" w:rsidRPr="00950CEE" w14:paraId="51E1A850" w14:textId="77777777" w:rsidTr="00212799">
        <w:tc>
          <w:tcPr>
            <w:tcW w:w="2407" w:type="dxa"/>
          </w:tcPr>
          <w:p w14:paraId="334E49B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Renal</w:t>
            </w:r>
          </w:p>
        </w:tc>
        <w:tc>
          <w:tcPr>
            <w:tcW w:w="2407" w:type="dxa"/>
          </w:tcPr>
          <w:p w14:paraId="5D6F60A6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5 (7 %)</w:t>
            </w:r>
          </w:p>
        </w:tc>
        <w:tc>
          <w:tcPr>
            <w:tcW w:w="2407" w:type="dxa"/>
          </w:tcPr>
          <w:p w14:paraId="14DBB8B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8 (10 %)</w:t>
            </w:r>
          </w:p>
        </w:tc>
        <w:tc>
          <w:tcPr>
            <w:tcW w:w="2407" w:type="dxa"/>
          </w:tcPr>
          <w:p w14:paraId="4C4A1A59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3 (7 %)</w:t>
            </w:r>
          </w:p>
        </w:tc>
      </w:tr>
      <w:tr w:rsidR="00B95A56" w:rsidRPr="00950CEE" w14:paraId="7500D624" w14:textId="77777777" w:rsidTr="00212799">
        <w:tc>
          <w:tcPr>
            <w:tcW w:w="2407" w:type="dxa"/>
          </w:tcPr>
          <w:p w14:paraId="5902F90D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Hematological </w:t>
            </w:r>
          </w:p>
        </w:tc>
        <w:tc>
          <w:tcPr>
            <w:tcW w:w="2407" w:type="dxa"/>
          </w:tcPr>
          <w:p w14:paraId="62194874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 (1 %)</w:t>
            </w:r>
          </w:p>
        </w:tc>
        <w:tc>
          <w:tcPr>
            <w:tcW w:w="2407" w:type="dxa"/>
          </w:tcPr>
          <w:p w14:paraId="7EFD7715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2 (3 %)</w:t>
            </w:r>
          </w:p>
        </w:tc>
        <w:tc>
          <w:tcPr>
            <w:tcW w:w="2407" w:type="dxa"/>
          </w:tcPr>
          <w:p w14:paraId="5CCE64E0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0 (0 %)</w:t>
            </w:r>
          </w:p>
        </w:tc>
      </w:tr>
      <w:tr w:rsidR="00B95A56" w:rsidRPr="00950CEE" w14:paraId="3417584B" w14:textId="77777777" w:rsidTr="00212799">
        <w:tc>
          <w:tcPr>
            <w:tcW w:w="2407" w:type="dxa"/>
          </w:tcPr>
          <w:p w14:paraId="3C240B14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Endocrine</w:t>
            </w:r>
          </w:p>
        </w:tc>
        <w:tc>
          <w:tcPr>
            <w:tcW w:w="2407" w:type="dxa"/>
          </w:tcPr>
          <w:p w14:paraId="4DC9DC9A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 (1 %)</w:t>
            </w:r>
          </w:p>
        </w:tc>
        <w:tc>
          <w:tcPr>
            <w:tcW w:w="2407" w:type="dxa"/>
          </w:tcPr>
          <w:p w14:paraId="5420CDB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4 (5 %) </w:t>
            </w:r>
          </w:p>
        </w:tc>
        <w:tc>
          <w:tcPr>
            <w:tcW w:w="2407" w:type="dxa"/>
          </w:tcPr>
          <w:p w14:paraId="0980FA84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 (2 %)</w:t>
            </w:r>
          </w:p>
        </w:tc>
      </w:tr>
      <w:tr w:rsidR="00B95A56" w:rsidRPr="00950CEE" w14:paraId="2108250F" w14:textId="77777777" w:rsidTr="00212799">
        <w:tc>
          <w:tcPr>
            <w:tcW w:w="2407" w:type="dxa"/>
          </w:tcPr>
          <w:p w14:paraId="7EA313E1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Gastrointestinal</w:t>
            </w:r>
          </w:p>
        </w:tc>
        <w:tc>
          <w:tcPr>
            <w:tcW w:w="2407" w:type="dxa"/>
          </w:tcPr>
          <w:p w14:paraId="513E8863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10 (15 %)</w:t>
            </w:r>
          </w:p>
        </w:tc>
        <w:tc>
          <w:tcPr>
            <w:tcW w:w="2407" w:type="dxa"/>
          </w:tcPr>
          <w:p w14:paraId="67031C4C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8 (10 %)</w:t>
            </w:r>
          </w:p>
        </w:tc>
        <w:tc>
          <w:tcPr>
            <w:tcW w:w="2407" w:type="dxa"/>
          </w:tcPr>
          <w:p w14:paraId="7D6183BF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6 (14 %)</w:t>
            </w:r>
          </w:p>
        </w:tc>
      </w:tr>
      <w:tr w:rsidR="00B95A56" w:rsidRPr="00950CEE" w14:paraId="44D7120F" w14:textId="77777777" w:rsidTr="00212799">
        <w:tc>
          <w:tcPr>
            <w:tcW w:w="2407" w:type="dxa"/>
          </w:tcPr>
          <w:p w14:paraId="50826EDD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Musculoskeletal </w:t>
            </w:r>
          </w:p>
        </w:tc>
        <w:tc>
          <w:tcPr>
            <w:tcW w:w="2407" w:type="dxa"/>
          </w:tcPr>
          <w:p w14:paraId="36E3F9E4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11 (16 %)</w:t>
            </w:r>
          </w:p>
        </w:tc>
        <w:tc>
          <w:tcPr>
            <w:tcW w:w="2407" w:type="dxa"/>
          </w:tcPr>
          <w:p w14:paraId="62F65EFE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9 (11 %) </w:t>
            </w:r>
          </w:p>
        </w:tc>
        <w:tc>
          <w:tcPr>
            <w:tcW w:w="2407" w:type="dxa"/>
          </w:tcPr>
          <w:p w14:paraId="20A714D6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12 (27 %)</w:t>
            </w:r>
          </w:p>
        </w:tc>
      </w:tr>
      <w:tr w:rsidR="00B95A56" w:rsidRPr="00950CEE" w14:paraId="5E6D34A0" w14:textId="77777777" w:rsidTr="00212799">
        <w:tc>
          <w:tcPr>
            <w:tcW w:w="2407" w:type="dxa"/>
          </w:tcPr>
          <w:p w14:paraId="09DCABC2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Nervous</w:t>
            </w:r>
          </w:p>
        </w:tc>
        <w:tc>
          <w:tcPr>
            <w:tcW w:w="2407" w:type="dxa"/>
          </w:tcPr>
          <w:p w14:paraId="71B5F0F0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7 (10 %) </w:t>
            </w:r>
          </w:p>
        </w:tc>
        <w:tc>
          <w:tcPr>
            <w:tcW w:w="2407" w:type="dxa"/>
          </w:tcPr>
          <w:p w14:paraId="6BE9219E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8 (10 %) </w:t>
            </w:r>
          </w:p>
        </w:tc>
        <w:tc>
          <w:tcPr>
            <w:tcW w:w="2407" w:type="dxa"/>
          </w:tcPr>
          <w:p w14:paraId="69BBA31B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2 (5 %)</w:t>
            </w:r>
          </w:p>
        </w:tc>
      </w:tr>
      <w:tr w:rsidR="00B95A56" w:rsidRPr="00950CEE" w14:paraId="081104D3" w14:textId="77777777" w:rsidTr="00212799">
        <w:tc>
          <w:tcPr>
            <w:tcW w:w="2407" w:type="dxa"/>
          </w:tcPr>
          <w:p w14:paraId="1E88B49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 xml:space="preserve">Signs and symptoms </w:t>
            </w:r>
          </w:p>
        </w:tc>
        <w:tc>
          <w:tcPr>
            <w:tcW w:w="2407" w:type="dxa"/>
          </w:tcPr>
          <w:p w14:paraId="7D84F638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14 (21 %)</w:t>
            </w:r>
          </w:p>
        </w:tc>
        <w:tc>
          <w:tcPr>
            <w:tcW w:w="2407" w:type="dxa"/>
          </w:tcPr>
          <w:p w14:paraId="70E6BBBA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19 (24 %)</w:t>
            </w:r>
          </w:p>
        </w:tc>
        <w:tc>
          <w:tcPr>
            <w:tcW w:w="2407" w:type="dxa"/>
          </w:tcPr>
          <w:p w14:paraId="5EBCB24C" w14:textId="77777777" w:rsidR="00B95A56" w:rsidRPr="00950CEE" w:rsidRDefault="00B95A56" w:rsidP="00212799">
            <w:pPr>
              <w:rPr>
                <w:rFonts w:ascii="Times New Roman" w:hAnsi="Times New Roman" w:cs="Times New Roman"/>
                <w:lang w:val="en-US"/>
              </w:rPr>
            </w:pPr>
            <w:r w:rsidRPr="00950CEE">
              <w:rPr>
                <w:rFonts w:ascii="Times New Roman" w:hAnsi="Times New Roman" w:cs="Times New Roman"/>
                <w:lang w:val="en-US"/>
              </w:rPr>
              <w:t>8 (18 %)</w:t>
            </w:r>
          </w:p>
        </w:tc>
      </w:tr>
      <w:tr w:rsidR="00B95A56" w:rsidRPr="00950CEE" w14:paraId="1EBB21CC" w14:textId="77777777" w:rsidTr="00212799">
        <w:tc>
          <w:tcPr>
            <w:tcW w:w="2407" w:type="dxa"/>
          </w:tcPr>
          <w:p w14:paraId="0FF2C5C2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Total </w:t>
            </w:r>
          </w:p>
        </w:tc>
        <w:tc>
          <w:tcPr>
            <w:tcW w:w="2407" w:type="dxa"/>
          </w:tcPr>
          <w:p w14:paraId="6F99524E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67 (100 %)</w:t>
            </w:r>
          </w:p>
        </w:tc>
        <w:tc>
          <w:tcPr>
            <w:tcW w:w="2407" w:type="dxa"/>
          </w:tcPr>
          <w:p w14:paraId="67F76854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79 (100%)</w:t>
            </w:r>
          </w:p>
        </w:tc>
        <w:tc>
          <w:tcPr>
            <w:tcW w:w="2407" w:type="dxa"/>
          </w:tcPr>
          <w:p w14:paraId="196A513C" w14:textId="77777777" w:rsidR="00B95A56" w:rsidRPr="00950CEE" w:rsidRDefault="00B95A56" w:rsidP="0021279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50CEE">
              <w:rPr>
                <w:rFonts w:ascii="Times New Roman" w:hAnsi="Times New Roman" w:cs="Times New Roman"/>
                <w:b/>
                <w:bCs/>
                <w:lang w:val="en-US"/>
              </w:rPr>
              <w:t>44 (100 %)</w:t>
            </w:r>
          </w:p>
        </w:tc>
      </w:tr>
    </w:tbl>
    <w:p w14:paraId="0C0C4F07" w14:textId="77777777" w:rsidR="00B95A56" w:rsidRPr="00950CEE" w:rsidRDefault="00B95A56" w:rsidP="00B95A5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0CE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S5: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0CEE">
        <w:rPr>
          <w:rFonts w:ascii="Times New Roman" w:hAnsi="Times New Roman" w:cs="Times New Roman"/>
          <w:i/>
          <w:iCs/>
          <w:sz w:val="24"/>
          <w:szCs w:val="24"/>
          <w:lang w:val="en-US"/>
        </w:rPr>
        <w:t>Cause of first non-CV hospitalization by HF stage in numbers and percentages by HF stage. Non-CV, non-cardiovascular</w:t>
      </w:r>
      <w:r w:rsidRPr="00950CE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4070B2" w14:textId="77777777" w:rsidR="00B95A56" w:rsidRPr="00950CEE" w:rsidRDefault="00B95A56" w:rsidP="00B95A56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6303C7F" w14:textId="77777777" w:rsidR="00B95A56" w:rsidRPr="00950CEE" w:rsidRDefault="00B95A56" w:rsidP="00B95A56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6606D16B" w14:textId="77777777" w:rsidR="009F0919" w:rsidRDefault="009F0919"/>
    <w:sectPr w:rsidR="009F0919">
      <w:foot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42168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E4E415" w14:textId="77777777" w:rsidR="008B7D7D" w:rsidRDefault="00A24C5F">
            <w:pPr>
              <w:pStyle w:val="Sidefod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ED651" w14:textId="77777777" w:rsidR="008B7D7D" w:rsidRDefault="00A24C5F">
    <w:pPr>
      <w:pStyle w:val="Sidefo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1A4F01"/>
    <w:multiLevelType w:val="hybridMultilevel"/>
    <w:tmpl w:val="110AF4B6"/>
    <w:lvl w:ilvl="0" w:tplc="1174FD68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A56"/>
    <w:rsid w:val="005D791E"/>
    <w:rsid w:val="005F63C1"/>
    <w:rsid w:val="009F0919"/>
    <w:rsid w:val="00A24C5F"/>
    <w:rsid w:val="00B9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08A12"/>
  <w15:chartTrackingRefBased/>
  <w15:docId w15:val="{9C3BA86E-A1D3-4764-B583-05922139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A5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B95A5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5A56"/>
  </w:style>
  <w:style w:type="paragraph" w:styleId="Listeafsnit">
    <w:name w:val="List Paragraph"/>
    <w:basedOn w:val="Normal"/>
    <w:uiPriority w:val="34"/>
    <w:qFormat/>
    <w:rsid w:val="00B95A56"/>
    <w:pPr>
      <w:spacing w:after="0" w:line="240" w:lineRule="auto"/>
      <w:ind w:left="720"/>
      <w:contextualSpacing/>
    </w:pPr>
    <w:rPr>
      <w:rFonts w:ascii="Calibri" w:hAnsi="Calibri" w:cs="Calibri"/>
    </w:rPr>
  </w:style>
  <w:style w:type="table" w:styleId="Tabel-Gitter">
    <w:name w:val="Table Grid"/>
    <w:basedOn w:val="Tabel-Normal"/>
    <w:uiPriority w:val="39"/>
    <w:rsid w:val="00B95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2">
    <w:name w:val="Plain Table 2"/>
    <w:basedOn w:val="Tabel-Normal"/>
    <w:uiPriority w:val="42"/>
    <w:rsid w:val="00B95A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701</Words>
  <Characters>4282</Characters>
  <Application>Microsoft Office Word</Application>
  <DocSecurity>0</DocSecurity>
  <Lines>35</Lines>
  <Paragraphs>9</Paragraphs>
  <ScaleCrop>false</ScaleCrop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Saaima Parveen</dc:creator>
  <cp:keywords/>
  <dc:description/>
  <cp:lastModifiedBy>Saaima Parveen</cp:lastModifiedBy>
  <cp:revision>4</cp:revision>
  <dcterms:created xsi:type="dcterms:W3CDTF">2021-03-12T11:22:00Z</dcterms:created>
  <dcterms:modified xsi:type="dcterms:W3CDTF">2021-03-12T12:12:00Z</dcterms:modified>
</cp:coreProperties>
</file>