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right="84" w:rightChars="40"/>
        <w:rPr>
          <w:rFonts w:ascii="Arial" w:hAnsi="Arial" w:cs="Arial"/>
          <w:b/>
          <w:color w:val="000000" w:themeColor="text1"/>
          <w:sz w:val="15"/>
          <w:szCs w:val="15"/>
          <w:shd w:val="clear" w:color="auto" w:fill="FFFFFF"/>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"C:/Users/minmin/AppData/Local/youdao/dict/Application/8.9.3.0/resultui/html/index.html" \l "/javascript:;" </w:instrText>
      </w:r>
      <w:r>
        <w:rPr>
          <w:color w:val="000000" w:themeColor="text1"/>
          <w14:textFill>
            <w14:solidFill>
              <w14:schemeClr w14:val="tx1"/>
            </w14:solidFill>
          </w14:textFill>
        </w:rPr>
        <w:fldChar w:fldCharType="separate"/>
      </w:r>
      <w:r>
        <w:rPr>
          <w:rStyle w:val="12"/>
          <w:rFonts w:ascii="Times New Roman" w:hAnsi="Times New Roman"/>
          <w:b/>
          <w:color w:val="000000" w:themeColor="text1"/>
          <w:sz w:val="24"/>
          <w:u w:val="none"/>
          <w:shd w:val="clear" w:color="auto" w:fill="FFFFFF"/>
          <w14:textFill>
            <w14:solidFill>
              <w14:schemeClr w14:val="tx1"/>
            </w14:solidFill>
          </w14:textFill>
        </w:rPr>
        <w:t>Supplementary</w:t>
      </w:r>
      <w:r>
        <w:rPr>
          <w:rStyle w:val="12"/>
          <w:rFonts w:ascii="Times New Roman" w:hAnsi="Times New Roman"/>
          <w:b/>
          <w:color w:val="000000" w:themeColor="text1"/>
          <w:sz w:val="24"/>
          <w:u w:val="none"/>
          <w:shd w:val="clear" w:color="auto" w:fill="FFFFFF"/>
          <w14:textFill>
            <w14:solidFill>
              <w14:schemeClr w14:val="tx1"/>
            </w14:solidFill>
          </w14:textFill>
        </w:rPr>
        <w:fldChar w:fldCharType="end"/>
      </w:r>
      <w:r>
        <w:rPr>
          <w:rFonts w:ascii="Times New Roman" w:hAnsi="Times New Roman"/>
          <w:b/>
          <w:color w:val="000000" w:themeColor="text1"/>
          <w:sz w:val="24"/>
          <w:shd w:val="clear" w:color="auto" w:fill="FFFFFF"/>
          <w14:textFill>
            <w14:solidFill>
              <w14:schemeClr w14:val="tx1"/>
            </w14:solidFill>
          </w14:textFill>
        </w:rPr>
        <w:t>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"C:/Users/minmin/AppData/Local/youdao/dict/Application/8.9.3.0/resultui/html/index.html" \l "/javascript:;" </w:instrText>
      </w:r>
      <w:r>
        <w:rPr>
          <w:color w:val="000000" w:themeColor="text1"/>
          <w14:textFill>
            <w14:solidFill>
              <w14:schemeClr w14:val="tx1"/>
            </w14:solidFill>
          </w14:textFill>
        </w:rPr>
        <w:fldChar w:fldCharType="separate"/>
      </w:r>
      <w:r>
        <w:rPr>
          <w:rStyle w:val="12"/>
          <w:rFonts w:ascii="Times New Roman" w:hAnsi="Times New Roman"/>
          <w:b/>
          <w:color w:val="000000" w:themeColor="text1"/>
          <w:sz w:val="24"/>
          <w:u w:val="none"/>
          <w:shd w:val="clear" w:color="auto" w:fill="FFFFFF"/>
          <w14:textFill>
            <w14:solidFill>
              <w14:schemeClr w14:val="tx1"/>
            </w14:solidFill>
          </w14:textFill>
        </w:rPr>
        <w:t>tables</w:t>
      </w:r>
      <w:r>
        <w:rPr>
          <w:rStyle w:val="12"/>
          <w:rFonts w:ascii="Times New Roman" w:hAnsi="Times New Roman"/>
          <w:b/>
          <w:color w:val="000000" w:themeColor="text1"/>
          <w:sz w:val="24"/>
          <w:u w:val="none"/>
          <w:shd w:val="clear" w:color="auto" w:fill="FFFFFF"/>
          <w14:textFill>
            <w14:solidFill>
              <w14:schemeClr w14:val="tx1"/>
            </w14:solidFill>
          </w14:textFill>
        </w:rPr>
        <w:fldChar w:fldCharType="end"/>
      </w:r>
      <w:r>
        <w:rPr>
          <w:rFonts w:hint="eastAsia" w:ascii="Times New Roman" w:hAnsi="Times New Roman"/>
          <w:b/>
          <w:color w:val="000000" w:themeColor="text1"/>
          <w:sz w:val="24"/>
          <w:shd w:val="clear" w:color="auto" w:fill="FFFFFF"/>
          <w14:textFill>
            <w14:solidFill>
              <w14:schemeClr w14:val="tx1"/>
            </w14:solidFill>
          </w14:textFill>
        </w:rPr>
        <w:t>:</w:t>
      </w:r>
    </w:p>
    <w:p>
      <w:pPr>
        <w:spacing w:line="360" w:lineRule="auto"/>
        <w:rPr>
          <w:rFonts w:ascii="Times New Roman" w:hAnsi="Times New Roman"/>
          <w:b/>
          <w:bCs/>
          <w:color w:val="000000" w:themeColor="text1"/>
          <w:sz w:val="24"/>
          <w14:textFill>
            <w14:solidFill>
              <w14:schemeClr w14:val="tx1"/>
            </w14:solidFill>
          </w14:textFill>
        </w:rPr>
      </w:pPr>
      <w:r>
        <w:rPr>
          <w:rFonts w:hint="eastAsia" w:ascii="Times New Roman" w:hAnsi="Times New Roman"/>
          <w:b/>
          <w:bCs/>
          <w:color w:val="000000" w:themeColor="text1"/>
          <w:sz w:val="24"/>
          <w14:textFill>
            <w14:solidFill>
              <w14:schemeClr w14:val="tx1"/>
            </w14:solidFill>
          </w14:textFill>
        </w:rPr>
        <w:t xml:space="preserve">Table S1. </w:t>
      </w:r>
      <w:r>
        <w:rPr>
          <w:rFonts w:hint="eastAsia" w:ascii="Times New Roman" w:hAnsi="Times New Roman"/>
          <w:b/>
          <w:bCs/>
          <w:i/>
          <w:iCs/>
          <w:color w:val="000000" w:themeColor="text1"/>
          <w:sz w:val="24"/>
          <w14:textFill>
            <w14:solidFill>
              <w14:schemeClr w14:val="tx1"/>
            </w14:solidFill>
          </w14:textFill>
        </w:rPr>
        <w:t>HRs</w:t>
      </w:r>
      <w:r>
        <w:rPr>
          <w:rFonts w:hint="eastAsia" w:ascii="Times New Roman" w:hAnsi="Times New Roman"/>
          <w:b/>
          <w:bCs/>
          <w:color w:val="000000" w:themeColor="text1"/>
          <w:sz w:val="24"/>
          <w14:textFill>
            <w14:solidFill>
              <w14:schemeClr w14:val="tx1"/>
            </w14:solidFill>
          </w14:textFill>
        </w:rPr>
        <w:t xml:space="preserve"> and 95%</w:t>
      </w:r>
      <w:r>
        <w:rPr>
          <w:rFonts w:hint="eastAsia" w:ascii="Times New Roman" w:hAnsi="Times New Roman"/>
          <w:b/>
          <w:bCs/>
          <w:i/>
          <w:iCs/>
          <w:color w:val="000000" w:themeColor="text1"/>
          <w:sz w:val="24"/>
          <w14:textFill>
            <w14:solidFill>
              <w14:schemeClr w14:val="tx1"/>
            </w14:solidFill>
          </w14:textFill>
        </w:rPr>
        <w:t>CIs</w:t>
      </w:r>
      <w:r>
        <w:rPr>
          <w:rFonts w:hint="eastAsia" w:ascii="Times New Roman" w:hAnsi="Times New Roman"/>
          <w:b/>
          <w:bCs/>
          <w:color w:val="000000" w:themeColor="text1"/>
          <w:sz w:val="24"/>
          <w14:textFill>
            <w14:solidFill>
              <w14:schemeClr w14:val="tx1"/>
            </w14:solidFill>
          </w14:textFill>
        </w:rPr>
        <w:t xml:space="preserve"> for the mortality risks of healthy lifestyle among the elderly in China</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24"/>
        <w:gridCol w:w="1966"/>
        <w:gridCol w:w="1966"/>
        <w:gridCol w:w="1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single" w:color="auto" w:sz="18" w:space="0"/>
              <w:left w:val="nil"/>
              <w:bottom w:val="nil"/>
              <w:right w:val="nil"/>
            </w:tcBorders>
          </w:tcPr>
          <w:p>
            <w:pPr>
              <w:rPr>
                <w:rFonts w:ascii="Times New Roman" w:hAnsi="Times New Roman"/>
                <w:color w:val="000000" w:themeColor="text1"/>
                <w:sz w:val="24"/>
                <w14:textFill>
                  <w14:solidFill>
                    <w14:schemeClr w14:val="tx1"/>
                  </w14:solidFill>
                </w14:textFill>
              </w:rPr>
            </w:pPr>
          </w:p>
        </w:tc>
        <w:tc>
          <w:tcPr>
            <w:tcW w:w="1966" w:type="dxa"/>
            <w:tcBorders>
              <w:top w:val="single" w:color="auto" w:sz="18" w:space="0"/>
              <w:left w:val="nil"/>
              <w:bottom w:val="single" w:color="auto" w:sz="4" w:space="0"/>
              <w:right w:val="nil"/>
            </w:tcBorders>
          </w:tcPr>
          <w:p>
            <w:pPr>
              <w:rPr>
                <w:rFonts w:ascii="Times New Roman" w:hAnsi="Times New Roman"/>
                <w:color w:val="000000" w:themeColor="text1"/>
                <w:sz w:val="24"/>
                <w14:textFill>
                  <w14:solidFill>
                    <w14:schemeClr w14:val="tx1"/>
                  </w14:solidFill>
                </w14:textFill>
              </w:rPr>
            </w:pPr>
            <w:r>
              <w:rPr>
                <w:rFonts w:ascii="Times New Roman" w:hAnsi="Times New Roman"/>
                <w:color w:val="000000" w:themeColor="text1"/>
                <w:szCs w:val="21"/>
                <w14:textFill>
                  <w14:solidFill>
                    <w14:schemeClr w14:val="tx1"/>
                  </w14:solidFill>
                </w14:textFill>
              </w:rPr>
              <w:t>Model 1</w:t>
            </w:r>
          </w:p>
        </w:tc>
        <w:tc>
          <w:tcPr>
            <w:tcW w:w="1966" w:type="dxa"/>
            <w:tcBorders>
              <w:top w:val="single" w:color="auto" w:sz="18" w:space="0"/>
              <w:left w:val="nil"/>
              <w:bottom w:val="single" w:color="auto" w:sz="4" w:space="0"/>
              <w:right w:val="nil"/>
            </w:tcBorders>
          </w:tcPr>
          <w:p>
            <w:pPr>
              <w:rPr>
                <w:rFonts w:ascii="Times New Roman" w:hAnsi="Times New Roman"/>
                <w:color w:val="000000" w:themeColor="text1"/>
                <w:sz w:val="24"/>
                <w14:textFill>
                  <w14:solidFill>
                    <w14:schemeClr w14:val="tx1"/>
                  </w14:solidFill>
                </w14:textFill>
              </w:rPr>
            </w:pPr>
            <w:r>
              <w:rPr>
                <w:rFonts w:ascii="Times New Roman" w:hAnsi="Times New Roman"/>
                <w:color w:val="000000" w:themeColor="text1"/>
                <w:szCs w:val="21"/>
                <w14:textFill>
                  <w14:solidFill>
                    <w14:schemeClr w14:val="tx1"/>
                  </w14:solidFill>
                </w14:textFill>
              </w:rPr>
              <w:t>Model 2</w:t>
            </w:r>
          </w:p>
        </w:tc>
        <w:tc>
          <w:tcPr>
            <w:tcW w:w="1966" w:type="dxa"/>
            <w:tcBorders>
              <w:top w:val="single" w:color="auto" w:sz="18" w:space="0"/>
              <w:left w:val="nil"/>
              <w:bottom w:val="single" w:color="auto" w:sz="4" w:space="0"/>
              <w:right w:val="nil"/>
            </w:tcBorders>
          </w:tcPr>
          <w:p>
            <w:pPr>
              <w:rPr>
                <w:rFonts w:ascii="Times New Roman" w:hAnsi="Times New Roman"/>
                <w:color w:val="000000" w:themeColor="text1"/>
                <w:sz w:val="24"/>
                <w14:textFill>
                  <w14:solidFill>
                    <w14:schemeClr w14:val="tx1"/>
                  </w14:solidFill>
                </w14:textFill>
              </w:rPr>
            </w:pPr>
            <w:r>
              <w:rPr>
                <w:rFonts w:ascii="Times New Roman" w:hAnsi="Times New Roman"/>
                <w:color w:val="000000" w:themeColor="text1"/>
                <w:szCs w:val="21"/>
                <w14:textFill>
                  <w14:solidFill>
                    <w14:schemeClr w14:val="tx1"/>
                  </w14:solidFill>
                </w14:textFill>
              </w:rPr>
              <w:t>Model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nil"/>
              <w:left w:val="nil"/>
              <w:bottom w:val="single" w:color="auto" w:sz="18" w:space="0"/>
              <w:right w:val="nil"/>
            </w:tcBorders>
          </w:tcPr>
          <w:p>
            <w:pPr>
              <w:rPr>
                <w:rFonts w:ascii="Times New Roman" w:hAnsi="Times New Roman"/>
                <w:color w:val="000000" w:themeColor="text1"/>
                <w:sz w:val="24"/>
                <w14:textFill>
                  <w14:solidFill>
                    <w14:schemeClr w14:val="tx1"/>
                  </w14:solidFill>
                </w14:textFill>
              </w:rPr>
            </w:pPr>
          </w:p>
        </w:tc>
        <w:tc>
          <w:tcPr>
            <w:tcW w:w="1966" w:type="dxa"/>
            <w:tcBorders>
              <w:top w:val="single" w:color="auto" w:sz="4" w:space="0"/>
              <w:left w:val="nil"/>
              <w:bottom w:val="single" w:color="auto" w:sz="18" w:space="0"/>
              <w:right w:val="nil"/>
            </w:tcBorders>
          </w:tcPr>
          <w:p>
            <w:pPr>
              <w:rPr>
                <w:rFonts w:ascii="Times New Roman" w:hAnsi="Times New Roman"/>
                <w:color w:val="000000" w:themeColor="text1"/>
                <w:sz w:val="24"/>
                <w14:textFill>
                  <w14:solidFill>
                    <w14:schemeClr w14:val="tx1"/>
                  </w14:solidFill>
                </w14:textFill>
              </w:rPr>
            </w:pPr>
            <w:r>
              <w:rPr>
                <w:rFonts w:ascii="Times New Roman" w:hAnsi="Times New Roman"/>
                <w:i/>
                <w:iCs/>
                <w:color w:val="000000" w:themeColor="text1"/>
                <w:szCs w:val="21"/>
                <w14:textFill>
                  <w14:solidFill>
                    <w14:schemeClr w14:val="tx1"/>
                  </w14:solidFill>
                </w14:textFill>
              </w:rPr>
              <w:t>HR（95%CI）</w:t>
            </w:r>
          </w:p>
        </w:tc>
        <w:tc>
          <w:tcPr>
            <w:tcW w:w="1966" w:type="dxa"/>
            <w:tcBorders>
              <w:top w:val="single" w:color="auto" w:sz="4" w:space="0"/>
              <w:left w:val="nil"/>
              <w:bottom w:val="single" w:color="auto" w:sz="18" w:space="0"/>
              <w:right w:val="nil"/>
            </w:tcBorders>
          </w:tcPr>
          <w:p>
            <w:pPr>
              <w:rPr>
                <w:rFonts w:ascii="Times New Roman" w:hAnsi="Times New Roman"/>
                <w:color w:val="000000" w:themeColor="text1"/>
                <w:sz w:val="24"/>
                <w14:textFill>
                  <w14:solidFill>
                    <w14:schemeClr w14:val="tx1"/>
                  </w14:solidFill>
                </w14:textFill>
              </w:rPr>
            </w:pPr>
            <w:r>
              <w:rPr>
                <w:rFonts w:ascii="Times New Roman" w:hAnsi="Times New Roman"/>
                <w:i/>
                <w:iCs/>
                <w:color w:val="000000" w:themeColor="text1"/>
                <w:szCs w:val="21"/>
                <w14:textFill>
                  <w14:solidFill>
                    <w14:schemeClr w14:val="tx1"/>
                  </w14:solidFill>
                </w14:textFill>
              </w:rPr>
              <w:t>HR（95%CI）</w:t>
            </w:r>
          </w:p>
        </w:tc>
        <w:tc>
          <w:tcPr>
            <w:tcW w:w="1966" w:type="dxa"/>
            <w:tcBorders>
              <w:top w:val="single" w:color="auto" w:sz="4" w:space="0"/>
              <w:left w:val="nil"/>
              <w:bottom w:val="single" w:color="auto" w:sz="18" w:space="0"/>
              <w:right w:val="nil"/>
            </w:tcBorders>
          </w:tcPr>
          <w:p>
            <w:pPr>
              <w:rPr>
                <w:rFonts w:ascii="Times New Roman" w:hAnsi="Times New Roman"/>
                <w:color w:val="000000" w:themeColor="text1"/>
                <w:sz w:val="24"/>
                <w14:textFill>
                  <w14:solidFill>
                    <w14:schemeClr w14:val="tx1"/>
                  </w14:solidFill>
                </w14:textFill>
              </w:rPr>
            </w:pPr>
            <w:r>
              <w:rPr>
                <w:rFonts w:ascii="Times New Roman" w:hAnsi="Times New Roman"/>
                <w:i/>
                <w:iCs/>
                <w:color w:val="000000" w:themeColor="text1"/>
                <w:szCs w:val="21"/>
                <w14:textFill>
                  <w14:solidFill>
                    <w14:schemeClr w14:val="tx1"/>
                  </w14:solidFill>
                </w14:textFill>
              </w:rPr>
              <w:t>HR（95%CI）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single" w:color="auto" w:sz="18" w:space="0"/>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Drinking</w:t>
            </w:r>
          </w:p>
        </w:tc>
        <w:tc>
          <w:tcPr>
            <w:tcW w:w="1966" w:type="dxa"/>
            <w:tcBorders>
              <w:top w:val="single" w:color="auto" w:sz="18" w:space="0"/>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966" w:type="dxa"/>
            <w:tcBorders>
              <w:top w:val="single" w:color="auto" w:sz="18" w:space="0"/>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966" w:type="dxa"/>
            <w:tcBorders>
              <w:top w:val="single" w:color="auto" w:sz="18" w:space="0"/>
              <w:left w:val="nil"/>
              <w:bottom w:val="nil"/>
              <w:right w:val="nil"/>
            </w:tcBorders>
          </w:tcPr>
          <w:p>
            <w:pPr>
              <w:rPr>
                <w:rFonts w:ascii="Times New Roman" w:hAnsi="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Never</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Former</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1.035(0.958,1.119)</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1.025(0.949,1.108)</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1.012(0.937,1.094)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Current</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0.926(0.864,0.994)</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0.946(0.881,1.015)</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0.957(0.891,1.027)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Smoking</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Never</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Former</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1.146(1.065,1.232)</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1.233(1.142,1.332)</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1.217(1.127,1.315)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624"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Current</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0.908(0.846,0.973)</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1.125(1.043,1.213)</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1.141(1.059,1.232)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Physical activity</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Current</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Former</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1.380(1.268,1.501）</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1.191(1.094,1.297)</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1.108(1.017,1.208)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Physical inactivity</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1.221(1.152,1.293)</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1.129(1.063,1.200)</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1.093(1.028,1.161)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62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Fruit</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Yes</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Rarely or never</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1.174(1.111,1.241)</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1.080(1.021,1.142)</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1.063(1.004,1.124)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Vegetable</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Yes</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Rarely or never</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1.362(1.170,1.585)</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1.152(0.990,1.341)</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1.067(0.916,1.242)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BMI</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Normal weight(18.5-24.9kg/m²)</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nil"/>
              <w:left w:val="nil"/>
              <w:bottom w:val="nil"/>
              <w:right w:val="nil"/>
            </w:tcBorders>
          </w:tcPr>
          <w:p>
            <w:pPr>
              <w:jc w:val="center"/>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Underweight (&lt;18.5 kg/m²)</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1.314(1.247,1.384)</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1.056(1.001,1.113)</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1.044(0.990,1.101)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Overweight (25.0-29.9 kg/m</w:t>
            </w:r>
            <w:r>
              <w:rPr>
                <w:rFonts w:ascii="Times New Roman" w:hAnsi="Times New Roman"/>
                <w:color w:val="000000" w:themeColor="text1"/>
                <w:szCs w:val="21"/>
                <w14:textFill>
                  <w14:solidFill>
                    <w14:schemeClr w14:val="tx1"/>
                  </w14:solidFill>
                </w14:textFill>
              </w:rPr>
              <w:t>²</w:t>
            </w:r>
            <w:r>
              <w:rPr>
                <w:rFonts w:hint="eastAsia" w:ascii="Times New Roman" w:hAnsi="Times New Roman"/>
                <w:color w:val="000000" w:themeColor="text1"/>
                <w:szCs w:val="21"/>
                <w14:textFill>
                  <w14:solidFill>
                    <w14:schemeClr w14:val="tx1"/>
                  </w14:solidFill>
                </w14:textFill>
              </w:rPr>
              <w:t>)</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0.752(0.678,0.835)</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0.968(0.872,1.075)</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0.954(0.859,1.060)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Obese (</w:t>
            </w:r>
            <w:r>
              <w:rPr>
                <w:rFonts w:ascii="Times New Roman" w:hAnsi="Times New Roman"/>
                <w:color w:val="000000" w:themeColor="text1"/>
                <w:szCs w:val="21"/>
                <w14:textFill>
                  <w14:solidFill>
                    <w14:schemeClr w14:val="tx1"/>
                  </w14:solidFill>
                </w14:textFill>
              </w:rPr>
              <w:t>≥</w:t>
            </w:r>
            <w:r>
              <w:rPr>
                <w:rFonts w:hint="eastAsia" w:ascii="Times New Roman" w:hAnsi="Times New Roman"/>
                <w:color w:val="000000" w:themeColor="text1"/>
                <w:szCs w:val="21"/>
                <w14:textFill>
                  <w14:solidFill>
                    <w14:schemeClr w14:val="tx1"/>
                  </w14:solidFill>
                </w14:textFill>
              </w:rPr>
              <w:t>30.0 kg/m²)</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0.755(0.590,0.965)</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0.817(0.639,1.045）</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0.797(0.623,1.019)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62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Sleep duration</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7-9 hours</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966"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4" w:type="dxa"/>
            <w:tcBorders>
              <w:top w:val="nil"/>
              <w:left w:val="nil"/>
              <w:bottom w:val="single" w:color="auto" w:sz="18" w:space="0"/>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&lt;7/&gt;9 hours</w:t>
            </w:r>
          </w:p>
        </w:tc>
        <w:tc>
          <w:tcPr>
            <w:tcW w:w="1966" w:type="dxa"/>
            <w:tcBorders>
              <w:top w:val="nil"/>
              <w:left w:val="nil"/>
              <w:bottom w:val="single" w:color="auto" w:sz="18" w:space="0"/>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1.210(1.152，1.293）</w:t>
            </w:r>
          </w:p>
        </w:tc>
        <w:tc>
          <w:tcPr>
            <w:tcW w:w="1966" w:type="dxa"/>
            <w:tcBorders>
              <w:top w:val="nil"/>
              <w:left w:val="nil"/>
              <w:bottom w:val="single" w:color="auto" w:sz="18" w:space="0"/>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1.053(1.002,1.106）</w:t>
            </w:r>
          </w:p>
        </w:tc>
        <w:tc>
          <w:tcPr>
            <w:tcW w:w="1966" w:type="dxa"/>
            <w:tcBorders>
              <w:top w:val="nil"/>
              <w:left w:val="nil"/>
              <w:bottom w:val="single" w:color="auto" w:sz="18" w:space="0"/>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1.014(0.965,1.065)</w:t>
            </w:r>
          </w:p>
        </w:tc>
      </w:tr>
    </w:tbl>
    <w:p>
      <w:pPr>
        <w:spacing w:line="360"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Model 1. Unadjusted model </w:t>
      </w:r>
    </w:p>
    <w:p>
      <w:pPr>
        <w:spacing w:line="360"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Model 2. Model 1 further adjusted for age</w:t>
      </w:r>
      <w:r>
        <w:rPr>
          <w:rFonts w:hint="eastAsia"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14:textFill>
            <w14:solidFill>
              <w14:schemeClr w14:val="tx1"/>
            </w14:solidFill>
          </w14:textFill>
        </w:rPr>
        <w:t xml:space="preserve"> </w:t>
      </w:r>
      <w:r>
        <w:rPr>
          <w:rFonts w:hint="eastAsia" w:ascii="Times New Roman" w:hAnsi="Times New Roman"/>
          <w:color w:val="000000" w:themeColor="text1"/>
          <w:szCs w:val="21"/>
          <w14:textFill>
            <w14:solidFill>
              <w14:schemeClr w14:val="tx1"/>
            </w14:solidFill>
          </w14:textFill>
        </w:rPr>
        <w:t>gender</w:t>
      </w:r>
      <w:r>
        <w:rPr>
          <w:rFonts w:ascii="Times New Roman" w:hAnsi="Times New Roman"/>
          <w:color w:val="000000" w:themeColor="text1"/>
          <w:szCs w:val="21"/>
          <w14:textFill>
            <w14:solidFill>
              <w14:schemeClr w14:val="tx1"/>
            </w14:solidFill>
          </w14:textFill>
        </w:rPr>
        <w:t>, residential type, marital status, economic situation and education</w:t>
      </w:r>
    </w:p>
    <w:p>
      <w:pPr>
        <w:spacing w:line="360"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Model 3. Model 2 further adjusted for some chronic diseases</w:t>
      </w:r>
      <w:r>
        <w:rPr>
          <w:rFonts w:hint="eastAsia"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14:textFill>
            <w14:solidFill>
              <w14:schemeClr w14:val="tx1"/>
            </w14:solidFill>
          </w14:textFill>
        </w:rPr>
        <w:t xml:space="preserve"> ADL</w:t>
      </w:r>
      <w:r>
        <w:rPr>
          <w:rFonts w:hint="eastAsia" w:ascii="Times New Roman" w:hAnsi="Times New Roman"/>
          <w:color w:val="000000" w:themeColor="text1"/>
          <w:szCs w:val="21"/>
          <w14:textFill>
            <w14:solidFill>
              <w14:schemeClr w14:val="tx1"/>
            </w14:solidFill>
          </w14:textFill>
        </w:rPr>
        <w:t xml:space="preserve"> and self-reported health</w:t>
      </w:r>
    </w:p>
    <w:p>
      <w:pPr>
        <w:spacing w:line="360" w:lineRule="auto"/>
        <w:rPr>
          <w:rFonts w:ascii="Times New Roman" w:hAnsi="Times New Roman"/>
          <w:b/>
          <w:bCs/>
          <w:color w:val="000000" w:themeColor="text1"/>
          <w:sz w:val="24"/>
          <w14:textFill>
            <w14:solidFill>
              <w14:schemeClr w14:val="tx1"/>
            </w14:solidFill>
          </w14:textFill>
        </w:rPr>
      </w:pPr>
    </w:p>
    <w:p>
      <w:pPr>
        <w:spacing w:line="360" w:lineRule="auto"/>
        <w:rPr>
          <w:rFonts w:ascii="Times New Roman" w:hAnsi="Times New Roman"/>
          <w:b/>
          <w:bCs/>
          <w:color w:val="000000" w:themeColor="text1"/>
          <w:sz w:val="24"/>
          <w14:textFill>
            <w14:solidFill>
              <w14:schemeClr w14:val="tx1"/>
            </w14:solidFill>
          </w14:textFill>
        </w:rPr>
      </w:pPr>
    </w:p>
    <w:p>
      <w:pPr>
        <w:spacing w:line="360" w:lineRule="auto"/>
        <w:ind w:firstLine="241" w:firstLineChars="100"/>
        <w:rPr>
          <w:rFonts w:ascii="Times New Roman" w:hAnsi="Times New Roman"/>
          <w:b/>
          <w:bCs/>
          <w:color w:val="000000" w:themeColor="text1"/>
          <w:sz w:val="24"/>
          <w14:textFill>
            <w14:solidFill>
              <w14:schemeClr w14:val="tx1"/>
            </w14:solidFill>
          </w14:textFill>
        </w:rPr>
      </w:pPr>
      <w:r>
        <w:rPr>
          <w:rFonts w:hint="eastAsia" w:ascii="Times New Roman" w:hAnsi="Times New Roman"/>
          <w:b/>
          <w:bCs/>
          <w:color w:val="000000" w:themeColor="text1"/>
          <w:sz w:val="24"/>
          <w14:textFill>
            <w14:solidFill>
              <w14:schemeClr w14:val="tx1"/>
            </w14:solidFill>
          </w14:textFill>
        </w:rPr>
        <w:t xml:space="preserve">Table S2. </w:t>
      </w:r>
      <w:r>
        <w:rPr>
          <w:rFonts w:ascii="Times New Roman" w:hAnsi="Times New Roman"/>
          <w:b/>
          <w:bCs/>
          <w:i/>
          <w:iCs/>
          <w:color w:val="000000" w:themeColor="text1"/>
          <w:sz w:val="24"/>
          <w14:textFill>
            <w14:solidFill>
              <w14:schemeClr w14:val="tx1"/>
            </w14:solidFill>
          </w14:textFill>
        </w:rPr>
        <w:t>HRs</w:t>
      </w:r>
      <w:r>
        <w:rPr>
          <w:rFonts w:ascii="Times New Roman" w:hAnsi="Times New Roman"/>
          <w:b/>
          <w:bCs/>
          <w:color w:val="000000" w:themeColor="text1"/>
          <w:sz w:val="24"/>
          <w14:textFill>
            <w14:solidFill>
              <w14:schemeClr w14:val="tx1"/>
            </w14:solidFill>
          </w14:textFill>
        </w:rPr>
        <w:t xml:space="preserve"> and 95% </w:t>
      </w:r>
      <w:r>
        <w:rPr>
          <w:rFonts w:ascii="Times New Roman" w:hAnsi="Times New Roman"/>
          <w:b/>
          <w:bCs/>
          <w:i/>
          <w:iCs/>
          <w:color w:val="000000" w:themeColor="text1"/>
          <w:sz w:val="24"/>
          <w14:textFill>
            <w14:solidFill>
              <w14:schemeClr w14:val="tx1"/>
            </w14:solidFill>
          </w14:textFill>
        </w:rPr>
        <w:t>CIs</w:t>
      </w:r>
      <w:r>
        <w:rPr>
          <w:rFonts w:ascii="Times New Roman" w:hAnsi="Times New Roman"/>
          <w:b/>
          <w:bCs/>
          <w:color w:val="000000" w:themeColor="text1"/>
          <w:sz w:val="24"/>
          <w14:textFill>
            <w14:solidFill>
              <w14:schemeClr w14:val="tx1"/>
            </w14:solidFill>
          </w14:textFill>
        </w:rPr>
        <w:t xml:space="preserve"> for the mortality risks of</w:t>
      </w:r>
      <w:r>
        <w:rPr>
          <w:rFonts w:hint="eastAsia" w:ascii="Times New Roman" w:hAnsi="Times New Roman"/>
          <w:b/>
          <w:bCs/>
          <w:color w:val="000000" w:themeColor="text1"/>
          <w:sz w:val="24"/>
          <w14:textFill>
            <w14:solidFill>
              <w14:schemeClr w14:val="tx1"/>
            </w14:solidFill>
          </w14:textFill>
        </w:rPr>
        <w:t xml:space="preserve"> </w:t>
      </w:r>
      <w:r>
        <w:rPr>
          <w:rFonts w:ascii="Times New Roman" w:hAnsi="Times New Roman"/>
          <w:b/>
          <w:bCs/>
          <w:color w:val="000000" w:themeColor="text1"/>
          <w:sz w:val="24"/>
          <w14:textFill>
            <w14:solidFill>
              <w14:schemeClr w14:val="tx1"/>
            </w14:solidFill>
          </w14:textFill>
        </w:rPr>
        <w:t xml:space="preserve">healthy lifestyle among the elderly </w:t>
      </w:r>
      <w:r>
        <w:rPr>
          <w:rFonts w:hint="eastAsia" w:ascii="Times New Roman" w:hAnsi="Times New Roman"/>
          <w:b/>
          <w:bCs/>
          <w:color w:val="000000" w:themeColor="text1"/>
          <w:sz w:val="24"/>
          <w14:textFill>
            <w14:solidFill>
              <w14:schemeClr w14:val="tx1"/>
            </w14:solidFill>
          </w14:textFill>
        </w:rPr>
        <w:t xml:space="preserve">by age </w:t>
      </w:r>
      <w:r>
        <w:rPr>
          <w:rFonts w:ascii="Times New Roman" w:hAnsi="Times New Roman"/>
          <w:b/>
          <w:bCs/>
          <w:color w:val="000000" w:themeColor="text1"/>
          <w:sz w:val="24"/>
          <w14:textFill>
            <w14:solidFill>
              <w14:schemeClr w14:val="tx1"/>
            </w14:solidFill>
          </w14:textFill>
        </w:rPr>
        <w:t>in China</w:t>
      </w:r>
    </w:p>
    <w:tbl>
      <w:tblPr>
        <w:tblStyle w:val="9"/>
        <w:tblW w:w="9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1"/>
        <w:gridCol w:w="1841"/>
        <w:gridCol w:w="1890"/>
        <w:gridCol w:w="1830"/>
        <w:gridCol w:w="1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1" w:type="dxa"/>
            <w:tcBorders>
              <w:top w:val="single" w:color="auto" w:sz="18" w:space="0"/>
              <w:left w:val="nil"/>
              <w:bottom w:val="nil"/>
              <w:right w:val="nil"/>
            </w:tcBorders>
          </w:tcPr>
          <w:p>
            <w:pPr>
              <w:rPr>
                <w:rFonts w:ascii="Times New Roman" w:hAnsi="Times New Roman"/>
                <w:color w:val="000000" w:themeColor="text1"/>
                <w:sz w:val="24"/>
                <w14:textFill>
                  <w14:solidFill>
                    <w14:schemeClr w14:val="tx1"/>
                  </w14:solidFill>
                </w14:textFill>
              </w:rPr>
            </w:pPr>
          </w:p>
        </w:tc>
        <w:tc>
          <w:tcPr>
            <w:tcW w:w="1841" w:type="dxa"/>
            <w:tcBorders>
              <w:top w:val="single" w:color="auto" w:sz="18" w:space="0"/>
              <w:left w:val="nil"/>
              <w:bottom w:val="single" w:color="auto" w:sz="4" w:space="0"/>
              <w:right w:val="nil"/>
            </w:tcBorders>
          </w:tcPr>
          <w:p>
            <w:pPr>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65-</w:t>
            </w:r>
          </w:p>
        </w:tc>
        <w:tc>
          <w:tcPr>
            <w:tcW w:w="1890" w:type="dxa"/>
            <w:tcBorders>
              <w:top w:val="single" w:color="auto" w:sz="18" w:space="0"/>
              <w:left w:val="nil"/>
              <w:bottom w:val="single" w:color="auto" w:sz="4" w:space="0"/>
              <w:right w:val="nil"/>
            </w:tcBorders>
          </w:tcPr>
          <w:p>
            <w:pPr>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75-</w:t>
            </w:r>
          </w:p>
        </w:tc>
        <w:tc>
          <w:tcPr>
            <w:tcW w:w="1830" w:type="dxa"/>
            <w:tcBorders>
              <w:top w:val="single" w:color="auto" w:sz="18" w:space="0"/>
              <w:left w:val="nil"/>
              <w:bottom w:val="single" w:color="auto" w:sz="4" w:space="0"/>
              <w:right w:val="nil"/>
            </w:tcBorders>
          </w:tcPr>
          <w:p>
            <w:pPr>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85-</w:t>
            </w:r>
          </w:p>
        </w:tc>
        <w:tc>
          <w:tcPr>
            <w:tcW w:w="1914" w:type="dxa"/>
            <w:tcBorders>
              <w:top w:val="single" w:color="auto" w:sz="18" w:space="0"/>
              <w:left w:val="nil"/>
              <w:bottom w:val="single" w:color="auto" w:sz="4" w:space="0"/>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1" w:type="dxa"/>
            <w:tcBorders>
              <w:top w:val="nil"/>
              <w:left w:val="nil"/>
              <w:bottom w:val="single" w:color="auto" w:sz="18" w:space="0"/>
              <w:right w:val="nil"/>
            </w:tcBorders>
          </w:tcPr>
          <w:p>
            <w:pPr>
              <w:rPr>
                <w:rFonts w:ascii="Times New Roman" w:hAnsi="Times New Roman"/>
                <w:color w:val="000000" w:themeColor="text1"/>
                <w:sz w:val="24"/>
                <w14:textFill>
                  <w14:solidFill>
                    <w14:schemeClr w14:val="tx1"/>
                  </w14:solidFill>
                </w14:textFill>
              </w:rPr>
            </w:pPr>
          </w:p>
        </w:tc>
        <w:tc>
          <w:tcPr>
            <w:tcW w:w="1841" w:type="dxa"/>
            <w:tcBorders>
              <w:top w:val="single" w:color="auto" w:sz="4" w:space="0"/>
              <w:left w:val="nil"/>
              <w:bottom w:val="single" w:color="auto" w:sz="18" w:space="0"/>
              <w:right w:val="nil"/>
            </w:tcBorders>
          </w:tcPr>
          <w:p>
            <w:pPr>
              <w:rPr>
                <w:rFonts w:ascii="Times New Roman" w:hAnsi="Times New Roman"/>
                <w:color w:val="000000" w:themeColor="text1"/>
                <w:sz w:val="24"/>
                <w14:textFill>
                  <w14:solidFill>
                    <w14:schemeClr w14:val="tx1"/>
                  </w14:solidFill>
                </w14:textFill>
              </w:rPr>
            </w:pPr>
            <w:r>
              <w:rPr>
                <w:rFonts w:ascii="Times New Roman" w:hAnsi="Times New Roman"/>
                <w:i/>
                <w:iCs/>
                <w:color w:val="000000" w:themeColor="text1"/>
                <w:szCs w:val="21"/>
                <w14:textFill>
                  <w14:solidFill>
                    <w14:schemeClr w14:val="tx1"/>
                  </w14:solidFill>
                </w14:textFill>
              </w:rPr>
              <w:t>HR（95%CI）</w:t>
            </w:r>
          </w:p>
        </w:tc>
        <w:tc>
          <w:tcPr>
            <w:tcW w:w="1890" w:type="dxa"/>
            <w:tcBorders>
              <w:top w:val="single" w:color="auto" w:sz="4" w:space="0"/>
              <w:left w:val="nil"/>
              <w:bottom w:val="single" w:color="auto" w:sz="18" w:space="0"/>
              <w:right w:val="nil"/>
            </w:tcBorders>
          </w:tcPr>
          <w:p>
            <w:pPr>
              <w:rPr>
                <w:rFonts w:ascii="Times New Roman" w:hAnsi="Times New Roman"/>
                <w:color w:val="000000" w:themeColor="text1"/>
                <w:sz w:val="24"/>
                <w14:textFill>
                  <w14:solidFill>
                    <w14:schemeClr w14:val="tx1"/>
                  </w14:solidFill>
                </w14:textFill>
              </w:rPr>
            </w:pPr>
            <w:r>
              <w:rPr>
                <w:rFonts w:ascii="Times New Roman" w:hAnsi="Times New Roman"/>
                <w:i/>
                <w:iCs/>
                <w:color w:val="000000" w:themeColor="text1"/>
                <w:szCs w:val="21"/>
                <w14:textFill>
                  <w14:solidFill>
                    <w14:schemeClr w14:val="tx1"/>
                  </w14:solidFill>
                </w14:textFill>
              </w:rPr>
              <w:t>HR（95%CI）</w:t>
            </w:r>
          </w:p>
        </w:tc>
        <w:tc>
          <w:tcPr>
            <w:tcW w:w="1830" w:type="dxa"/>
            <w:tcBorders>
              <w:top w:val="single" w:color="auto" w:sz="4" w:space="0"/>
              <w:left w:val="nil"/>
              <w:bottom w:val="single" w:color="auto" w:sz="18" w:space="0"/>
              <w:right w:val="nil"/>
            </w:tcBorders>
          </w:tcPr>
          <w:p>
            <w:pPr>
              <w:rPr>
                <w:rFonts w:ascii="Times New Roman" w:hAnsi="Times New Roman"/>
                <w:color w:val="000000" w:themeColor="text1"/>
                <w:sz w:val="24"/>
                <w14:textFill>
                  <w14:solidFill>
                    <w14:schemeClr w14:val="tx1"/>
                  </w14:solidFill>
                </w14:textFill>
              </w:rPr>
            </w:pPr>
            <w:r>
              <w:rPr>
                <w:rFonts w:ascii="Times New Roman" w:hAnsi="Times New Roman"/>
                <w:i/>
                <w:iCs/>
                <w:color w:val="000000" w:themeColor="text1"/>
                <w:szCs w:val="21"/>
                <w14:textFill>
                  <w14:solidFill>
                    <w14:schemeClr w14:val="tx1"/>
                  </w14:solidFill>
                </w14:textFill>
              </w:rPr>
              <w:t>HR（95%CI）</w:t>
            </w:r>
          </w:p>
        </w:tc>
        <w:tc>
          <w:tcPr>
            <w:tcW w:w="1914" w:type="dxa"/>
            <w:tcBorders>
              <w:top w:val="single" w:color="auto" w:sz="4" w:space="0"/>
              <w:left w:val="nil"/>
              <w:bottom w:val="single" w:color="auto" w:sz="18" w:space="0"/>
              <w:right w:val="nil"/>
            </w:tcBorders>
          </w:tcPr>
          <w:p>
            <w:pPr>
              <w:rPr>
                <w:rFonts w:ascii="Times New Roman" w:hAnsi="Times New Roman"/>
                <w:i/>
                <w:iCs/>
                <w:color w:val="000000" w:themeColor="text1"/>
                <w:szCs w:val="21"/>
                <w14:textFill>
                  <w14:solidFill>
                    <w14:schemeClr w14:val="tx1"/>
                  </w14:solidFill>
                </w14:textFill>
              </w:rPr>
            </w:pPr>
            <w:r>
              <w:rPr>
                <w:rFonts w:ascii="Times New Roman" w:hAnsi="Times New Roman"/>
                <w:i/>
                <w:iCs/>
                <w:color w:val="000000" w:themeColor="text1"/>
                <w:szCs w:val="21"/>
                <w14:textFill>
                  <w14:solidFill>
                    <w14:schemeClr w14:val="tx1"/>
                  </w14:solidFill>
                </w14:textFill>
              </w:rPr>
              <w:t>HR（95%CI）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1" w:type="dxa"/>
            <w:tcBorders>
              <w:top w:val="single" w:color="auto" w:sz="18" w:space="0"/>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Drinking</w:t>
            </w:r>
          </w:p>
        </w:tc>
        <w:tc>
          <w:tcPr>
            <w:tcW w:w="1841" w:type="dxa"/>
            <w:tcBorders>
              <w:top w:val="single" w:color="auto" w:sz="18" w:space="0"/>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890" w:type="dxa"/>
            <w:tcBorders>
              <w:top w:val="single" w:color="auto" w:sz="18" w:space="0"/>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830" w:type="dxa"/>
            <w:tcBorders>
              <w:top w:val="single" w:color="auto" w:sz="18" w:space="0"/>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914" w:type="dxa"/>
            <w:tcBorders>
              <w:top w:val="single" w:color="auto" w:sz="18" w:space="0"/>
              <w:left w:val="nil"/>
              <w:bottom w:val="nil"/>
              <w:right w:val="nil"/>
            </w:tcBorders>
          </w:tcPr>
          <w:p>
            <w:pPr>
              <w:rPr>
                <w:rFonts w:ascii="Times New Roman" w:hAnsi="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2281"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Never</w:t>
            </w:r>
          </w:p>
        </w:tc>
        <w:tc>
          <w:tcPr>
            <w:tcW w:w="184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89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83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91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281"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Former</w:t>
            </w:r>
          </w:p>
        </w:tc>
        <w:tc>
          <w:tcPr>
            <w:tcW w:w="184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1.396(1.106,1.762)</w:t>
            </w:r>
          </w:p>
        </w:tc>
        <w:tc>
          <w:tcPr>
            <w:tcW w:w="189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1.082(0.932,1.257)</w:t>
            </w:r>
          </w:p>
        </w:tc>
        <w:tc>
          <w:tcPr>
            <w:tcW w:w="183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0.976(0.877,1.087)</w:t>
            </w:r>
          </w:p>
        </w:tc>
        <w:tc>
          <w:tcPr>
            <w:tcW w:w="191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1.115(0.984,1.264)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2281"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Current</w:t>
            </w:r>
          </w:p>
        </w:tc>
        <w:tc>
          <w:tcPr>
            <w:tcW w:w="184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0.909(0.730,1.132)</w:t>
            </w:r>
          </w:p>
        </w:tc>
        <w:tc>
          <w:tcPr>
            <w:tcW w:w="189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0.864(0.749,0.996)</w:t>
            </w:r>
          </w:p>
        </w:tc>
        <w:tc>
          <w:tcPr>
            <w:tcW w:w="183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0.982(0.891,1.082)</w:t>
            </w:r>
          </w:p>
        </w:tc>
        <w:tc>
          <w:tcPr>
            <w:tcW w:w="191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1.023(0.914,1.145)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Smoking</w:t>
            </w:r>
          </w:p>
        </w:tc>
        <w:tc>
          <w:tcPr>
            <w:tcW w:w="184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89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83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91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1"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Never</w:t>
            </w:r>
          </w:p>
        </w:tc>
        <w:tc>
          <w:tcPr>
            <w:tcW w:w="184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89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83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91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281"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Former</w:t>
            </w:r>
          </w:p>
        </w:tc>
        <w:tc>
          <w:tcPr>
            <w:tcW w:w="184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1.764(1.399,2.225)</w:t>
            </w:r>
          </w:p>
        </w:tc>
        <w:tc>
          <w:tcPr>
            <w:tcW w:w="189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1.423(1.231,1.645)</w:t>
            </w:r>
          </w:p>
        </w:tc>
        <w:tc>
          <w:tcPr>
            <w:tcW w:w="183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1.214(1.099,1.340)</w:t>
            </w:r>
          </w:p>
        </w:tc>
        <w:tc>
          <w:tcPr>
            <w:tcW w:w="191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1.185(1.047,1.341)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2281"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Current</w:t>
            </w:r>
          </w:p>
        </w:tc>
        <w:tc>
          <w:tcPr>
            <w:tcW w:w="184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1.469(1.193,1.808)</w:t>
            </w:r>
          </w:p>
        </w:tc>
        <w:tc>
          <w:tcPr>
            <w:tcW w:w="189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1.295(1.132,1.482)</w:t>
            </w:r>
          </w:p>
        </w:tc>
        <w:tc>
          <w:tcPr>
            <w:tcW w:w="183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1.152(1.046,1.269)</w:t>
            </w:r>
          </w:p>
        </w:tc>
        <w:tc>
          <w:tcPr>
            <w:tcW w:w="191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0.980(0.857,1.120)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Physical activity</w:t>
            </w:r>
          </w:p>
        </w:tc>
        <w:tc>
          <w:tcPr>
            <w:tcW w:w="184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89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83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91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1"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Current</w:t>
            </w:r>
          </w:p>
        </w:tc>
        <w:tc>
          <w:tcPr>
            <w:tcW w:w="184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89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83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91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1"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Former</w:t>
            </w:r>
          </w:p>
        </w:tc>
        <w:tc>
          <w:tcPr>
            <w:tcW w:w="184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1.246(0.947,1.639</w:t>
            </w:r>
          </w:p>
        </w:tc>
        <w:tc>
          <w:tcPr>
            <w:tcW w:w="189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1.245(1.039,1.491)</w:t>
            </w:r>
          </w:p>
        </w:tc>
        <w:tc>
          <w:tcPr>
            <w:tcW w:w="183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1.351(1.200,1.570)</w:t>
            </w:r>
          </w:p>
        </w:tc>
        <w:tc>
          <w:tcPr>
            <w:tcW w:w="191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1.137(0.996,1.298)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1"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Physical inactivity</w:t>
            </w:r>
          </w:p>
        </w:tc>
        <w:tc>
          <w:tcPr>
            <w:tcW w:w="184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0.874(0.733,1.042)</w:t>
            </w:r>
          </w:p>
        </w:tc>
        <w:tc>
          <w:tcPr>
            <w:tcW w:w="189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1.186(1.057,1.331)</w:t>
            </w:r>
          </w:p>
        </w:tc>
        <w:tc>
          <w:tcPr>
            <w:tcW w:w="183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1.171(1.078,1.272)</w:t>
            </w:r>
          </w:p>
        </w:tc>
        <w:tc>
          <w:tcPr>
            <w:tcW w:w="191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1.170(1.058,1.295)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8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Eat fruits</w:t>
            </w:r>
          </w:p>
        </w:tc>
        <w:tc>
          <w:tcPr>
            <w:tcW w:w="184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89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83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91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81"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Yes</w:t>
            </w:r>
          </w:p>
        </w:tc>
        <w:tc>
          <w:tcPr>
            <w:tcW w:w="184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89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83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91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1"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Rarely or never</w:t>
            </w:r>
          </w:p>
        </w:tc>
        <w:tc>
          <w:tcPr>
            <w:tcW w:w="184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1.164(0.952,1.424)</w:t>
            </w:r>
          </w:p>
        </w:tc>
        <w:tc>
          <w:tcPr>
            <w:tcW w:w="189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1.168(1.039,1.313)</w:t>
            </w:r>
          </w:p>
        </w:tc>
        <w:tc>
          <w:tcPr>
            <w:tcW w:w="183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1.029(0.954,1.111)</w:t>
            </w:r>
          </w:p>
        </w:tc>
        <w:tc>
          <w:tcPr>
            <w:tcW w:w="191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1.048(0.964,1.138)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Eat vegetable</w:t>
            </w:r>
          </w:p>
        </w:tc>
        <w:tc>
          <w:tcPr>
            <w:tcW w:w="184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89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83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91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1"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Yes</w:t>
            </w:r>
          </w:p>
        </w:tc>
        <w:tc>
          <w:tcPr>
            <w:tcW w:w="184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89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83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91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1"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Rarely or never</w:t>
            </w:r>
          </w:p>
        </w:tc>
        <w:tc>
          <w:tcPr>
            <w:tcW w:w="184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1.835(0.971,3.468)</w:t>
            </w:r>
          </w:p>
        </w:tc>
        <w:tc>
          <w:tcPr>
            <w:tcW w:w="189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1.147(0.804,1.638)</w:t>
            </w:r>
          </w:p>
        </w:tc>
        <w:tc>
          <w:tcPr>
            <w:tcW w:w="183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1.238(0.991,1545)</w:t>
            </w:r>
          </w:p>
        </w:tc>
        <w:tc>
          <w:tcPr>
            <w:tcW w:w="191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1.190(0.996,1.422)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BMI</w:t>
            </w:r>
          </w:p>
        </w:tc>
        <w:tc>
          <w:tcPr>
            <w:tcW w:w="184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89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83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91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2281"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Normal weight(18.5-24.9kg/m²)</w:t>
            </w:r>
          </w:p>
        </w:tc>
        <w:tc>
          <w:tcPr>
            <w:tcW w:w="184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89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83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91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81"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Underweight</w:t>
            </w:r>
          </w:p>
          <w:p>
            <w:pPr>
              <w:jc w:val="center"/>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(&lt;18.5kg/m</w:t>
            </w:r>
            <w:r>
              <w:rPr>
                <w:rFonts w:ascii="Times New Roman" w:hAnsi="Times New Roman"/>
                <w:color w:val="000000" w:themeColor="text1"/>
                <w:szCs w:val="21"/>
                <w14:textFill>
                  <w14:solidFill>
                    <w14:schemeClr w14:val="tx1"/>
                  </w14:solidFill>
                </w14:textFill>
              </w:rPr>
              <w:t>²</w:t>
            </w:r>
            <w:r>
              <w:rPr>
                <w:rFonts w:hint="eastAsia" w:ascii="Times New Roman" w:hAnsi="Times New Roman"/>
                <w:color w:val="000000" w:themeColor="text1"/>
                <w:szCs w:val="21"/>
                <w14:textFill>
                  <w14:solidFill>
                    <w14:schemeClr w14:val="tx1"/>
                  </w14:solidFill>
                </w14:textFill>
              </w:rPr>
              <w:t>)</w:t>
            </w:r>
          </w:p>
        </w:tc>
        <w:tc>
          <w:tcPr>
            <w:tcW w:w="184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1.242(1.011,1.526)</w:t>
            </w:r>
          </w:p>
        </w:tc>
        <w:tc>
          <w:tcPr>
            <w:tcW w:w="189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1.134(1.009,1.274)</w:t>
            </w:r>
          </w:p>
        </w:tc>
        <w:tc>
          <w:tcPr>
            <w:tcW w:w="183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1.073(0.998,1.154)</w:t>
            </w:r>
          </w:p>
        </w:tc>
        <w:tc>
          <w:tcPr>
            <w:tcW w:w="191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1.001(0.928,1.080)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1"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Overweight (25.0-29.9 kg/m</w:t>
            </w:r>
            <w:r>
              <w:rPr>
                <w:rFonts w:ascii="Times New Roman" w:hAnsi="Times New Roman"/>
                <w:color w:val="000000" w:themeColor="text1"/>
                <w:szCs w:val="21"/>
                <w14:textFill>
                  <w14:solidFill>
                    <w14:schemeClr w14:val="tx1"/>
                  </w14:solidFill>
                </w14:textFill>
              </w:rPr>
              <w:t>²</w:t>
            </w:r>
            <w:r>
              <w:rPr>
                <w:rFonts w:hint="eastAsia" w:ascii="Times New Roman" w:hAnsi="Times New Roman"/>
                <w:color w:val="000000" w:themeColor="text1"/>
                <w:szCs w:val="21"/>
                <w14:textFill>
                  <w14:solidFill>
                    <w14:schemeClr w14:val="tx1"/>
                  </w14:solidFill>
                </w14:textFill>
              </w:rPr>
              <w:t>)</w:t>
            </w:r>
          </w:p>
        </w:tc>
        <w:tc>
          <w:tcPr>
            <w:tcW w:w="184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0.804(0.620,1.042)</w:t>
            </w:r>
          </w:p>
        </w:tc>
        <w:tc>
          <w:tcPr>
            <w:tcW w:w="189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0.916(0.753,1.114)</w:t>
            </w:r>
          </w:p>
        </w:tc>
        <w:tc>
          <w:tcPr>
            <w:tcW w:w="183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1.138(0.976,1.327)</w:t>
            </w:r>
          </w:p>
        </w:tc>
        <w:tc>
          <w:tcPr>
            <w:tcW w:w="191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0.953(0.791,1.147)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1"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Obese(</w:t>
            </w:r>
            <w:r>
              <w:rPr>
                <w:rFonts w:ascii="Times New Roman" w:hAnsi="Times New Roman"/>
                <w:color w:val="000000" w:themeColor="text1"/>
                <w:szCs w:val="21"/>
                <w14:textFill>
                  <w14:solidFill>
                    <w14:schemeClr w14:val="tx1"/>
                  </w14:solidFill>
                </w14:textFill>
              </w:rPr>
              <w:t>≥</w:t>
            </w:r>
            <w:r>
              <w:rPr>
                <w:rFonts w:hint="eastAsia" w:ascii="Times New Roman" w:hAnsi="Times New Roman"/>
                <w:color w:val="000000" w:themeColor="text1"/>
                <w:szCs w:val="21"/>
                <w14:textFill>
                  <w14:solidFill>
                    <w14:schemeClr w14:val="tx1"/>
                  </w14:solidFill>
                </w14:textFill>
              </w:rPr>
              <w:t>30.0 kg/m²)</w:t>
            </w:r>
          </w:p>
        </w:tc>
        <w:tc>
          <w:tcPr>
            <w:tcW w:w="184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0.372(0.139,0.998)</w:t>
            </w:r>
          </w:p>
        </w:tc>
        <w:tc>
          <w:tcPr>
            <w:tcW w:w="189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0.819(0.506,1.325）</w:t>
            </w:r>
          </w:p>
        </w:tc>
        <w:tc>
          <w:tcPr>
            <w:tcW w:w="183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0.981(0.687,1.401)</w:t>
            </w:r>
          </w:p>
        </w:tc>
        <w:tc>
          <w:tcPr>
            <w:tcW w:w="191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0.936(0.659,1.330)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8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Sleep duration</w:t>
            </w:r>
          </w:p>
        </w:tc>
        <w:tc>
          <w:tcPr>
            <w:tcW w:w="184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89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83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91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1" w:type="dxa"/>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7-9 hours</w:t>
            </w:r>
          </w:p>
        </w:tc>
        <w:tc>
          <w:tcPr>
            <w:tcW w:w="1841"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89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830"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914"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1" w:type="dxa"/>
            <w:tcBorders>
              <w:top w:val="nil"/>
              <w:left w:val="nil"/>
              <w:bottom w:val="single" w:color="auto" w:sz="18" w:space="0"/>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&lt;7/&gt;9 hours</w:t>
            </w:r>
          </w:p>
        </w:tc>
        <w:tc>
          <w:tcPr>
            <w:tcW w:w="1841" w:type="dxa"/>
            <w:tcBorders>
              <w:top w:val="nil"/>
              <w:left w:val="nil"/>
              <w:bottom w:val="single" w:color="auto" w:sz="18" w:space="0"/>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0.958(0.813,1.129)</w:t>
            </w:r>
          </w:p>
        </w:tc>
        <w:tc>
          <w:tcPr>
            <w:tcW w:w="1890" w:type="dxa"/>
            <w:tcBorders>
              <w:top w:val="nil"/>
              <w:left w:val="nil"/>
              <w:bottom w:val="single" w:color="auto" w:sz="18" w:space="0"/>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1.083(0.977,1.199）</w:t>
            </w:r>
          </w:p>
        </w:tc>
        <w:tc>
          <w:tcPr>
            <w:tcW w:w="1830" w:type="dxa"/>
            <w:tcBorders>
              <w:top w:val="nil"/>
              <w:left w:val="nil"/>
              <w:bottom w:val="single" w:color="auto" w:sz="18" w:space="0"/>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1.046(0.976,1.327)</w:t>
            </w:r>
          </w:p>
        </w:tc>
        <w:tc>
          <w:tcPr>
            <w:tcW w:w="1914" w:type="dxa"/>
            <w:tcBorders>
              <w:top w:val="nil"/>
              <w:left w:val="nil"/>
              <w:bottom w:val="single" w:color="auto" w:sz="18" w:space="0"/>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1.127(1.044,1.217)</w:t>
            </w:r>
          </w:p>
        </w:tc>
      </w:tr>
    </w:tbl>
    <w:p>
      <w:pPr>
        <w:rPr>
          <w:rFonts w:ascii="Times New Roman" w:hAnsi="Times New Roman"/>
          <w:b/>
          <w:bCs/>
          <w:color w:val="000000" w:themeColor="text1"/>
          <w:sz w:val="24"/>
          <w14:textFill>
            <w14:solidFill>
              <w14:schemeClr w14:val="tx1"/>
            </w14:solidFill>
          </w14:textFill>
        </w:rPr>
      </w:pPr>
      <w:bookmarkStart w:id="0" w:name="OLE_LINK49"/>
      <w:r>
        <w:rPr>
          <w:rFonts w:ascii="Times New Roman" w:hAnsi="Times New Roman"/>
          <w:b/>
          <w:bCs/>
          <w:color w:val="000000" w:themeColor="text1"/>
          <w:sz w:val="24"/>
          <w14:textFill>
            <w14:solidFill>
              <w14:schemeClr w14:val="tx1"/>
            </w14:solidFill>
          </w14:textFill>
        </w:rPr>
        <w:br w:type="page"/>
      </w:r>
    </w:p>
    <w:p>
      <w:pPr>
        <w:spacing w:line="360" w:lineRule="auto"/>
        <w:rPr>
          <w:rFonts w:ascii="Times New Roman" w:hAnsi="Times New Roman"/>
          <w:b/>
          <w:bCs/>
          <w:color w:val="000000" w:themeColor="text1"/>
          <w:sz w:val="24"/>
          <w14:textFill>
            <w14:solidFill>
              <w14:schemeClr w14:val="tx1"/>
            </w14:solidFill>
          </w14:textFill>
        </w:rPr>
      </w:pPr>
      <w:r>
        <w:rPr>
          <w:rFonts w:ascii="Times New Roman" w:hAnsi="Times New Roman"/>
          <w:b/>
          <w:bCs/>
          <w:color w:val="000000" w:themeColor="text1"/>
          <w:sz w:val="24"/>
          <w14:textFill>
            <w14:solidFill>
              <w14:schemeClr w14:val="tx1"/>
            </w14:solidFill>
          </w14:textFill>
        </w:rPr>
        <w:t>Table S</w:t>
      </w:r>
      <w:r>
        <w:rPr>
          <w:rFonts w:hint="eastAsia" w:ascii="Times New Roman" w:hAnsi="Times New Roman"/>
          <w:b/>
          <w:bCs/>
          <w:color w:val="000000" w:themeColor="text1"/>
          <w:sz w:val="24"/>
          <w14:textFill>
            <w14:solidFill>
              <w14:schemeClr w14:val="tx1"/>
            </w14:solidFill>
          </w14:textFill>
        </w:rPr>
        <w:t>3</w:t>
      </w:r>
      <w:r>
        <w:rPr>
          <w:rFonts w:ascii="Times New Roman" w:hAnsi="Times New Roman"/>
          <w:b/>
          <w:bCs/>
          <w:color w:val="000000" w:themeColor="text1"/>
          <w:sz w:val="24"/>
          <w14:textFill>
            <w14:solidFill>
              <w14:schemeClr w14:val="tx1"/>
            </w14:solidFill>
          </w14:textFill>
        </w:rPr>
        <w:t xml:space="preserve"> </w:t>
      </w:r>
      <w:r>
        <w:rPr>
          <w:rFonts w:ascii="Times New Roman" w:hAnsi="Times New Roman"/>
          <w:b/>
          <w:bCs/>
          <w:i/>
          <w:iCs/>
          <w:color w:val="000000" w:themeColor="text1"/>
          <w:sz w:val="24"/>
          <w14:textFill>
            <w14:solidFill>
              <w14:schemeClr w14:val="tx1"/>
            </w14:solidFill>
          </w14:textFill>
        </w:rPr>
        <w:t>HRs</w:t>
      </w:r>
      <w:r>
        <w:rPr>
          <w:rFonts w:ascii="Times New Roman" w:hAnsi="Times New Roman"/>
          <w:b/>
          <w:bCs/>
          <w:color w:val="000000" w:themeColor="text1"/>
          <w:sz w:val="24"/>
          <w14:textFill>
            <w14:solidFill>
              <w14:schemeClr w14:val="tx1"/>
            </w14:solidFill>
          </w14:textFill>
        </w:rPr>
        <w:t xml:space="preserve"> and 95%</w:t>
      </w:r>
      <w:r>
        <w:rPr>
          <w:rFonts w:ascii="Times New Roman" w:hAnsi="Times New Roman"/>
          <w:b/>
          <w:bCs/>
          <w:i/>
          <w:iCs/>
          <w:color w:val="000000" w:themeColor="text1"/>
          <w:sz w:val="24"/>
          <w14:textFill>
            <w14:solidFill>
              <w14:schemeClr w14:val="tx1"/>
            </w14:solidFill>
          </w14:textFill>
        </w:rPr>
        <w:t xml:space="preserve">CIs </w:t>
      </w:r>
      <w:r>
        <w:rPr>
          <w:rFonts w:ascii="Times New Roman" w:hAnsi="Times New Roman"/>
          <w:b/>
          <w:bCs/>
          <w:color w:val="000000" w:themeColor="text1"/>
          <w:sz w:val="24"/>
          <w14:textFill>
            <w14:solidFill>
              <w14:schemeClr w14:val="tx1"/>
            </w14:solidFill>
          </w14:textFill>
        </w:rPr>
        <w:t>for the mortality risks of lifestyle among the elderly in China</w:t>
      </w:r>
    </w:p>
    <w:tbl>
      <w:tblPr>
        <w:tblStyle w:val="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7"/>
        <w:gridCol w:w="2137"/>
        <w:gridCol w:w="2138"/>
        <w:gridCol w:w="21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7" w:type="pct"/>
            <w:tcBorders>
              <w:top w:val="single" w:color="auto" w:sz="18" w:space="0"/>
              <w:left w:val="nil"/>
              <w:bottom w:val="nil"/>
              <w:right w:val="nil"/>
            </w:tcBorders>
          </w:tcPr>
          <w:p>
            <w:pPr>
              <w:rPr>
                <w:rFonts w:ascii="Times New Roman" w:hAnsi="Times New Roman"/>
                <w:color w:val="000000" w:themeColor="text1"/>
                <w:sz w:val="24"/>
                <w14:textFill>
                  <w14:solidFill>
                    <w14:schemeClr w14:val="tx1"/>
                  </w14:solidFill>
                </w14:textFill>
              </w:rPr>
            </w:pPr>
          </w:p>
        </w:tc>
        <w:tc>
          <w:tcPr>
            <w:tcW w:w="1254" w:type="pct"/>
            <w:tcBorders>
              <w:top w:val="single" w:color="auto" w:sz="18" w:space="0"/>
              <w:left w:val="nil"/>
              <w:bottom w:val="single" w:color="auto" w:sz="4" w:space="0"/>
              <w:right w:val="nil"/>
            </w:tcBorders>
          </w:tcPr>
          <w:p>
            <w:pPr>
              <w:rPr>
                <w:rFonts w:ascii="Times New Roman" w:hAnsi="Times New Roman"/>
                <w:color w:val="000000" w:themeColor="text1"/>
                <w:sz w:val="24"/>
                <w14:textFill>
                  <w14:solidFill>
                    <w14:schemeClr w14:val="tx1"/>
                  </w14:solidFill>
                </w14:textFill>
              </w:rPr>
            </w:pPr>
            <w:r>
              <w:rPr>
                <w:rFonts w:ascii="Times New Roman" w:hAnsi="Times New Roman"/>
                <w:color w:val="000000" w:themeColor="text1"/>
                <w:szCs w:val="21"/>
                <w14:textFill>
                  <w14:solidFill>
                    <w14:schemeClr w14:val="tx1"/>
                  </w14:solidFill>
                </w14:textFill>
              </w:rPr>
              <w:t>Model 1</w:t>
            </w:r>
          </w:p>
        </w:tc>
        <w:tc>
          <w:tcPr>
            <w:tcW w:w="2137" w:type="dxa"/>
            <w:tcBorders>
              <w:top w:val="single" w:color="auto" w:sz="18" w:space="0"/>
              <w:left w:val="nil"/>
              <w:bottom w:val="single" w:color="auto" w:sz="4" w:space="0"/>
              <w:right w:val="nil"/>
            </w:tcBorders>
          </w:tcPr>
          <w:p>
            <w:pP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Model </w:t>
            </w:r>
            <w:r>
              <w:rPr>
                <w:rFonts w:hint="eastAsia" w:ascii="Times New Roman" w:hAnsi="Times New Roman"/>
                <w:color w:val="000000" w:themeColor="text1"/>
                <w:szCs w:val="21"/>
                <w14:textFill>
                  <w14:solidFill>
                    <w14:schemeClr w14:val="tx1"/>
                  </w14:solidFill>
                </w14:textFill>
              </w:rPr>
              <w:t>2</w:t>
            </w:r>
          </w:p>
        </w:tc>
        <w:tc>
          <w:tcPr>
            <w:tcW w:w="1254" w:type="pct"/>
            <w:tcBorders>
              <w:top w:val="single" w:color="auto" w:sz="18" w:space="0"/>
              <w:left w:val="nil"/>
              <w:bottom w:val="single" w:color="auto" w:sz="4" w:space="0"/>
              <w:right w:val="nil"/>
            </w:tcBorders>
          </w:tcPr>
          <w:p>
            <w:pPr>
              <w:rPr>
                <w:rFonts w:ascii="Times New Roman" w:hAnsi="Times New Roman"/>
                <w:color w:val="000000" w:themeColor="text1"/>
                <w:sz w:val="24"/>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Model </w:t>
            </w:r>
            <w:r>
              <w:rPr>
                <w:rFonts w:hint="eastAsia" w:ascii="Times New Roman" w:hAnsi="Times New Roman"/>
                <w:color w:val="000000" w:themeColor="text1"/>
                <w:szCs w:val="21"/>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7" w:type="pct"/>
            <w:tcBorders>
              <w:top w:val="nil"/>
              <w:left w:val="nil"/>
              <w:bottom w:val="single" w:color="auto" w:sz="18" w:space="0"/>
              <w:right w:val="nil"/>
            </w:tcBorders>
          </w:tcPr>
          <w:p>
            <w:pPr>
              <w:rPr>
                <w:rFonts w:ascii="Times New Roman" w:hAnsi="Times New Roman"/>
                <w:color w:val="000000" w:themeColor="text1"/>
                <w:sz w:val="24"/>
                <w14:textFill>
                  <w14:solidFill>
                    <w14:schemeClr w14:val="tx1"/>
                  </w14:solidFill>
                </w14:textFill>
              </w:rPr>
            </w:pPr>
          </w:p>
        </w:tc>
        <w:tc>
          <w:tcPr>
            <w:tcW w:w="1254" w:type="pct"/>
            <w:tcBorders>
              <w:top w:val="single" w:color="auto" w:sz="4" w:space="0"/>
              <w:left w:val="nil"/>
              <w:bottom w:val="single" w:color="auto" w:sz="18" w:space="0"/>
              <w:right w:val="nil"/>
            </w:tcBorders>
          </w:tcPr>
          <w:p>
            <w:pPr>
              <w:rPr>
                <w:rFonts w:ascii="Times New Roman" w:hAnsi="Times New Roman"/>
                <w:color w:val="000000" w:themeColor="text1"/>
                <w:sz w:val="24"/>
                <w14:textFill>
                  <w14:solidFill>
                    <w14:schemeClr w14:val="tx1"/>
                  </w14:solidFill>
                </w14:textFill>
              </w:rPr>
            </w:pPr>
            <w:r>
              <w:rPr>
                <w:rFonts w:ascii="Times New Roman" w:hAnsi="Times New Roman"/>
                <w:i/>
                <w:iCs/>
                <w:color w:val="000000" w:themeColor="text1"/>
                <w:szCs w:val="21"/>
                <w14:textFill>
                  <w14:solidFill>
                    <w14:schemeClr w14:val="tx1"/>
                  </w14:solidFill>
                </w14:textFill>
              </w:rPr>
              <w:t>HR（95%CI）</w:t>
            </w:r>
          </w:p>
        </w:tc>
        <w:tc>
          <w:tcPr>
            <w:tcW w:w="2137" w:type="dxa"/>
            <w:tcBorders>
              <w:top w:val="single" w:color="auto" w:sz="4" w:space="0"/>
              <w:left w:val="nil"/>
              <w:bottom w:val="single" w:color="auto" w:sz="18" w:space="0"/>
              <w:right w:val="nil"/>
            </w:tcBorders>
          </w:tcPr>
          <w:p>
            <w:pPr>
              <w:rPr>
                <w:rFonts w:ascii="Times New Roman" w:hAnsi="Times New Roman"/>
                <w:i/>
                <w:iCs/>
                <w:color w:val="000000" w:themeColor="text1"/>
                <w:szCs w:val="21"/>
                <w14:textFill>
                  <w14:solidFill>
                    <w14:schemeClr w14:val="tx1"/>
                  </w14:solidFill>
                </w14:textFill>
              </w:rPr>
            </w:pPr>
            <w:r>
              <w:rPr>
                <w:rFonts w:ascii="Times New Roman" w:hAnsi="Times New Roman"/>
                <w:i/>
                <w:iCs/>
                <w:color w:val="000000" w:themeColor="text1"/>
                <w:szCs w:val="21"/>
                <w14:textFill>
                  <w14:solidFill>
                    <w14:schemeClr w14:val="tx1"/>
                  </w14:solidFill>
                </w14:textFill>
              </w:rPr>
              <w:t>HR（95%CI）</w:t>
            </w:r>
          </w:p>
        </w:tc>
        <w:tc>
          <w:tcPr>
            <w:tcW w:w="1254" w:type="pct"/>
            <w:tcBorders>
              <w:top w:val="single" w:color="auto" w:sz="4" w:space="0"/>
              <w:left w:val="nil"/>
              <w:bottom w:val="single" w:color="auto" w:sz="18" w:space="0"/>
              <w:right w:val="nil"/>
            </w:tcBorders>
          </w:tcPr>
          <w:p>
            <w:pPr>
              <w:rPr>
                <w:rFonts w:ascii="Times New Roman" w:hAnsi="Times New Roman"/>
                <w:color w:val="000000" w:themeColor="text1"/>
                <w:sz w:val="24"/>
                <w14:textFill>
                  <w14:solidFill>
                    <w14:schemeClr w14:val="tx1"/>
                  </w14:solidFill>
                </w14:textFill>
              </w:rPr>
            </w:pPr>
            <w:r>
              <w:rPr>
                <w:rFonts w:ascii="Times New Roman" w:hAnsi="Times New Roman"/>
                <w:i/>
                <w:iCs/>
                <w:color w:val="000000" w:themeColor="text1"/>
                <w:szCs w:val="21"/>
                <w14:textFill>
                  <w14:solidFill>
                    <w14:schemeClr w14:val="tx1"/>
                  </w14:solidFill>
                </w14:textFill>
              </w:rPr>
              <w:t>HR（95%CI）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7" w:type="pct"/>
            <w:tcBorders>
              <w:top w:val="single" w:color="auto" w:sz="18" w:space="0"/>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Risk score</w:t>
            </w:r>
          </w:p>
        </w:tc>
        <w:tc>
          <w:tcPr>
            <w:tcW w:w="1254" w:type="pct"/>
            <w:tcBorders>
              <w:top w:val="single" w:color="auto" w:sz="18" w:space="0"/>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2137" w:type="dxa"/>
            <w:tcBorders>
              <w:top w:val="single" w:color="auto" w:sz="18" w:space="0"/>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254" w:type="pct"/>
            <w:tcBorders>
              <w:top w:val="single" w:color="auto" w:sz="18" w:space="0"/>
              <w:left w:val="nil"/>
              <w:bottom w:val="nil"/>
              <w:right w:val="nil"/>
            </w:tcBorders>
          </w:tcPr>
          <w:p>
            <w:pPr>
              <w:rPr>
                <w:rFonts w:ascii="Times New Roman" w:hAnsi="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7" w:type="pct"/>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w:t>
            </w:r>
          </w:p>
        </w:tc>
        <w:tc>
          <w:tcPr>
            <w:tcW w:w="1254"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2137"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254"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7" w:type="pct"/>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254"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1.086(0.939,1.255)</w:t>
            </w:r>
          </w:p>
        </w:tc>
        <w:tc>
          <w:tcPr>
            <w:tcW w:w="2137"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1.080(0.934,1.249)</w:t>
            </w:r>
          </w:p>
        </w:tc>
        <w:tc>
          <w:tcPr>
            <w:tcW w:w="1254"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1.053(0.911,1.219)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7" w:type="pct"/>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2</w:t>
            </w:r>
          </w:p>
        </w:tc>
        <w:tc>
          <w:tcPr>
            <w:tcW w:w="1254"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1.324(1.153,1.520)</w:t>
            </w:r>
          </w:p>
        </w:tc>
        <w:tc>
          <w:tcPr>
            <w:tcW w:w="2137"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1.143(0.994,1.315)</w:t>
            </w:r>
          </w:p>
        </w:tc>
        <w:tc>
          <w:tcPr>
            <w:tcW w:w="1254"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1.101(0.958,1.267)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7" w:type="pct"/>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3</w:t>
            </w:r>
          </w:p>
        </w:tc>
        <w:tc>
          <w:tcPr>
            <w:tcW w:w="1254"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1.447(1.260,1.662)</w:t>
            </w:r>
          </w:p>
        </w:tc>
        <w:tc>
          <w:tcPr>
            <w:tcW w:w="2137"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1.230(1.069,1.415)</w:t>
            </w:r>
          </w:p>
        </w:tc>
        <w:tc>
          <w:tcPr>
            <w:tcW w:w="1254"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1.165(1.012,1.341)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7" w:type="pct"/>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4</w:t>
            </w:r>
          </w:p>
        </w:tc>
        <w:tc>
          <w:tcPr>
            <w:tcW w:w="1254"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1.432(1.238,1.656)</w:t>
            </w:r>
          </w:p>
        </w:tc>
        <w:tc>
          <w:tcPr>
            <w:tcW w:w="2137"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1.248(1.077,1.447)</w:t>
            </w:r>
          </w:p>
        </w:tc>
        <w:tc>
          <w:tcPr>
            <w:tcW w:w="1254"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1.166(1.005,1.352)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7" w:type="pct"/>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5</w:t>
            </w:r>
          </w:p>
        </w:tc>
        <w:tc>
          <w:tcPr>
            <w:tcW w:w="1254"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1.733(1.464,2.052)</w:t>
            </w:r>
          </w:p>
        </w:tc>
        <w:tc>
          <w:tcPr>
            <w:tcW w:w="2137" w:type="dxa"/>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1.470(1.237,1.748)</w:t>
            </w:r>
          </w:p>
        </w:tc>
        <w:tc>
          <w:tcPr>
            <w:tcW w:w="1254"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1.360(1.144,1.617)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7" w:type="pct"/>
            <w:tcBorders>
              <w:top w:val="nil"/>
              <w:left w:val="nil"/>
              <w:bottom w:val="single" w:color="000000" w:sz="18" w:space="0"/>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6</w:t>
            </w:r>
          </w:p>
        </w:tc>
        <w:tc>
          <w:tcPr>
            <w:tcW w:w="1254" w:type="pct"/>
            <w:tcBorders>
              <w:top w:val="nil"/>
              <w:left w:val="nil"/>
              <w:bottom w:val="single" w:color="000000" w:sz="18" w:space="0"/>
              <w:right w:val="nil"/>
            </w:tcBorders>
          </w:tcPr>
          <w:p>
            <w:pPr>
              <w:rPr>
                <w:rFonts w:ascii="Times New Roman" w:hAnsi="Times New Roman"/>
                <w:color w:val="000000" w:themeColor="text1"/>
                <w:szCs w:val="21"/>
                <w14:textFill>
                  <w14:solidFill>
                    <w14:schemeClr w14:val="tx1"/>
                  </w14:solidFill>
                </w14:textFill>
              </w:rPr>
            </w:pPr>
            <w:bookmarkStart w:id="1" w:name="OLE_LINK22"/>
            <w:r>
              <w:rPr>
                <w:rFonts w:hint="eastAsia" w:ascii="Times New Roman" w:hAnsi="Times New Roman"/>
                <w:color w:val="000000" w:themeColor="text1"/>
                <w:szCs w:val="21"/>
                <w14:textFill>
                  <w14:solidFill>
                    <w14:schemeClr w14:val="tx1"/>
                  </w14:solidFill>
                </w14:textFill>
              </w:rPr>
              <w:t>1.862(1.373,2.525)</w:t>
            </w:r>
            <w:bookmarkEnd w:id="1"/>
          </w:p>
        </w:tc>
        <w:tc>
          <w:tcPr>
            <w:tcW w:w="2137" w:type="dxa"/>
            <w:tcBorders>
              <w:top w:val="nil"/>
              <w:left w:val="nil"/>
              <w:bottom w:val="single" w:color="000000" w:sz="18" w:space="0"/>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1.500(1.104,2.039)</w:t>
            </w:r>
          </w:p>
        </w:tc>
        <w:tc>
          <w:tcPr>
            <w:tcW w:w="1254" w:type="pct"/>
            <w:tcBorders>
              <w:top w:val="nil"/>
              <w:left w:val="nil"/>
              <w:bottom w:val="single" w:color="000000" w:sz="18" w:space="0"/>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1.321(0.791,1.796)</w:t>
            </w:r>
          </w:p>
        </w:tc>
      </w:tr>
    </w:tbl>
    <w:p>
      <w:pPr>
        <w:spacing w:line="360"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Model 1. Unadjusted model </w:t>
      </w:r>
    </w:p>
    <w:p>
      <w:pPr>
        <w:spacing w:line="360"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Model 2. Model 1 further adjusted for age</w:t>
      </w:r>
      <w:r>
        <w:rPr>
          <w:rFonts w:hint="eastAsia"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14:textFill>
            <w14:solidFill>
              <w14:schemeClr w14:val="tx1"/>
            </w14:solidFill>
          </w14:textFill>
        </w:rPr>
        <w:t xml:space="preserve"> </w:t>
      </w:r>
      <w:r>
        <w:rPr>
          <w:rFonts w:hint="eastAsia" w:ascii="Times New Roman" w:hAnsi="Times New Roman"/>
          <w:color w:val="000000" w:themeColor="text1"/>
          <w:szCs w:val="21"/>
          <w14:textFill>
            <w14:solidFill>
              <w14:schemeClr w14:val="tx1"/>
            </w14:solidFill>
          </w14:textFill>
        </w:rPr>
        <w:t>gender</w:t>
      </w:r>
      <w:r>
        <w:rPr>
          <w:rFonts w:ascii="Times New Roman" w:hAnsi="Times New Roman"/>
          <w:color w:val="000000" w:themeColor="text1"/>
          <w:szCs w:val="21"/>
          <w14:textFill>
            <w14:solidFill>
              <w14:schemeClr w14:val="tx1"/>
            </w14:solidFill>
          </w14:textFill>
        </w:rPr>
        <w:t>, residential type, marital status, economic situation and education</w:t>
      </w:r>
      <w:bookmarkStart w:id="10" w:name="_GoBack"/>
      <w:bookmarkEnd w:id="10"/>
    </w:p>
    <w:p>
      <w:pPr>
        <w:spacing w:line="360"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Model 3. Model 2 further adjusted for some</w:t>
      </w:r>
      <w:r>
        <w:rPr>
          <w:rFonts w:hint="eastAsia" w:ascii="Times New Roman" w:hAnsi="Times New Roman"/>
          <w:color w:val="000000" w:themeColor="text1"/>
          <w:szCs w:val="21"/>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chronic diseases</w:t>
      </w:r>
      <w:r>
        <w:rPr>
          <w:rFonts w:hint="eastAsia"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14:textFill>
            <w14:solidFill>
              <w14:schemeClr w14:val="tx1"/>
            </w14:solidFill>
          </w14:textFill>
        </w:rPr>
        <w:t xml:space="preserve"> ADL</w:t>
      </w:r>
      <w:r>
        <w:rPr>
          <w:rFonts w:hint="eastAsia" w:ascii="Times New Roman" w:hAnsi="Times New Roman"/>
          <w:color w:val="000000" w:themeColor="text1"/>
          <w:szCs w:val="21"/>
          <w14:textFill>
            <w14:solidFill>
              <w14:schemeClr w14:val="tx1"/>
            </w14:solidFill>
          </w14:textFill>
        </w:rPr>
        <w:t xml:space="preserve"> and self-reported health</w:t>
      </w:r>
    </w:p>
    <w:p>
      <w:pPr>
        <w:spacing w:line="360" w:lineRule="auto"/>
        <w:rPr>
          <w:rFonts w:ascii="Times New Roman" w:hAnsi="Times New Roman"/>
          <w:b/>
          <w:bCs/>
          <w:color w:val="000000" w:themeColor="text1"/>
          <w:sz w:val="24"/>
          <w14:textFill>
            <w14:solidFill>
              <w14:schemeClr w14:val="tx1"/>
            </w14:solidFill>
          </w14:textFill>
        </w:rPr>
      </w:pPr>
      <w:r>
        <w:rPr>
          <w:rFonts w:hint="eastAsia" w:ascii="Times New Roman" w:hAnsi="Times New Roman"/>
          <w:b/>
          <w:bCs/>
          <w:color w:val="000000" w:themeColor="text1"/>
          <w:sz w:val="24"/>
          <w14:textFill>
            <w14:solidFill>
              <w14:schemeClr w14:val="tx1"/>
            </w14:solidFill>
          </w14:textFill>
        </w:rPr>
        <w:t xml:space="preserve">Table S4 </w:t>
      </w:r>
      <w:r>
        <w:rPr>
          <w:rFonts w:ascii="Times New Roman" w:hAnsi="Times New Roman"/>
          <w:b/>
          <w:bCs/>
          <w:i/>
          <w:iCs/>
          <w:color w:val="000000" w:themeColor="text1"/>
          <w:sz w:val="24"/>
          <w14:textFill>
            <w14:solidFill>
              <w14:schemeClr w14:val="tx1"/>
            </w14:solidFill>
          </w14:textFill>
        </w:rPr>
        <w:t>HRs</w:t>
      </w:r>
      <w:r>
        <w:rPr>
          <w:rFonts w:ascii="Times New Roman" w:hAnsi="Times New Roman"/>
          <w:b/>
          <w:bCs/>
          <w:color w:val="000000" w:themeColor="text1"/>
          <w:sz w:val="24"/>
          <w14:textFill>
            <w14:solidFill>
              <w14:schemeClr w14:val="tx1"/>
            </w14:solidFill>
          </w14:textFill>
        </w:rPr>
        <w:t xml:space="preserve"> and 95%</w:t>
      </w:r>
      <w:r>
        <w:rPr>
          <w:rFonts w:ascii="Times New Roman" w:hAnsi="Times New Roman"/>
          <w:b/>
          <w:bCs/>
          <w:i/>
          <w:iCs/>
          <w:color w:val="000000" w:themeColor="text1"/>
          <w:sz w:val="24"/>
          <w14:textFill>
            <w14:solidFill>
              <w14:schemeClr w14:val="tx1"/>
            </w14:solidFill>
          </w14:textFill>
        </w:rPr>
        <w:t>CIs</w:t>
      </w:r>
      <w:r>
        <w:rPr>
          <w:rFonts w:ascii="Times New Roman" w:hAnsi="Times New Roman"/>
          <w:b/>
          <w:bCs/>
          <w:color w:val="000000" w:themeColor="text1"/>
          <w:sz w:val="24"/>
          <w14:textFill>
            <w14:solidFill>
              <w14:schemeClr w14:val="tx1"/>
            </w14:solidFill>
          </w14:textFill>
        </w:rPr>
        <w:t xml:space="preserve"> for the mortality risks of lifestyle among the elderly</w:t>
      </w:r>
      <w:r>
        <w:rPr>
          <w:rFonts w:hint="eastAsia" w:ascii="Times New Roman" w:hAnsi="Times New Roman"/>
          <w:b/>
          <w:bCs/>
          <w:color w:val="000000" w:themeColor="text1"/>
          <w:sz w:val="24"/>
          <w14:textFill>
            <w14:solidFill>
              <w14:schemeClr w14:val="tx1"/>
            </w14:solidFill>
          </w14:textFill>
        </w:rPr>
        <w:t xml:space="preserve"> by age</w:t>
      </w:r>
      <w:r>
        <w:rPr>
          <w:rFonts w:ascii="Times New Roman" w:hAnsi="Times New Roman"/>
          <w:b/>
          <w:bCs/>
          <w:color w:val="000000" w:themeColor="text1"/>
          <w:sz w:val="24"/>
          <w14:textFill>
            <w14:solidFill>
              <w14:schemeClr w14:val="tx1"/>
            </w14:solidFill>
          </w14:textFill>
        </w:rPr>
        <w:t xml:space="preserve"> in China</w:t>
      </w:r>
    </w:p>
    <w:bookmarkEnd w:id="0"/>
    <w:tbl>
      <w:tblPr>
        <w:tblStyle w:val="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6"/>
        <w:gridCol w:w="1826"/>
        <w:gridCol w:w="1826"/>
        <w:gridCol w:w="1826"/>
        <w:gridCol w:w="18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pct"/>
            <w:tcBorders>
              <w:top w:val="single" w:color="auto" w:sz="18" w:space="0"/>
              <w:left w:val="nil"/>
              <w:bottom w:val="nil"/>
              <w:right w:val="nil"/>
            </w:tcBorders>
          </w:tcPr>
          <w:p>
            <w:pPr>
              <w:rPr>
                <w:rFonts w:ascii="Times New Roman" w:hAnsi="Times New Roman"/>
                <w:color w:val="000000" w:themeColor="text1"/>
                <w:sz w:val="24"/>
                <w14:textFill>
                  <w14:solidFill>
                    <w14:schemeClr w14:val="tx1"/>
                  </w14:solidFill>
                </w14:textFill>
              </w:rPr>
            </w:pPr>
          </w:p>
        </w:tc>
        <w:tc>
          <w:tcPr>
            <w:tcW w:w="1002" w:type="pct"/>
            <w:tcBorders>
              <w:top w:val="single" w:color="auto" w:sz="18" w:space="0"/>
              <w:left w:val="nil"/>
              <w:bottom w:val="single" w:color="auto" w:sz="4" w:space="0"/>
              <w:right w:val="nil"/>
            </w:tcBorders>
          </w:tcPr>
          <w:p>
            <w:pPr>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65-</w:t>
            </w:r>
          </w:p>
        </w:tc>
        <w:tc>
          <w:tcPr>
            <w:tcW w:w="1002" w:type="pct"/>
            <w:tcBorders>
              <w:top w:val="single" w:color="auto" w:sz="18" w:space="0"/>
              <w:left w:val="nil"/>
              <w:bottom w:val="single" w:color="auto" w:sz="4" w:space="0"/>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75-</w:t>
            </w:r>
          </w:p>
        </w:tc>
        <w:tc>
          <w:tcPr>
            <w:tcW w:w="1002" w:type="pct"/>
            <w:tcBorders>
              <w:top w:val="single" w:color="auto" w:sz="18" w:space="0"/>
              <w:left w:val="nil"/>
              <w:bottom w:val="single" w:color="auto" w:sz="4" w:space="0"/>
              <w:right w:val="nil"/>
            </w:tcBorders>
          </w:tcPr>
          <w:p>
            <w:pPr>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85-</w:t>
            </w:r>
          </w:p>
        </w:tc>
        <w:tc>
          <w:tcPr>
            <w:tcW w:w="1002" w:type="pct"/>
            <w:tcBorders>
              <w:top w:val="single" w:color="auto" w:sz="18" w:space="0"/>
              <w:left w:val="nil"/>
              <w:bottom w:val="single" w:color="auto" w:sz="4" w:space="0"/>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pct"/>
            <w:tcBorders>
              <w:top w:val="nil"/>
              <w:left w:val="nil"/>
              <w:bottom w:val="single" w:color="auto" w:sz="18" w:space="0"/>
              <w:right w:val="nil"/>
            </w:tcBorders>
          </w:tcPr>
          <w:p>
            <w:pPr>
              <w:rPr>
                <w:rFonts w:ascii="Times New Roman" w:hAnsi="Times New Roman"/>
                <w:color w:val="000000" w:themeColor="text1"/>
                <w:sz w:val="24"/>
                <w14:textFill>
                  <w14:solidFill>
                    <w14:schemeClr w14:val="tx1"/>
                  </w14:solidFill>
                </w14:textFill>
              </w:rPr>
            </w:pPr>
          </w:p>
        </w:tc>
        <w:tc>
          <w:tcPr>
            <w:tcW w:w="1002" w:type="pct"/>
            <w:tcBorders>
              <w:top w:val="single" w:color="auto" w:sz="4" w:space="0"/>
              <w:left w:val="nil"/>
              <w:bottom w:val="single" w:color="auto" w:sz="18" w:space="0"/>
              <w:right w:val="nil"/>
            </w:tcBorders>
          </w:tcPr>
          <w:p>
            <w:pPr>
              <w:rPr>
                <w:rFonts w:ascii="Times New Roman" w:hAnsi="Times New Roman"/>
                <w:color w:val="000000" w:themeColor="text1"/>
                <w:sz w:val="24"/>
                <w14:textFill>
                  <w14:solidFill>
                    <w14:schemeClr w14:val="tx1"/>
                  </w14:solidFill>
                </w14:textFill>
              </w:rPr>
            </w:pPr>
            <w:r>
              <w:rPr>
                <w:rFonts w:ascii="Times New Roman" w:hAnsi="Times New Roman"/>
                <w:i/>
                <w:iCs/>
                <w:color w:val="000000" w:themeColor="text1"/>
                <w:szCs w:val="21"/>
                <w14:textFill>
                  <w14:solidFill>
                    <w14:schemeClr w14:val="tx1"/>
                  </w14:solidFill>
                </w14:textFill>
              </w:rPr>
              <w:t xml:space="preserve">HR </w:t>
            </w:r>
            <w:r>
              <w:rPr>
                <w:rFonts w:hint="eastAsia" w:ascii="Times New Roman" w:hAnsi="Times New Roman"/>
                <w:i/>
                <w:iCs/>
                <w:color w:val="000000" w:themeColor="text1"/>
                <w:szCs w:val="21"/>
                <w14:textFill>
                  <w14:solidFill>
                    <w14:schemeClr w14:val="tx1"/>
                  </w14:solidFill>
                </w14:textFill>
              </w:rPr>
              <w:t>(</w:t>
            </w:r>
            <w:r>
              <w:rPr>
                <w:rFonts w:ascii="Times New Roman" w:hAnsi="Times New Roman"/>
                <w:i/>
                <w:iCs/>
                <w:color w:val="000000" w:themeColor="text1"/>
                <w:szCs w:val="21"/>
                <w14:textFill>
                  <w14:solidFill>
                    <w14:schemeClr w14:val="tx1"/>
                  </w14:solidFill>
                </w14:textFill>
              </w:rPr>
              <w:t>95%CI</w:t>
            </w:r>
            <w:r>
              <w:rPr>
                <w:rFonts w:hint="eastAsia" w:ascii="Times New Roman" w:hAnsi="Times New Roman"/>
                <w:i/>
                <w:iCs/>
                <w:color w:val="000000" w:themeColor="text1"/>
                <w:szCs w:val="21"/>
                <w14:textFill>
                  <w14:solidFill>
                    <w14:schemeClr w14:val="tx1"/>
                  </w14:solidFill>
                </w14:textFill>
              </w:rPr>
              <w:t>)</w:t>
            </w:r>
          </w:p>
        </w:tc>
        <w:tc>
          <w:tcPr>
            <w:tcW w:w="1002" w:type="pct"/>
            <w:tcBorders>
              <w:top w:val="single" w:color="auto" w:sz="4" w:space="0"/>
              <w:left w:val="nil"/>
              <w:bottom w:val="single" w:color="auto" w:sz="18" w:space="0"/>
              <w:right w:val="nil"/>
            </w:tcBorders>
          </w:tcPr>
          <w:p>
            <w:pPr>
              <w:rPr>
                <w:rFonts w:ascii="Times New Roman" w:hAnsi="Times New Roman"/>
                <w:i/>
                <w:iCs/>
                <w:color w:val="000000" w:themeColor="text1"/>
                <w:szCs w:val="21"/>
                <w14:textFill>
                  <w14:solidFill>
                    <w14:schemeClr w14:val="tx1"/>
                  </w14:solidFill>
                </w14:textFill>
              </w:rPr>
            </w:pPr>
            <w:r>
              <w:rPr>
                <w:rFonts w:ascii="Times New Roman" w:hAnsi="Times New Roman"/>
                <w:i/>
                <w:iCs/>
                <w:color w:val="000000" w:themeColor="text1"/>
                <w:szCs w:val="21"/>
                <w14:textFill>
                  <w14:solidFill>
                    <w14:schemeClr w14:val="tx1"/>
                  </w14:solidFill>
                </w14:textFill>
              </w:rPr>
              <w:t xml:space="preserve">HR </w:t>
            </w:r>
            <w:r>
              <w:rPr>
                <w:rFonts w:hint="eastAsia" w:ascii="Times New Roman" w:hAnsi="Times New Roman"/>
                <w:i/>
                <w:iCs/>
                <w:color w:val="000000" w:themeColor="text1"/>
                <w:szCs w:val="21"/>
                <w14:textFill>
                  <w14:solidFill>
                    <w14:schemeClr w14:val="tx1"/>
                  </w14:solidFill>
                </w14:textFill>
              </w:rPr>
              <w:t>(</w:t>
            </w:r>
            <w:r>
              <w:rPr>
                <w:rFonts w:ascii="Times New Roman" w:hAnsi="Times New Roman"/>
                <w:i/>
                <w:iCs/>
                <w:color w:val="000000" w:themeColor="text1"/>
                <w:szCs w:val="21"/>
                <w14:textFill>
                  <w14:solidFill>
                    <w14:schemeClr w14:val="tx1"/>
                  </w14:solidFill>
                </w14:textFill>
              </w:rPr>
              <w:t>95%CI</w:t>
            </w:r>
            <w:r>
              <w:rPr>
                <w:rFonts w:hint="eastAsia" w:ascii="Times New Roman" w:hAnsi="Times New Roman"/>
                <w:i/>
                <w:iCs/>
                <w:color w:val="000000" w:themeColor="text1"/>
                <w:szCs w:val="21"/>
                <w14:textFill>
                  <w14:solidFill>
                    <w14:schemeClr w14:val="tx1"/>
                  </w14:solidFill>
                </w14:textFill>
              </w:rPr>
              <w:t>)</w:t>
            </w:r>
          </w:p>
        </w:tc>
        <w:tc>
          <w:tcPr>
            <w:tcW w:w="1002" w:type="pct"/>
            <w:tcBorders>
              <w:top w:val="single" w:color="auto" w:sz="4" w:space="0"/>
              <w:left w:val="nil"/>
              <w:bottom w:val="single" w:color="auto" w:sz="18" w:space="0"/>
              <w:right w:val="nil"/>
            </w:tcBorders>
          </w:tcPr>
          <w:p>
            <w:pPr>
              <w:rPr>
                <w:rFonts w:ascii="Times New Roman" w:hAnsi="Times New Roman"/>
                <w:color w:val="000000" w:themeColor="text1"/>
                <w:sz w:val="24"/>
                <w14:textFill>
                  <w14:solidFill>
                    <w14:schemeClr w14:val="tx1"/>
                  </w14:solidFill>
                </w14:textFill>
              </w:rPr>
            </w:pPr>
            <w:bookmarkStart w:id="2" w:name="OLE_LINK56"/>
            <w:r>
              <w:rPr>
                <w:rFonts w:ascii="Times New Roman" w:hAnsi="Times New Roman"/>
                <w:i/>
                <w:iCs/>
                <w:color w:val="000000" w:themeColor="text1"/>
                <w:szCs w:val="21"/>
                <w14:textFill>
                  <w14:solidFill>
                    <w14:schemeClr w14:val="tx1"/>
                  </w14:solidFill>
                </w14:textFill>
              </w:rPr>
              <w:t xml:space="preserve">HR </w:t>
            </w:r>
            <w:r>
              <w:rPr>
                <w:rFonts w:hint="eastAsia" w:ascii="Times New Roman" w:hAnsi="Times New Roman"/>
                <w:i/>
                <w:iCs/>
                <w:color w:val="000000" w:themeColor="text1"/>
                <w:szCs w:val="21"/>
                <w14:textFill>
                  <w14:solidFill>
                    <w14:schemeClr w14:val="tx1"/>
                  </w14:solidFill>
                </w14:textFill>
              </w:rPr>
              <w:t>(</w:t>
            </w:r>
            <w:r>
              <w:rPr>
                <w:rFonts w:ascii="Times New Roman" w:hAnsi="Times New Roman"/>
                <w:i/>
                <w:iCs/>
                <w:color w:val="000000" w:themeColor="text1"/>
                <w:szCs w:val="21"/>
                <w14:textFill>
                  <w14:solidFill>
                    <w14:schemeClr w14:val="tx1"/>
                  </w14:solidFill>
                </w14:textFill>
              </w:rPr>
              <w:t>95%CI</w:t>
            </w:r>
            <w:r>
              <w:rPr>
                <w:rFonts w:hint="eastAsia" w:ascii="Times New Roman" w:hAnsi="Times New Roman"/>
                <w:i/>
                <w:iCs/>
                <w:color w:val="000000" w:themeColor="text1"/>
                <w:szCs w:val="21"/>
                <w14:textFill>
                  <w14:solidFill>
                    <w14:schemeClr w14:val="tx1"/>
                  </w14:solidFill>
                </w14:textFill>
              </w:rPr>
              <w:t>)</w:t>
            </w:r>
            <w:bookmarkEnd w:id="2"/>
          </w:p>
        </w:tc>
        <w:tc>
          <w:tcPr>
            <w:tcW w:w="1002" w:type="pct"/>
            <w:tcBorders>
              <w:top w:val="single" w:color="auto" w:sz="4" w:space="0"/>
              <w:left w:val="nil"/>
              <w:bottom w:val="single" w:color="auto" w:sz="18" w:space="0"/>
              <w:right w:val="nil"/>
            </w:tcBorders>
          </w:tcPr>
          <w:p>
            <w:pPr>
              <w:rPr>
                <w:rFonts w:ascii="Times New Roman" w:hAnsi="Times New Roman"/>
                <w:i/>
                <w:iCs/>
                <w:color w:val="000000" w:themeColor="text1"/>
                <w:szCs w:val="21"/>
                <w14:textFill>
                  <w14:solidFill>
                    <w14:schemeClr w14:val="tx1"/>
                  </w14:solidFill>
                </w14:textFill>
              </w:rPr>
            </w:pPr>
            <w:r>
              <w:rPr>
                <w:rFonts w:ascii="Times New Roman" w:hAnsi="Times New Roman"/>
                <w:i/>
                <w:iCs/>
                <w:color w:val="000000" w:themeColor="text1"/>
                <w:szCs w:val="21"/>
                <w14:textFill>
                  <w14:solidFill>
                    <w14:schemeClr w14:val="tx1"/>
                  </w14:solidFill>
                </w14:textFill>
              </w:rPr>
              <w:t xml:space="preserve">HR </w:t>
            </w:r>
            <w:r>
              <w:rPr>
                <w:rFonts w:hint="eastAsia" w:ascii="Times New Roman" w:hAnsi="Times New Roman"/>
                <w:i/>
                <w:iCs/>
                <w:color w:val="000000" w:themeColor="text1"/>
                <w:szCs w:val="21"/>
                <w14:textFill>
                  <w14:solidFill>
                    <w14:schemeClr w14:val="tx1"/>
                  </w14:solidFill>
                </w14:textFill>
              </w:rPr>
              <w:t>(</w:t>
            </w:r>
            <w:r>
              <w:rPr>
                <w:rFonts w:ascii="Times New Roman" w:hAnsi="Times New Roman"/>
                <w:i/>
                <w:iCs/>
                <w:color w:val="000000" w:themeColor="text1"/>
                <w:szCs w:val="21"/>
                <w14:textFill>
                  <w14:solidFill>
                    <w14:schemeClr w14:val="tx1"/>
                  </w14:solidFill>
                </w14:textFill>
              </w:rPr>
              <w:t>95%CI</w:t>
            </w:r>
            <w:r>
              <w:rPr>
                <w:rFonts w:hint="eastAsia" w:ascii="Times New Roman" w:hAnsi="Times New Roman"/>
                <w:i/>
                <w:iCs/>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pct"/>
            <w:tcBorders>
              <w:top w:val="single" w:color="auto" w:sz="18" w:space="0"/>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Risk score</w:t>
            </w:r>
          </w:p>
        </w:tc>
        <w:tc>
          <w:tcPr>
            <w:tcW w:w="1002" w:type="pct"/>
            <w:tcBorders>
              <w:top w:val="single" w:color="auto" w:sz="18" w:space="0"/>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002" w:type="pct"/>
            <w:tcBorders>
              <w:top w:val="single" w:color="auto" w:sz="18" w:space="0"/>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002" w:type="pct"/>
            <w:tcBorders>
              <w:top w:val="single" w:color="auto" w:sz="18" w:space="0"/>
              <w:left w:val="nil"/>
              <w:bottom w:val="nil"/>
              <w:right w:val="nil"/>
            </w:tcBorders>
          </w:tcPr>
          <w:p>
            <w:pPr>
              <w:rPr>
                <w:rFonts w:ascii="Times New Roman" w:hAnsi="Times New Roman"/>
                <w:color w:val="000000" w:themeColor="text1"/>
                <w:szCs w:val="21"/>
                <w14:textFill>
                  <w14:solidFill>
                    <w14:schemeClr w14:val="tx1"/>
                  </w14:solidFill>
                </w14:textFill>
              </w:rPr>
            </w:pPr>
          </w:p>
        </w:tc>
        <w:tc>
          <w:tcPr>
            <w:tcW w:w="1002" w:type="pct"/>
            <w:tcBorders>
              <w:top w:val="single" w:color="auto" w:sz="18" w:space="0"/>
              <w:left w:val="nil"/>
              <w:bottom w:val="nil"/>
              <w:right w:val="nil"/>
            </w:tcBorders>
          </w:tcPr>
          <w:p>
            <w:pPr>
              <w:rPr>
                <w:rFonts w:ascii="Times New Roman" w:hAnsi="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pct"/>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w:t>
            </w:r>
          </w:p>
        </w:tc>
        <w:tc>
          <w:tcPr>
            <w:tcW w:w="1002"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002"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002"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002"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pct"/>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002"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0.829(0.529,1.298)</w:t>
            </w:r>
          </w:p>
        </w:tc>
        <w:tc>
          <w:tcPr>
            <w:tcW w:w="1002"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1.004(0.770,1.309)</w:t>
            </w:r>
          </w:p>
        </w:tc>
        <w:tc>
          <w:tcPr>
            <w:tcW w:w="1002"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1.184(0.956,1.465)</w:t>
            </w:r>
          </w:p>
        </w:tc>
        <w:tc>
          <w:tcPr>
            <w:tcW w:w="1002"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1.006(0.775,1.307)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pct"/>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2</w:t>
            </w:r>
          </w:p>
        </w:tc>
        <w:tc>
          <w:tcPr>
            <w:tcW w:w="1002"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1.247(0.815,1.907)</w:t>
            </w:r>
          </w:p>
        </w:tc>
        <w:tc>
          <w:tcPr>
            <w:tcW w:w="1002"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1.147(0.893,1.473)</w:t>
            </w:r>
          </w:p>
        </w:tc>
        <w:tc>
          <w:tcPr>
            <w:tcW w:w="1002"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1.238(1.010,1.519)</w:t>
            </w:r>
          </w:p>
        </w:tc>
        <w:tc>
          <w:tcPr>
            <w:tcW w:w="1002"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0.999(0.777,1.286)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pct"/>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3</w:t>
            </w:r>
          </w:p>
        </w:tc>
        <w:tc>
          <w:tcPr>
            <w:tcW w:w="1002"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1.485(0.970,2.273)</w:t>
            </w:r>
          </w:p>
        </w:tc>
        <w:tc>
          <w:tcPr>
            <w:tcW w:w="1002"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1.241(0.966,1.594)</w:t>
            </w:r>
          </w:p>
        </w:tc>
        <w:tc>
          <w:tcPr>
            <w:tcW w:w="1002"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1.283(1.046,1.573)</w:t>
            </w:r>
          </w:p>
        </w:tc>
        <w:tc>
          <w:tcPr>
            <w:tcW w:w="1002"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1.128(0.877,1.451)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pct"/>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4</w:t>
            </w:r>
          </w:p>
        </w:tc>
        <w:tc>
          <w:tcPr>
            <w:tcW w:w="1002"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1.247(0.792,1.966)</w:t>
            </w:r>
          </w:p>
        </w:tc>
        <w:tc>
          <w:tcPr>
            <w:tcW w:w="1002"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1.428(1.097,1.858)</w:t>
            </w:r>
          </w:p>
        </w:tc>
        <w:tc>
          <w:tcPr>
            <w:tcW w:w="1002"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1.393(1.128,1.721)</w:t>
            </w:r>
          </w:p>
        </w:tc>
        <w:tc>
          <w:tcPr>
            <w:tcW w:w="1002"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1.211(0.933,1.572)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pct"/>
            <w:tcBorders>
              <w:top w:val="nil"/>
              <w:left w:val="nil"/>
              <w:bottom w:val="nil"/>
              <w:right w:val="nil"/>
            </w:tcBorders>
          </w:tcPr>
          <w:p>
            <w:pPr>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5</w:t>
            </w:r>
          </w:p>
        </w:tc>
        <w:tc>
          <w:tcPr>
            <w:tcW w:w="1002"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1.325(0.738,2.381)</w:t>
            </w:r>
          </w:p>
        </w:tc>
        <w:tc>
          <w:tcPr>
            <w:tcW w:w="1002"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1.786(1.313,2.430</w:t>
            </w:r>
          </w:p>
        </w:tc>
        <w:tc>
          <w:tcPr>
            <w:tcW w:w="1002"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1.580(1.244,2.008)</w:t>
            </w:r>
          </w:p>
        </w:tc>
        <w:tc>
          <w:tcPr>
            <w:tcW w:w="1002" w:type="pct"/>
            <w:tcBorders>
              <w:top w:val="nil"/>
              <w:left w:val="nil"/>
              <w:bottom w:val="nil"/>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1.315(0.973,1.777)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pct"/>
            <w:tcBorders>
              <w:top w:val="nil"/>
              <w:left w:val="nil"/>
              <w:bottom w:val="single" w:color="000000" w:sz="18" w:space="0"/>
              <w:right w:val="nil"/>
            </w:tcBorders>
          </w:tcPr>
          <w:p>
            <w:pPr>
              <w:jc w:val="center"/>
              <w:rPr>
                <w:rFonts w:ascii="Times New Roman" w:hAnsi="Times New Roman"/>
                <w:color w:val="000000" w:themeColor="text1"/>
                <w:szCs w:val="21"/>
                <w14:textFill>
                  <w14:solidFill>
                    <w14:schemeClr w14:val="tx1"/>
                  </w14:solidFill>
                </w14:textFill>
              </w:rPr>
            </w:pPr>
            <w:bookmarkStart w:id="3" w:name="OLE_LINK6" w:colFirst="1" w:colLast="1"/>
            <w:bookmarkStart w:id="4" w:name="OLE_LINK34" w:colFirst="3" w:colLast="3"/>
            <w:r>
              <w:rPr>
                <w:rFonts w:hint="eastAsia" w:ascii="Times New Roman" w:hAnsi="Times New Roman"/>
                <w:color w:val="000000" w:themeColor="text1"/>
                <w:szCs w:val="21"/>
                <w14:textFill>
                  <w14:solidFill>
                    <w14:schemeClr w14:val="tx1"/>
                  </w14:solidFill>
                </w14:textFill>
              </w:rPr>
              <w:t>6</w:t>
            </w:r>
          </w:p>
        </w:tc>
        <w:tc>
          <w:tcPr>
            <w:tcW w:w="1002" w:type="pct"/>
            <w:tcBorders>
              <w:top w:val="nil"/>
              <w:left w:val="nil"/>
              <w:bottom w:val="single" w:color="000000" w:sz="18" w:space="0"/>
              <w:right w:val="nil"/>
            </w:tcBorders>
          </w:tcPr>
          <w:p>
            <w:pPr>
              <w:rPr>
                <w:rFonts w:ascii="Times New Roman" w:hAnsi="Times New Roman"/>
                <w:color w:val="000000" w:themeColor="text1"/>
                <w:szCs w:val="21"/>
                <w14:textFill>
                  <w14:solidFill>
                    <w14:schemeClr w14:val="tx1"/>
                  </w14:solidFill>
                </w14:textFill>
              </w:rPr>
            </w:pPr>
            <w:bookmarkStart w:id="5" w:name="OLE_LINK20"/>
            <w:r>
              <w:rPr>
                <w:rFonts w:hint="eastAsia" w:ascii="Times New Roman" w:hAnsi="Times New Roman"/>
                <w:color w:val="000000" w:themeColor="text1"/>
                <w:szCs w:val="21"/>
                <w14:textFill>
                  <w14:solidFill>
                    <w14:schemeClr w14:val="tx1"/>
                  </w14:solidFill>
                </w14:textFill>
              </w:rPr>
              <w:t>0.944(0.128,6.980)</w:t>
            </w:r>
            <w:bookmarkEnd w:id="5"/>
          </w:p>
        </w:tc>
        <w:tc>
          <w:tcPr>
            <w:tcW w:w="1002" w:type="pct"/>
            <w:tcBorders>
              <w:top w:val="nil"/>
              <w:left w:val="nil"/>
              <w:bottom w:val="single" w:color="000000" w:sz="18" w:space="0"/>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1.961(1.178,3.264)</w:t>
            </w:r>
          </w:p>
        </w:tc>
        <w:tc>
          <w:tcPr>
            <w:tcW w:w="1002" w:type="pct"/>
            <w:tcBorders>
              <w:top w:val="nil"/>
              <w:left w:val="nil"/>
              <w:bottom w:val="single" w:color="000000" w:sz="18" w:space="0"/>
              <w:right w:val="nil"/>
            </w:tcBorders>
          </w:tcPr>
          <w:p>
            <w:pPr>
              <w:rPr>
                <w:rFonts w:ascii="Times New Roman" w:hAnsi="Times New Roman"/>
                <w:color w:val="000000" w:themeColor="text1"/>
                <w:szCs w:val="21"/>
                <w14:textFill>
                  <w14:solidFill>
                    <w14:schemeClr w14:val="tx1"/>
                  </w14:solidFill>
                </w14:textFill>
              </w:rPr>
            </w:pPr>
            <w:bookmarkStart w:id="6" w:name="OLE_LINK13"/>
            <w:r>
              <w:rPr>
                <w:rFonts w:hint="eastAsia" w:ascii="Times New Roman" w:hAnsi="Times New Roman"/>
                <w:color w:val="000000" w:themeColor="text1"/>
                <w:szCs w:val="21"/>
                <w14:textFill>
                  <w14:solidFill>
                    <w14:schemeClr w14:val="tx1"/>
                  </w14:solidFill>
                </w14:textFill>
              </w:rPr>
              <w:t>1.600(1.089,2.349)</w:t>
            </w:r>
            <w:bookmarkEnd w:id="6"/>
          </w:p>
        </w:tc>
        <w:tc>
          <w:tcPr>
            <w:tcW w:w="1002" w:type="pct"/>
            <w:tcBorders>
              <w:top w:val="nil"/>
              <w:left w:val="nil"/>
              <w:bottom w:val="single" w:color="000000" w:sz="18" w:space="0"/>
              <w:right w:val="nil"/>
            </w:tcBorders>
          </w:tcPr>
          <w:p>
            <w:pP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1.244(0.639,2.421)</w:t>
            </w:r>
          </w:p>
        </w:tc>
      </w:tr>
      <w:bookmarkEnd w:id="3"/>
      <w:bookmarkEnd w:id="4"/>
    </w:tbl>
    <w:p>
      <w:pPr>
        <w:spacing w:line="360" w:lineRule="auto"/>
        <w:rPr>
          <w:rFonts w:ascii="Times New Roman" w:hAnsi="Times New Roman"/>
          <w:b/>
          <w:bCs/>
          <w:sz w:val="24"/>
        </w:rPr>
      </w:pPr>
      <w:r>
        <w:rPr>
          <w:rFonts w:ascii="Times New Roman" w:hAnsi="Times New Roman"/>
          <w:b/>
          <w:bCs/>
          <w:color w:val="000000" w:themeColor="text1"/>
          <w:sz w:val="24"/>
          <w14:textFill>
            <w14:solidFill>
              <w14:schemeClr w14:val="tx1"/>
            </w14:solidFill>
          </w14:textFill>
        </w:rPr>
        <w:br w:type="page"/>
      </w:r>
      <w:r>
        <w:rPr>
          <w:rFonts w:ascii="Times New Roman" w:hAnsi="Times New Roman"/>
          <w:b/>
          <w:bCs/>
          <w:sz w:val="24"/>
        </w:rPr>
        <w:t>References:</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 ADDIN EN.REFLIST </w:instrText>
      </w:r>
      <w:r>
        <w:rPr>
          <w:rFonts w:ascii="Times New Roman" w:hAnsi="Times New Roman" w:cs="Times New Roman"/>
          <w:sz w:val="21"/>
          <w:szCs w:val="21"/>
        </w:rPr>
        <w:fldChar w:fldCharType="separate"/>
      </w:r>
      <w:r>
        <w:rPr>
          <w:rFonts w:ascii="Times New Roman" w:hAnsi="Times New Roman" w:cs="Times New Roman"/>
          <w:sz w:val="21"/>
          <w:szCs w:val="21"/>
        </w:rPr>
        <w:t>1.Danaei G, Ding EL, Mozaffarian D, Taylor B, Rehm J, Murray CJ, et al. The preventable causes of death in the United States: comparative risk assessment of dietary, lifestyle, and metabolic risk factors. PLoS medicine. 2009;6(4):e1000058.</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2.Ford ES, Zhao G, Tsai J, Li C. Low-risk lifestyle behaviors and all-cause mortality: findings from the National Health and Nutrition Examination Survey III Mortality Study. American journal of public health. 2011;101(10):1922-9.</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3.McGinnis JM, Foege WH. Actual causes of death in the United States. Jama. 1993;270(18):2207-12.</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4.Mokdad AH, Marks JS, Stroup DF, Gerberding JL. Actual causes of death in the United States, 2000. Jama. 2004;291(10):1238-45.</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5.Alcohol use and burden for 195 countries and territories, 1990-2016: a systematic analysis for the Global Burden of Disease Study 2016. Lancet (London, England). 2018;392(10152):1015-35.</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6.Lee YM, Bae SG, Lee SH, Jacobs DR, Jr., Lee DH. Associations between cigarette smoking and total mortality differ depending on serum concentrations of persistent organic pollutants among the elderly. Journal of Korean medical science. 2013;28(8):1122-8.</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7.Foster HME, Celis-Morales CA, Nicholl BI, Petermann-Rocha F, Pell JP, Gill JMR, et al. The effect of socioeconomic deprivation on the association between an extended measurement of unhealthy lifestyle factors and health outcomes: a prospective analysis of the UK Biobank cohort. The Lancet Public health. 2018;3(12):e576-e85.</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 xml:space="preserve">8.Loef M, Walach H. </w:t>
      </w:r>
      <w:bookmarkStart w:id="7" w:name="OLE_LINK61"/>
      <w:r>
        <w:rPr>
          <w:rFonts w:ascii="Times New Roman" w:hAnsi="Times New Roman" w:cs="Times New Roman"/>
          <w:sz w:val="21"/>
          <w:szCs w:val="21"/>
        </w:rPr>
        <w:t>The combined effects of healthy lifestyle behaviors on all cause mortality: a systematic review and meta-analysis.</w:t>
      </w:r>
      <w:bookmarkEnd w:id="7"/>
      <w:r>
        <w:rPr>
          <w:rFonts w:ascii="Times New Roman" w:hAnsi="Times New Roman" w:cs="Times New Roman"/>
          <w:sz w:val="21"/>
          <w:szCs w:val="21"/>
        </w:rPr>
        <w:t xml:space="preserve"> Preventive medicine. 2012;55(3):163-70.</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9.Wu MY, Wang JB, Zhu Y, Lu JM, Li D, Yu ZB, et al. Impact of Individual and Combined Lifestyle Factors on Mortality in China: A Cohort Study. American journal of preventive medicine. 2020;59(3):461-8.</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10.Knoops KT, de Groot LC, Kromhout D, Perrin AE, Moreiras-Varela O, Menotti A, et al. Mediterranean diet, lifestyle factors, and 10-year mortality in elderly European men and women: the HALE project. Jama. 2004;292(12):1433-9.</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11.Liu Y, Wheaton AG, Chapman DP, Croft JB. Sleep duration and chronic diseases among U.S. adults age 45 years and older: evidence from the 2010 Behavioral Risk Factor Surveillance System. Sleep. 2013;36(10):1421-7.</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12.Yin J, Jin X, Shan Z, Li S, Huang H, Li P, et al. Relationship of Sleep Duration With All-Cause Mortality and Cardiovascular Events: A Systematic Review and Dose-Response Meta-Analysis of Prospective Cohort Studies. Journal of the American Heart Association. 2017;6(9).</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13.Zhang QL, Zhao LG, Zhang W, Li HL, Gao J, Han LH, et al. Combined Impact of Known Lifestyle Factors on Total and Cause-Specific Mortality among Chinese Men: A Prospective Cohort Study. Scientific reports. 2017;7(1):5293.</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14.Obesity: preventing and managing the global epidemic. Report of a WHO consultation. World Health Organization technical report series. 2000;894:i-xii, 1-253.</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15.Li Y, Schoufour J, Wang DD, Dhana K, Pan A, Liu X, et al. Healthy lifestyle and life expectancy free of cancer, cardiovascular disease, and type 2 diabetes: prospective cohort study. BMJ (Clinical research ed). 2020;368:l6669.</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16.Katz S, Ford AB, Moskowitz RW, Jackson BA, Jaffe MW. STUDIES OF ILLNESS IN THE AGED. THE INDEX OF ADL: A STANDARDIZED MEASURE OF BIOLOGICAL AND PSYCHOSOCIAL FUNCTION. Jama. 1963;185:914-9.</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17.Lin YH, Ku PW, Chou P. Lifestyles and Mortality in Taiwan: An 11-Year Follow-up Study. Asia-Pacific journal of public health. 2017;29(4):259-67.</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18.Park LG, Dracup K, Whooley MA, McCulloch C, Lai S, Howie-Esquivel J. Sedentary lifestyle associated with mortality in rural patients with heart failure. European journal of cardiovascular nursing : journal of the Working Group on Cardiovascular Nursing of the European Society of Cardiology. 2019;18(4):318-24.</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19.Rizzuto D, Fratiglioni L. Lifestyle factors related to mortality and survival: a mini-review. Gerontology. 2014;60(4):327-35.</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20.Aune D, Sen A, Prasad M, Norat T, Janszky I, Tonstad S, et al. BMI and all cause mortality: systematic review and non-linear dose-response meta-analysis of 230 cohort studies with 3.74 million deaths among 30.3 million participants. BMJ (Clinical research ed). 2016;353:i2156.</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21.Bhaskaran K, Dos-Santos-Silva I, Leon DA, Douglas IJ, Smeeth L. Association of BMI with overall and cause-specific mortality: a population-based cohort study of 3·6 million adults in the UK. The lancet Diabetes &amp; endocrinology. 2018;6(12):944-53.</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22.Global BMIMC, Di Angelantonio E, Bhupathiraju Sh N, Wormser D, Gao P, Kaptoge S, et al. Body-mass index and all-cause mortality: individual-participant-data meta-analysis of 239 prospective studies in four continents. Lancet (London, England). 2016;388(10046):776-86.</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23.Wändell PE, Carlsson AC, Theobald H. The association between BMI value and long-term mortality. International journal of obesity (2005). 2009;33(5):577-82.</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24.Flegal KM, Graubard BI, Williamson DF, Gail MH. Cause-specific excess deaths associated with underweight, overweight, and obesity. Jama. 2007;298(17):2028-37.</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25.Kee CC, Sumarni MG, Lim KH, Selvarajah S, Haniff J, Tee GHH, et al. Association of BMI with risk of CVD mortality and all-cause mortality. Public health nutrition. 2017;20(7):1226-34.</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26.Tsai AC, Hsiao ML. The association of body mass index (BMI) with all-cause mortality in older Taiwanese: results of a national cohort study. Archives of gerontology and geriatrics. 2012;55(2):217-20.</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27.Ng TP, Jin A, Chow KY, Feng L, Nyunt MSZ, Yap KB. Age-dependent relationships between body mass index and mortality: Singapore longitudinal ageing study. PloS one. 2017;12(7):e0180818.</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 xml:space="preserve">28.He Y, Jiang B, Li LS, Li LS, Sun DL, Wu L, et al. </w:t>
      </w:r>
      <w:bookmarkStart w:id="8" w:name="OLE_LINK58"/>
      <w:r>
        <w:rPr>
          <w:rFonts w:ascii="Times New Roman" w:hAnsi="Times New Roman" w:cs="Times New Roman"/>
          <w:sz w:val="21"/>
          <w:szCs w:val="21"/>
        </w:rPr>
        <w:t>Changes in smoking behavior and subsequent mortality risk during a 35-year follow-up of a cohort in Xi'an, China. American journal of epidemiology</w:t>
      </w:r>
      <w:bookmarkEnd w:id="8"/>
      <w:r>
        <w:rPr>
          <w:rFonts w:ascii="Times New Roman" w:hAnsi="Times New Roman" w:cs="Times New Roman"/>
          <w:sz w:val="21"/>
          <w:szCs w:val="21"/>
        </w:rPr>
        <w:t>. 2014;179(9):1060-70.</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 xml:space="preserve">29.Reid MC, Boutros NN, O'Connor PG, Cadariu A, Concato J. </w:t>
      </w:r>
      <w:bookmarkStart w:id="9" w:name="OLE_LINK59"/>
      <w:r>
        <w:rPr>
          <w:rFonts w:ascii="Times New Roman" w:hAnsi="Times New Roman" w:cs="Times New Roman"/>
          <w:sz w:val="21"/>
          <w:szCs w:val="21"/>
        </w:rPr>
        <w:t>The health-related effects of alcohol use in older persons: a systematic review. Substance abuse</w:t>
      </w:r>
      <w:bookmarkEnd w:id="9"/>
      <w:r>
        <w:rPr>
          <w:rFonts w:ascii="Times New Roman" w:hAnsi="Times New Roman" w:cs="Times New Roman"/>
          <w:sz w:val="21"/>
          <w:szCs w:val="21"/>
        </w:rPr>
        <w:t>. 2002;23(3):149-64.</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30.Rehm J, Roerecke M, Room R. All-Cause Mortality Risks for "Moderate Drinkers": What Are the Implications for Burden-of-Disease Studies and Low Risk-Drinking Guidelines? Journal of studies on alcohol and drugs. 2016;77(2):203-4; discussion 5-7.</w:t>
      </w:r>
    </w:p>
    <w:p>
      <w:pPr>
        <w:pStyle w:val="19"/>
        <w:spacing w:line="360" w:lineRule="auto"/>
        <w:rPr>
          <w:rFonts w:ascii="Times New Roman" w:hAnsi="Times New Roman" w:cs="Times New Roman"/>
          <w:sz w:val="21"/>
          <w:szCs w:val="21"/>
        </w:rPr>
      </w:pPr>
      <w:r>
        <w:rPr>
          <w:rFonts w:ascii="Times New Roman" w:hAnsi="Times New Roman" w:cs="Times New Roman"/>
          <w:sz w:val="21"/>
          <w:szCs w:val="21"/>
        </w:rPr>
        <w:t>31.Ding D, Rogers K, van der Ploeg H, Stamatakis E, Bauman AE. Traditional and Emerging Lifestyle Risk Behaviors and All-Cause Mortality in Middle-Aged and Older Adults: Evidence from a Large Population-Based Australian Cohort. PLoS medicine. 2015;12(12):e1001917.</w:t>
      </w:r>
    </w:p>
    <w:p>
      <w:pPr>
        <w:spacing w:line="360" w:lineRule="auto"/>
        <w:rPr>
          <w:rFonts w:ascii="Times New Roman" w:hAnsi="Times New Roman"/>
          <w:sz w:val="24"/>
        </w:rPr>
      </w:pPr>
      <w:r>
        <w:rPr>
          <w:rFonts w:ascii="Times New Roman" w:hAnsi="Times New Roman"/>
          <w:szCs w:val="21"/>
        </w:rPr>
        <w:fldChar w:fldCharType="end"/>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AdvOT3b30f6db.B">
    <w:altName w:val="Cambria"/>
    <w:panose1 w:val="00000000000000000000"/>
    <w:charset w:val="00"/>
    <w:family w:val="roman"/>
    <w:pitch w:val="default"/>
    <w:sig w:usb0="00000000" w:usb1="00000000" w:usb2="00000000" w:usb3="00000000" w:csb0="00040001" w:csb1="00000000"/>
  </w:font>
  <w:font w:name="Cambria">
    <w:panose1 w:val="02040503050406030204"/>
    <w:charset w:val="00"/>
    <w:family w:val="auto"/>
    <w:pitch w:val="default"/>
    <w:sig w:usb0="E00006FF" w:usb1="420024FF" w:usb2="02000000" w:usb3="00000000" w:csb0="2000019F" w:csb1="00000000"/>
  </w:font>
  <w:font w:name="AdvTT7169e447">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Q0NDMwNjUysjAwNLNQ0lEKTi0uzszPAykwqQUA/8ciUywAAAA="/>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dvsp090cv2veyerwrqxsx5qa0tatfftdp0a&quot;&gt;My EndNote Library&lt;record-ids&gt;&lt;item&gt;2&lt;/item&gt;&lt;item&gt;3&lt;/item&gt;&lt;item&gt;4&lt;/item&gt;&lt;item&gt;6&lt;/item&gt;&lt;item&gt;7&lt;/item&gt;&lt;item&gt;8&lt;/item&gt;&lt;item&gt;9&lt;/item&gt;&lt;item&gt;11&lt;/item&gt;&lt;item&gt;12&lt;/item&gt;&lt;item&gt;14&lt;/item&gt;&lt;item&gt;18&lt;/item&gt;&lt;item&gt;19&lt;/item&gt;&lt;item&gt;20&lt;/item&gt;&lt;item&gt;21&lt;/item&gt;&lt;item&gt;23&lt;/item&gt;&lt;item&gt;24&lt;/item&gt;&lt;item&gt;25&lt;/item&gt;&lt;item&gt;26&lt;/item&gt;&lt;item&gt;27&lt;/item&gt;&lt;item&gt;28&lt;/item&gt;&lt;item&gt;29&lt;/item&gt;&lt;item&gt;30&lt;/item&gt;&lt;item&gt;31&lt;/item&gt;&lt;item&gt;33&lt;/item&gt;&lt;item&gt;34&lt;/item&gt;&lt;item&gt;35&lt;/item&gt;&lt;item&gt;36&lt;/item&gt;&lt;item&gt;38&lt;/item&gt;&lt;item&gt;39&lt;/item&gt;&lt;item&gt;42&lt;/item&gt;&lt;item&gt;43&lt;/item&gt;&lt;/record-ids&gt;&lt;/item&gt;&lt;/Libraries&gt;"/>
  </w:docVars>
  <w:rsids>
    <w:rsidRoot w:val="00172A27"/>
    <w:rsid w:val="00000741"/>
    <w:rsid w:val="00010670"/>
    <w:rsid w:val="00011D88"/>
    <w:rsid w:val="00012AF2"/>
    <w:rsid w:val="000215E8"/>
    <w:rsid w:val="000344D0"/>
    <w:rsid w:val="00035F36"/>
    <w:rsid w:val="00041337"/>
    <w:rsid w:val="000534E5"/>
    <w:rsid w:val="0005518F"/>
    <w:rsid w:val="00057307"/>
    <w:rsid w:val="00057738"/>
    <w:rsid w:val="000618DC"/>
    <w:rsid w:val="0007152F"/>
    <w:rsid w:val="000715EA"/>
    <w:rsid w:val="00074CD0"/>
    <w:rsid w:val="00075AC5"/>
    <w:rsid w:val="00077CA4"/>
    <w:rsid w:val="00082B9E"/>
    <w:rsid w:val="0009531C"/>
    <w:rsid w:val="000B045E"/>
    <w:rsid w:val="000B4C7E"/>
    <w:rsid w:val="000B6C78"/>
    <w:rsid w:val="000B6FE2"/>
    <w:rsid w:val="000D15A4"/>
    <w:rsid w:val="000E5717"/>
    <w:rsid w:val="000F13A6"/>
    <w:rsid w:val="000F42CD"/>
    <w:rsid w:val="001212BF"/>
    <w:rsid w:val="0012217B"/>
    <w:rsid w:val="00127534"/>
    <w:rsid w:val="001471A5"/>
    <w:rsid w:val="001511F9"/>
    <w:rsid w:val="00157FD4"/>
    <w:rsid w:val="00172A27"/>
    <w:rsid w:val="001932BA"/>
    <w:rsid w:val="001A1835"/>
    <w:rsid w:val="001A1E24"/>
    <w:rsid w:val="001A78D3"/>
    <w:rsid w:val="001C752D"/>
    <w:rsid w:val="001D3027"/>
    <w:rsid w:val="001F2ABA"/>
    <w:rsid w:val="00225D2A"/>
    <w:rsid w:val="0023244E"/>
    <w:rsid w:val="00236D29"/>
    <w:rsid w:val="00270BEA"/>
    <w:rsid w:val="00284381"/>
    <w:rsid w:val="002943F5"/>
    <w:rsid w:val="002962DE"/>
    <w:rsid w:val="002A5471"/>
    <w:rsid w:val="002A5692"/>
    <w:rsid w:val="002F15C5"/>
    <w:rsid w:val="00302BE0"/>
    <w:rsid w:val="003041ED"/>
    <w:rsid w:val="003139CC"/>
    <w:rsid w:val="0031569F"/>
    <w:rsid w:val="00341DAF"/>
    <w:rsid w:val="00360919"/>
    <w:rsid w:val="0036540E"/>
    <w:rsid w:val="003656B3"/>
    <w:rsid w:val="0039196B"/>
    <w:rsid w:val="003A1FDD"/>
    <w:rsid w:val="003C3105"/>
    <w:rsid w:val="003C7A5A"/>
    <w:rsid w:val="003D2D1E"/>
    <w:rsid w:val="003D67FF"/>
    <w:rsid w:val="003E373E"/>
    <w:rsid w:val="00434B9E"/>
    <w:rsid w:val="00435200"/>
    <w:rsid w:val="00436CD2"/>
    <w:rsid w:val="00441A07"/>
    <w:rsid w:val="004529D4"/>
    <w:rsid w:val="0046058D"/>
    <w:rsid w:val="00473309"/>
    <w:rsid w:val="004757AB"/>
    <w:rsid w:val="00475EB0"/>
    <w:rsid w:val="00476BC1"/>
    <w:rsid w:val="0048228D"/>
    <w:rsid w:val="00494214"/>
    <w:rsid w:val="00496196"/>
    <w:rsid w:val="004A2DBF"/>
    <w:rsid w:val="004B553C"/>
    <w:rsid w:val="004B633F"/>
    <w:rsid w:val="004C48BE"/>
    <w:rsid w:val="004C7C90"/>
    <w:rsid w:val="004D23F7"/>
    <w:rsid w:val="004F1F6C"/>
    <w:rsid w:val="004F3ED3"/>
    <w:rsid w:val="005004CD"/>
    <w:rsid w:val="00503344"/>
    <w:rsid w:val="00511809"/>
    <w:rsid w:val="00586C0B"/>
    <w:rsid w:val="0058717D"/>
    <w:rsid w:val="005B5328"/>
    <w:rsid w:val="005C25ED"/>
    <w:rsid w:val="006042BC"/>
    <w:rsid w:val="006100A4"/>
    <w:rsid w:val="00610A7F"/>
    <w:rsid w:val="00610FA8"/>
    <w:rsid w:val="006114A2"/>
    <w:rsid w:val="00611B07"/>
    <w:rsid w:val="0061606C"/>
    <w:rsid w:val="0062077D"/>
    <w:rsid w:val="00620B75"/>
    <w:rsid w:val="006235D1"/>
    <w:rsid w:val="00623E32"/>
    <w:rsid w:val="0063084A"/>
    <w:rsid w:val="006355F7"/>
    <w:rsid w:val="0063661B"/>
    <w:rsid w:val="00640ADF"/>
    <w:rsid w:val="00647BC3"/>
    <w:rsid w:val="00661DB2"/>
    <w:rsid w:val="00673148"/>
    <w:rsid w:val="00677530"/>
    <w:rsid w:val="00694B4A"/>
    <w:rsid w:val="006B24FE"/>
    <w:rsid w:val="006B3996"/>
    <w:rsid w:val="006B576F"/>
    <w:rsid w:val="006C4F37"/>
    <w:rsid w:val="006F1E54"/>
    <w:rsid w:val="006F6D44"/>
    <w:rsid w:val="007206A3"/>
    <w:rsid w:val="00720CDF"/>
    <w:rsid w:val="00721729"/>
    <w:rsid w:val="00722D2D"/>
    <w:rsid w:val="0072404D"/>
    <w:rsid w:val="00726013"/>
    <w:rsid w:val="0074732B"/>
    <w:rsid w:val="00761AB6"/>
    <w:rsid w:val="0077263D"/>
    <w:rsid w:val="00786497"/>
    <w:rsid w:val="007940E2"/>
    <w:rsid w:val="007A4FDC"/>
    <w:rsid w:val="007A6C26"/>
    <w:rsid w:val="007B4615"/>
    <w:rsid w:val="007C2177"/>
    <w:rsid w:val="007C291A"/>
    <w:rsid w:val="007F6CFF"/>
    <w:rsid w:val="007F733F"/>
    <w:rsid w:val="00801ACB"/>
    <w:rsid w:val="008025D2"/>
    <w:rsid w:val="0080610A"/>
    <w:rsid w:val="008070C3"/>
    <w:rsid w:val="0081543F"/>
    <w:rsid w:val="00815C85"/>
    <w:rsid w:val="00826CA3"/>
    <w:rsid w:val="0083310A"/>
    <w:rsid w:val="00835CC1"/>
    <w:rsid w:val="00840344"/>
    <w:rsid w:val="0084568C"/>
    <w:rsid w:val="00874673"/>
    <w:rsid w:val="008778F8"/>
    <w:rsid w:val="00880C6B"/>
    <w:rsid w:val="00897F3D"/>
    <w:rsid w:val="008B533B"/>
    <w:rsid w:val="008B5F3F"/>
    <w:rsid w:val="008C1917"/>
    <w:rsid w:val="008C47F8"/>
    <w:rsid w:val="008C5FE3"/>
    <w:rsid w:val="008D77FD"/>
    <w:rsid w:val="008E5960"/>
    <w:rsid w:val="008F7858"/>
    <w:rsid w:val="00922781"/>
    <w:rsid w:val="0092527F"/>
    <w:rsid w:val="0092793C"/>
    <w:rsid w:val="00940AA1"/>
    <w:rsid w:val="0094530B"/>
    <w:rsid w:val="00945830"/>
    <w:rsid w:val="009509CC"/>
    <w:rsid w:val="00963E94"/>
    <w:rsid w:val="00964565"/>
    <w:rsid w:val="009652B4"/>
    <w:rsid w:val="00990944"/>
    <w:rsid w:val="009970B8"/>
    <w:rsid w:val="009C2530"/>
    <w:rsid w:val="009E13F1"/>
    <w:rsid w:val="009E7611"/>
    <w:rsid w:val="009F1404"/>
    <w:rsid w:val="009F1FC8"/>
    <w:rsid w:val="00A01BF6"/>
    <w:rsid w:val="00A0541A"/>
    <w:rsid w:val="00A12248"/>
    <w:rsid w:val="00A17D14"/>
    <w:rsid w:val="00A25953"/>
    <w:rsid w:val="00A41D68"/>
    <w:rsid w:val="00A4775F"/>
    <w:rsid w:val="00A50C29"/>
    <w:rsid w:val="00A50DAA"/>
    <w:rsid w:val="00A55DAF"/>
    <w:rsid w:val="00A57158"/>
    <w:rsid w:val="00A57949"/>
    <w:rsid w:val="00A63A2C"/>
    <w:rsid w:val="00A652F8"/>
    <w:rsid w:val="00A738E0"/>
    <w:rsid w:val="00A9151A"/>
    <w:rsid w:val="00AB019C"/>
    <w:rsid w:val="00AB443D"/>
    <w:rsid w:val="00AC21DC"/>
    <w:rsid w:val="00AE3282"/>
    <w:rsid w:val="00AF2CF9"/>
    <w:rsid w:val="00AF6BE1"/>
    <w:rsid w:val="00B1115D"/>
    <w:rsid w:val="00B129C0"/>
    <w:rsid w:val="00B166AC"/>
    <w:rsid w:val="00B42E1B"/>
    <w:rsid w:val="00B472F6"/>
    <w:rsid w:val="00B5349C"/>
    <w:rsid w:val="00B56AC1"/>
    <w:rsid w:val="00B91E1D"/>
    <w:rsid w:val="00BA565A"/>
    <w:rsid w:val="00BB1B89"/>
    <w:rsid w:val="00BB23CF"/>
    <w:rsid w:val="00BB7CF2"/>
    <w:rsid w:val="00BC154E"/>
    <w:rsid w:val="00BD15B5"/>
    <w:rsid w:val="00BE512D"/>
    <w:rsid w:val="00BE60AE"/>
    <w:rsid w:val="00BF7AAE"/>
    <w:rsid w:val="00C30CD5"/>
    <w:rsid w:val="00C43223"/>
    <w:rsid w:val="00C46E3D"/>
    <w:rsid w:val="00C776D5"/>
    <w:rsid w:val="00C90571"/>
    <w:rsid w:val="00C90CEF"/>
    <w:rsid w:val="00C942C4"/>
    <w:rsid w:val="00CA7566"/>
    <w:rsid w:val="00CA757E"/>
    <w:rsid w:val="00CC4575"/>
    <w:rsid w:val="00CC4A7C"/>
    <w:rsid w:val="00CD4971"/>
    <w:rsid w:val="00CD4CC4"/>
    <w:rsid w:val="00CE7C49"/>
    <w:rsid w:val="00CF2ABF"/>
    <w:rsid w:val="00CF6354"/>
    <w:rsid w:val="00CF6886"/>
    <w:rsid w:val="00D0141F"/>
    <w:rsid w:val="00D04AC3"/>
    <w:rsid w:val="00D16EAC"/>
    <w:rsid w:val="00D3655F"/>
    <w:rsid w:val="00D508DE"/>
    <w:rsid w:val="00D517BA"/>
    <w:rsid w:val="00D6001C"/>
    <w:rsid w:val="00D71CD5"/>
    <w:rsid w:val="00D72965"/>
    <w:rsid w:val="00D84C07"/>
    <w:rsid w:val="00D860B3"/>
    <w:rsid w:val="00DB2B93"/>
    <w:rsid w:val="00DE3221"/>
    <w:rsid w:val="00DF2F74"/>
    <w:rsid w:val="00DF6464"/>
    <w:rsid w:val="00E018AD"/>
    <w:rsid w:val="00E03F5C"/>
    <w:rsid w:val="00E34B33"/>
    <w:rsid w:val="00E45E98"/>
    <w:rsid w:val="00E50797"/>
    <w:rsid w:val="00E52750"/>
    <w:rsid w:val="00E5509C"/>
    <w:rsid w:val="00E711CA"/>
    <w:rsid w:val="00E7249B"/>
    <w:rsid w:val="00E931AF"/>
    <w:rsid w:val="00EB263B"/>
    <w:rsid w:val="00EB472F"/>
    <w:rsid w:val="00EC0D09"/>
    <w:rsid w:val="00EC5186"/>
    <w:rsid w:val="00ED10A7"/>
    <w:rsid w:val="00ED63FF"/>
    <w:rsid w:val="00EE7FC0"/>
    <w:rsid w:val="00EF63B6"/>
    <w:rsid w:val="00F016FA"/>
    <w:rsid w:val="00F01A28"/>
    <w:rsid w:val="00F1619E"/>
    <w:rsid w:val="00F16302"/>
    <w:rsid w:val="00F233BB"/>
    <w:rsid w:val="00F24A42"/>
    <w:rsid w:val="00F24D70"/>
    <w:rsid w:val="00F34501"/>
    <w:rsid w:val="00F5200E"/>
    <w:rsid w:val="00F63EFD"/>
    <w:rsid w:val="00F6537B"/>
    <w:rsid w:val="00F72520"/>
    <w:rsid w:val="00F738FF"/>
    <w:rsid w:val="00F7429D"/>
    <w:rsid w:val="00F777F3"/>
    <w:rsid w:val="00F8593B"/>
    <w:rsid w:val="00F8697C"/>
    <w:rsid w:val="00F96B9B"/>
    <w:rsid w:val="00FA756D"/>
    <w:rsid w:val="00FB7FF4"/>
    <w:rsid w:val="00FC1207"/>
    <w:rsid w:val="00FC4405"/>
    <w:rsid w:val="00FC6885"/>
    <w:rsid w:val="00FD68D2"/>
    <w:rsid w:val="00FE2398"/>
    <w:rsid w:val="00FE24A6"/>
    <w:rsid w:val="00FE3281"/>
    <w:rsid w:val="00FE7D75"/>
    <w:rsid w:val="00FF2BC4"/>
    <w:rsid w:val="00FF6FB8"/>
    <w:rsid w:val="027136CA"/>
    <w:rsid w:val="030F0236"/>
    <w:rsid w:val="0595487B"/>
    <w:rsid w:val="072E1200"/>
    <w:rsid w:val="072E6994"/>
    <w:rsid w:val="074030C9"/>
    <w:rsid w:val="07B0302F"/>
    <w:rsid w:val="0A60193D"/>
    <w:rsid w:val="0CB50FA9"/>
    <w:rsid w:val="0D013B42"/>
    <w:rsid w:val="0DF83FD2"/>
    <w:rsid w:val="0E0D336E"/>
    <w:rsid w:val="0E200F24"/>
    <w:rsid w:val="0F7F5D0B"/>
    <w:rsid w:val="12703C36"/>
    <w:rsid w:val="14F070E3"/>
    <w:rsid w:val="16466831"/>
    <w:rsid w:val="176F5C0A"/>
    <w:rsid w:val="18E2505A"/>
    <w:rsid w:val="1A4E024A"/>
    <w:rsid w:val="1F39048F"/>
    <w:rsid w:val="1FF63218"/>
    <w:rsid w:val="1FF90956"/>
    <w:rsid w:val="20BE4D41"/>
    <w:rsid w:val="214B25C6"/>
    <w:rsid w:val="23322DCA"/>
    <w:rsid w:val="23FD2183"/>
    <w:rsid w:val="247366A8"/>
    <w:rsid w:val="29F419FE"/>
    <w:rsid w:val="2A2B3D11"/>
    <w:rsid w:val="2B6600D2"/>
    <w:rsid w:val="2C051D8C"/>
    <w:rsid w:val="2C1A030B"/>
    <w:rsid w:val="2E0F6964"/>
    <w:rsid w:val="30085977"/>
    <w:rsid w:val="30352D8D"/>
    <w:rsid w:val="31493FDC"/>
    <w:rsid w:val="32317DEA"/>
    <w:rsid w:val="327D4B2C"/>
    <w:rsid w:val="332C3A24"/>
    <w:rsid w:val="33F31DD8"/>
    <w:rsid w:val="343F7222"/>
    <w:rsid w:val="378B790D"/>
    <w:rsid w:val="39787725"/>
    <w:rsid w:val="3AA84580"/>
    <w:rsid w:val="3AC44C48"/>
    <w:rsid w:val="3ACA2B0F"/>
    <w:rsid w:val="3C081DD4"/>
    <w:rsid w:val="3C393D08"/>
    <w:rsid w:val="3D8A6DE7"/>
    <w:rsid w:val="3D9517AE"/>
    <w:rsid w:val="3E185586"/>
    <w:rsid w:val="3E1C66C5"/>
    <w:rsid w:val="3F6C0A59"/>
    <w:rsid w:val="413C01D1"/>
    <w:rsid w:val="43C556CF"/>
    <w:rsid w:val="45DF223E"/>
    <w:rsid w:val="46196467"/>
    <w:rsid w:val="48507C03"/>
    <w:rsid w:val="49B646A7"/>
    <w:rsid w:val="49DA67CE"/>
    <w:rsid w:val="4F9C28F7"/>
    <w:rsid w:val="51196155"/>
    <w:rsid w:val="51887795"/>
    <w:rsid w:val="5389519C"/>
    <w:rsid w:val="53E13045"/>
    <w:rsid w:val="550822DF"/>
    <w:rsid w:val="55312089"/>
    <w:rsid w:val="573752B2"/>
    <w:rsid w:val="59A3682E"/>
    <w:rsid w:val="5DC50E46"/>
    <w:rsid w:val="5EC73593"/>
    <w:rsid w:val="5F824E9B"/>
    <w:rsid w:val="62071257"/>
    <w:rsid w:val="624A5BB1"/>
    <w:rsid w:val="66F307A3"/>
    <w:rsid w:val="68CE5704"/>
    <w:rsid w:val="694B2D3F"/>
    <w:rsid w:val="6A1737AA"/>
    <w:rsid w:val="6A2547A0"/>
    <w:rsid w:val="6D1A72F8"/>
    <w:rsid w:val="6E196A4D"/>
    <w:rsid w:val="6EE7364B"/>
    <w:rsid w:val="6FD15598"/>
    <w:rsid w:val="7088055B"/>
    <w:rsid w:val="71A7557F"/>
    <w:rsid w:val="74775C5E"/>
    <w:rsid w:val="75633714"/>
    <w:rsid w:val="76073E14"/>
    <w:rsid w:val="77832BC7"/>
    <w:rsid w:val="77DD00FC"/>
    <w:rsid w:val="78F130F2"/>
    <w:rsid w:val="793924B2"/>
    <w:rsid w:val="79C53707"/>
    <w:rsid w:val="7A655382"/>
    <w:rsid w:val="7B4030B0"/>
    <w:rsid w:val="7BA255AD"/>
    <w:rsid w:val="7DCB5C0B"/>
    <w:rsid w:val="7DF86729"/>
    <w:rsid w:val="7E7F7A45"/>
    <w:rsid w:val="7F1F1455"/>
    <w:rsid w:val="7F4C75A7"/>
    <w:rsid w:val="7F4F35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link w:val="16"/>
    <w:qFormat/>
    <w:uiPriority w:val="9"/>
    <w:pPr>
      <w:keepNext/>
      <w:keepLines/>
      <w:spacing w:before="260" w:after="260" w:line="416" w:lineRule="auto"/>
      <w:outlineLvl w:val="1"/>
    </w:pPr>
    <w:rPr>
      <w:rFonts w:ascii="等线 Light" w:hAnsi="等线 Light" w:eastAsia="等线 Light"/>
      <w:b/>
      <w:bCs/>
      <w:sz w:val="32"/>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caption"/>
    <w:basedOn w:val="1"/>
    <w:next w:val="1"/>
    <w:qFormat/>
    <w:uiPriority w:val="0"/>
    <w:rPr>
      <w:rFonts w:ascii="等线 Light" w:hAnsi="等线 Light" w:eastAsia="黑体"/>
      <w:sz w:val="20"/>
      <w:szCs w:val="20"/>
    </w:rPr>
  </w:style>
  <w:style w:type="paragraph" w:styleId="4">
    <w:name w:val="annotation text"/>
    <w:basedOn w:val="1"/>
    <w:link w:val="17"/>
    <w:qFormat/>
    <w:uiPriority w:val="99"/>
    <w:pPr>
      <w:jc w:val="left"/>
    </w:pPr>
  </w:style>
  <w:style w:type="paragraph" w:styleId="5">
    <w:name w:val="Balloon Text"/>
    <w:basedOn w:val="1"/>
    <w:link w:val="25"/>
    <w:qFormat/>
    <w:uiPriority w:val="0"/>
    <w:rPr>
      <w:rFonts w:ascii="Segoe UI" w:hAnsi="Segoe UI" w:cs="Segoe UI"/>
      <w:sz w:val="18"/>
      <w:szCs w:val="18"/>
    </w:rPr>
  </w:style>
  <w:style w:type="paragraph" w:styleId="6">
    <w:name w:val="footer"/>
    <w:basedOn w:val="1"/>
    <w:link w:val="24"/>
    <w:qFormat/>
    <w:uiPriority w:val="0"/>
    <w:pPr>
      <w:tabs>
        <w:tab w:val="center" w:pos="4153"/>
        <w:tab w:val="right" w:pos="8306"/>
      </w:tabs>
      <w:snapToGrid w:val="0"/>
      <w:jc w:val="left"/>
    </w:pPr>
    <w:rPr>
      <w:sz w:val="18"/>
      <w:szCs w:val="18"/>
    </w:rPr>
  </w:style>
  <w:style w:type="paragraph" w:styleId="7">
    <w:name w:val="header"/>
    <w:basedOn w:val="1"/>
    <w:link w:val="23"/>
    <w:qFormat/>
    <w:uiPriority w:val="0"/>
    <w:pPr>
      <w:pBdr>
        <w:bottom w:val="single" w:color="auto" w:sz="6" w:space="1"/>
      </w:pBdr>
      <w:tabs>
        <w:tab w:val="center" w:pos="4153"/>
        <w:tab w:val="right" w:pos="8306"/>
      </w:tabs>
      <w:snapToGrid w:val="0"/>
      <w:jc w:val="center"/>
    </w:pPr>
    <w:rPr>
      <w:sz w:val="18"/>
      <w:szCs w:val="18"/>
    </w:rPr>
  </w:style>
  <w:style w:type="paragraph" w:styleId="8">
    <w:name w:val="annotation subject"/>
    <w:basedOn w:val="4"/>
    <w:next w:val="4"/>
    <w:link w:val="22"/>
    <w:qFormat/>
    <w:uiPriority w:val="0"/>
    <w:pPr>
      <w:jc w:val="both"/>
    </w:pPr>
    <w:rPr>
      <w:b/>
      <w:bCs/>
      <w:sz w:val="20"/>
      <w:szCs w:val="20"/>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qFormat/>
    <w:uiPriority w:val="0"/>
    <w:rPr>
      <w:color w:val="0000FF"/>
      <w:u w:val="single"/>
    </w:rPr>
  </w:style>
  <w:style w:type="character" w:styleId="13">
    <w:name w:val="annotation reference"/>
    <w:qFormat/>
    <w:uiPriority w:val="99"/>
    <w:rPr>
      <w:sz w:val="16"/>
      <w:szCs w:val="16"/>
    </w:rPr>
  </w:style>
  <w:style w:type="character" w:customStyle="1" w:styleId="14">
    <w:name w:val="未处理的提及1"/>
    <w:unhideWhenUsed/>
    <w:qFormat/>
    <w:uiPriority w:val="99"/>
    <w:rPr>
      <w:color w:val="605E5C"/>
      <w:shd w:val="clear" w:color="auto" w:fill="E1DFDD"/>
    </w:rPr>
  </w:style>
  <w:style w:type="character" w:customStyle="1" w:styleId="15">
    <w:name w:val="fontstyle01"/>
    <w:qFormat/>
    <w:uiPriority w:val="0"/>
    <w:rPr>
      <w:rFonts w:hint="default" w:ascii="AdvOT3b30f6db.B" w:hAnsi="AdvOT3b30f6db.B"/>
      <w:color w:val="000000"/>
      <w:sz w:val="24"/>
      <w:szCs w:val="24"/>
    </w:rPr>
  </w:style>
  <w:style w:type="character" w:customStyle="1" w:styleId="16">
    <w:name w:val="标题 2 字符"/>
    <w:link w:val="2"/>
    <w:qFormat/>
    <w:uiPriority w:val="9"/>
    <w:rPr>
      <w:rFonts w:ascii="等线 Light" w:hAnsi="等线 Light" w:eastAsia="等线 Light"/>
      <w:b/>
      <w:bCs/>
      <w:kern w:val="2"/>
      <w:sz w:val="32"/>
      <w:szCs w:val="32"/>
    </w:rPr>
  </w:style>
  <w:style w:type="character" w:customStyle="1" w:styleId="17">
    <w:name w:val="批注文字 字符"/>
    <w:link w:val="4"/>
    <w:qFormat/>
    <w:uiPriority w:val="99"/>
    <w:rPr>
      <w:rFonts w:ascii="Calibri" w:hAnsi="Calibri"/>
      <w:kern w:val="2"/>
      <w:sz w:val="21"/>
      <w:szCs w:val="24"/>
    </w:rPr>
  </w:style>
  <w:style w:type="character" w:customStyle="1" w:styleId="18">
    <w:name w:val="EndNote Bibliography 字符"/>
    <w:link w:val="19"/>
    <w:qFormat/>
    <w:uiPriority w:val="0"/>
    <w:rPr>
      <w:rFonts w:ascii="Calibri" w:hAnsi="Calibri" w:cs="Calibri"/>
      <w:kern w:val="2"/>
      <w:szCs w:val="24"/>
    </w:rPr>
  </w:style>
  <w:style w:type="paragraph" w:customStyle="1" w:styleId="19">
    <w:name w:val="EndNote Bibliography"/>
    <w:basedOn w:val="1"/>
    <w:link w:val="18"/>
    <w:qFormat/>
    <w:uiPriority w:val="0"/>
    <w:rPr>
      <w:rFonts w:cs="Calibri"/>
      <w:sz w:val="20"/>
    </w:rPr>
  </w:style>
  <w:style w:type="character" w:customStyle="1" w:styleId="20">
    <w:name w:val="EndNote Bibliography Title 字符"/>
    <w:link w:val="21"/>
    <w:qFormat/>
    <w:uiPriority w:val="0"/>
    <w:rPr>
      <w:rFonts w:ascii="Calibri" w:hAnsi="Calibri" w:cs="Calibri"/>
      <w:kern w:val="2"/>
      <w:szCs w:val="24"/>
    </w:rPr>
  </w:style>
  <w:style w:type="paragraph" w:customStyle="1" w:styleId="21">
    <w:name w:val="EndNote Bibliography Title"/>
    <w:basedOn w:val="1"/>
    <w:link w:val="20"/>
    <w:qFormat/>
    <w:uiPriority w:val="0"/>
    <w:pPr>
      <w:jc w:val="center"/>
    </w:pPr>
    <w:rPr>
      <w:rFonts w:cs="Calibri"/>
      <w:sz w:val="20"/>
    </w:rPr>
  </w:style>
  <w:style w:type="character" w:customStyle="1" w:styleId="22">
    <w:name w:val="批注主题 字符"/>
    <w:link w:val="8"/>
    <w:qFormat/>
    <w:uiPriority w:val="0"/>
    <w:rPr>
      <w:rFonts w:ascii="Calibri" w:hAnsi="Calibri"/>
      <w:b/>
      <w:bCs/>
      <w:kern w:val="2"/>
      <w:sz w:val="21"/>
      <w:szCs w:val="24"/>
    </w:rPr>
  </w:style>
  <w:style w:type="character" w:customStyle="1" w:styleId="23">
    <w:name w:val="页眉 字符"/>
    <w:link w:val="7"/>
    <w:qFormat/>
    <w:uiPriority w:val="0"/>
    <w:rPr>
      <w:rFonts w:ascii="Calibri" w:hAnsi="Calibri"/>
      <w:kern w:val="2"/>
      <w:sz w:val="18"/>
      <w:szCs w:val="18"/>
    </w:rPr>
  </w:style>
  <w:style w:type="character" w:customStyle="1" w:styleId="24">
    <w:name w:val="页脚 字符"/>
    <w:link w:val="6"/>
    <w:qFormat/>
    <w:uiPriority w:val="0"/>
    <w:rPr>
      <w:rFonts w:ascii="Calibri" w:hAnsi="Calibri"/>
      <w:kern w:val="2"/>
      <w:sz w:val="18"/>
      <w:szCs w:val="18"/>
    </w:rPr>
  </w:style>
  <w:style w:type="character" w:customStyle="1" w:styleId="25">
    <w:name w:val="批注框文本 字符"/>
    <w:link w:val="5"/>
    <w:qFormat/>
    <w:uiPriority w:val="0"/>
    <w:rPr>
      <w:rFonts w:ascii="Segoe UI" w:hAnsi="Segoe UI" w:cs="Segoe U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5C3EEA-A8F1-4A33-9DA9-CA34B3A47827}">
  <ds:schemaRefs/>
</ds:datastoreItem>
</file>

<file path=docProps/app.xml><?xml version="1.0" encoding="utf-8"?>
<Properties xmlns="http://schemas.openxmlformats.org/officeDocument/2006/extended-properties" xmlns:vt="http://schemas.openxmlformats.org/officeDocument/2006/docPropsVTypes">
  <Template>Normal</Template>
  <Pages>23</Pages>
  <Words>5742</Words>
  <Characters>35366</Characters>
  <Lines>336</Lines>
  <Paragraphs>94</Paragraphs>
  <TotalTime>64</TotalTime>
  <ScaleCrop>false</ScaleCrop>
  <LinksUpToDate>false</LinksUpToDate>
  <CharactersWithSpaces>39660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2022-02-20T07:26:00Z</dcterms:created>
  <dc:creator>minmin</dc:creator>
  <cp:lastModifiedBy>韵中生韵</cp:lastModifiedBy>
  <dcterms:modified xsi:type="dcterms:W3CDTF">2022-03-13T06:10:00Z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55FE417C455C4252B99FB5E526B7B4EB</vt:lpwstr>
  </property>
</Properties>
</file>