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1222"/>
        <w:tblW w:w="8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1939"/>
        <w:gridCol w:w="2182"/>
      </w:tblGrid>
      <w:tr w:rsidR="006323A6" w:rsidRPr="000661B4" w:rsidTr="000661B4">
        <w:trPr>
          <w:trHeight w:val="368"/>
        </w:trPr>
        <w:tc>
          <w:tcPr>
            <w:tcW w:w="8931" w:type="dxa"/>
            <w:gridSpan w:val="3"/>
            <w:tcBorders>
              <w:bottom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b/>
                <w:bCs/>
                <w:color w:val="000000"/>
                <w:kern w:val="28"/>
                <w:sz w:val="20"/>
                <w:szCs w:val="20"/>
                <w:lang w:val="en-US"/>
                <w14:cntxtAlts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S2</w:t>
            </w:r>
            <w:r w:rsidRPr="00F129A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Primary outcomes in research progression criteria to inform the definitive randomized controlled trial </w:t>
            </w:r>
          </w:p>
        </w:tc>
      </w:tr>
      <w:tr w:rsidR="006323A6" w:rsidRPr="00F129AD" w:rsidTr="000661B4">
        <w:trPr>
          <w:trHeight w:val="266"/>
        </w:trPr>
        <w:tc>
          <w:tcPr>
            <w:tcW w:w="6749" w:type="dxa"/>
            <w:gridSpan w:val="2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Research progression rate </w:t>
            </w:r>
          </w:p>
        </w:tc>
        <w:tc>
          <w:tcPr>
            <w:tcW w:w="2182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Evaluation</w:t>
            </w:r>
          </w:p>
        </w:tc>
      </w:tr>
      <w:tr w:rsidR="006323A6" w:rsidRPr="00F129AD" w:rsidTr="000661B4">
        <w:trPr>
          <w:trHeight w:val="308"/>
        </w:trPr>
        <w:tc>
          <w:tcPr>
            <w:tcW w:w="4810" w:type="dxa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Participant recruitment rate (</w:t>
            </w:r>
            <w:r w:rsidRPr="00F129AD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/month)</w:t>
            </w:r>
          </w:p>
        </w:tc>
        <w:tc>
          <w:tcPr>
            <w:tcW w:w="1939" w:type="dxa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4.5 </w:t>
            </w:r>
          </w:p>
        </w:tc>
        <w:tc>
          <w:tcPr>
            <w:tcW w:w="2182" w:type="dxa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Green (go)</w:t>
            </w:r>
          </w:p>
        </w:tc>
      </w:tr>
      <w:tr w:rsidR="006323A6" w:rsidRPr="00F129AD" w:rsidTr="000661B4">
        <w:trPr>
          <w:trHeight w:val="573"/>
        </w:trPr>
        <w:tc>
          <w:tcPr>
            <w:tcW w:w="4810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Completion of the outcome measures</w:t>
            </w:r>
          </w:p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Assessment duration including screening (min-max),     </w:t>
            </w:r>
          </w:p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and both HCPs and older adults found the duration to  </w:t>
            </w:r>
          </w:p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long  </w:t>
            </w:r>
          </w:p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3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18"/>
                <w:szCs w:val="18"/>
                <w:lang w:val="en-US"/>
              </w:rPr>
              <w:t>&lt;</w:t>
            </w: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90 min.</w:t>
            </w:r>
          </w:p>
        </w:tc>
        <w:tc>
          <w:tcPr>
            <w:tcW w:w="2182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Amber (amend)</w:t>
            </w:r>
          </w:p>
        </w:tc>
      </w:tr>
      <w:tr w:rsidR="006323A6" w:rsidRPr="00F129AD" w:rsidTr="000661B4">
        <w:trPr>
          <w:trHeight w:val="251"/>
        </w:trPr>
        <w:tc>
          <w:tcPr>
            <w:tcW w:w="4810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Participant retention (</w:t>
            </w:r>
            <w:r w:rsidRPr="00F129AD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/%)</w:t>
            </w:r>
          </w:p>
        </w:tc>
        <w:tc>
          <w:tcPr>
            <w:tcW w:w="193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13 (72.2)</w:t>
            </w:r>
          </w:p>
        </w:tc>
        <w:tc>
          <w:tcPr>
            <w:tcW w:w="2182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Green (go)</w:t>
            </w:r>
          </w:p>
        </w:tc>
      </w:tr>
      <w:tr w:rsidR="006323A6" w:rsidRPr="00F129AD" w:rsidTr="000661B4">
        <w:trPr>
          <w:trHeight w:val="499"/>
        </w:trPr>
        <w:tc>
          <w:tcPr>
            <w:tcW w:w="4810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Adherence to intervention sessions</w:t>
            </w:r>
          </w:p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Participants who completed the follow up (</w:t>
            </w:r>
            <w:r w:rsidRPr="00F129AD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/ %)</w:t>
            </w:r>
          </w:p>
        </w:tc>
        <w:tc>
          <w:tcPr>
            <w:tcW w:w="193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13 (72.2)</w:t>
            </w:r>
          </w:p>
        </w:tc>
        <w:tc>
          <w:tcPr>
            <w:tcW w:w="2182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Green (go)</w:t>
            </w:r>
          </w:p>
        </w:tc>
      </w:tr>
      <w:tr w:rsidR="006323A6" w:rsidRPr="00F129AD" w:rsidTr="000661B4">
        <w:trPr>
          <w:trHeight w:val="1007"/>
        </w:trPr>
        <w:tc>
          <w:tcPr>
            <w:tcW w:w="481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Adverse events </w:t>
            </w:r>
          </w:p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Minor adverse events (</w:t>
            </w:r>
            <w:r w:rsidRPr="00F129AD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Serious events (</w:t>
            </w:r>
            <w:r w:rsidRPr="00F129AD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) </w:t>
            </w:r>
          </w:p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Participants discontinuing the study (</w:t>
            </w:r>
            <w:r w:rsidRPr="00F129AD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29AD">
              <w:rPr>
                <w:rFonts w:ascii="Times New Roman" w:hAnsi="Times New Roman"/>
                <w:sz w:val="20"/>
                <w:szCs w:val="20"/>
                <w:lang w:val="en-US"/>
              </w:rPr>
              <w:t>Green (go)</w:t>
            </w:r>
          </w:p>
        </w:tc>
      </w:tr>
      <w:tr w:rsidR="006323A6" w:rsidRPr="000661B4" w:rsidTr="000661B4">
        <w:trPr>
          <w:trHeight w:val="326"/>
        </w:trPr>
        <w:tc>
          <w:tcPr>
            <w:tcW w:w="8931" w:type="dxa"/>
            <w:gridSpan w:val="3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323A6" w:rsidRPr="00F129AD" w:rsidRDefault="006323A6" w:rsidP="000661B4">
            <w:pPr>
              <w:widowControl w:val="0"/>
              <w:mirrorIndents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129A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The above progression criteria were based on a traffic light system of green (go), amber (amend) and red (stop)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(40)</w:t>
            </w:r>
            <w:r w:rsidRPr="00F129A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 </w:t>
            </w:r>
          </w:p>
        </w:tc>
      </w:tr>
    </w:tbl>
    <w:p w:rsidR="00680EC9" w:rsidRPr="006323A6" w:rsidRDefault="00680EC9">
      <w:pPr>
        <w:rPr>
          <w:lang w:val="en-US"/>
        </w:rPr>
      </w:pPr>
      <w:bookmarkStart w:id="0" w:name="_GoBack"/>
      <w:bookmarkEnd w:id="0"/>
    </w:p>
    <w:sectPr w:rsidR="00680EC9" w:rsidRPr="006323A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A6"/>
    <w:rsid w:val="006323A6"/>
    <w:rsid w:val="00680EC9"/>
    <w:rsid w:val="0091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D81FD-FAE5-43F4-936C-6725F50B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3A6"/>
    <w:pPr>
      <w:spacing w:after="0" w:line="240" w:lineRule="auto"/>
      <w:ind w:left="284" w:hanging="284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Røpke</dc:creator>
  <cp:keywords/>
  <dc:description/>
  <cp:lastModifiedBy>Alice Røpke</cp:lastModifiedBy>
  <cp:revision>1</cp:revision>
  <dcterms:created xsi:type="dcterms:W3CDTF">2021-07-13T13:21:00Z</dcterms:created>
  <dcterms:modified xsi:type="dcterms:W3CDTF">2021-07-13T13:23:00Z</dcterms:modified>
</cp:coreProperties>
</file>