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8ACFA" w14:textId="77777777" w:rsidR="006979A9" w:rsidRPr="00483342" w:rsidRDefault="006979A9" w:rsidP="006979A9">
      <w:pPr>
        <w:rPr>
          <w:rFonts w:eastAsiaTheme="majorEastAsia"/>
          <w:b/>
          <w:color w:val="000000" w:themeColor="text1"/>
        </w:rPr>
      </w:pPr>
      <w:r>
        <w:rPr>
          <w:rFonts w:eastAsiaTheme="majorEastAsia"/>
          <w:b/>
          <w:color w:val="000000" w:themeColor="text1"/>
        </w:rPr>
        <w:t>Supplementary Material 1:</w:t>
      </w:r>
    </w:p>
    <w:p w14:paraId="7CE0B162" w14:textId="77777777" w:rsidR="006979A9" w:rsidRDefault="006979A9" w:rsidP="006979A9">
      <w:pPr>
        <w:rPr>
          <w:b/>
          <w:bCs/>
          <w:u w:val="single"/>
        </w:rPr>
      </w:pPr>
    </w:p>
    <w:p w14:paraId="5301F024" w14:textId="77777777" w:rsidR="006979A9" w:rsidRPr="00C332CB" w:rsidRDefault="006979A9" w:rsidP="006979A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C332CB">
        <w:rPr>
          <w:rFonts w:ascii="Times New Roman" w:hAnsi="Times New Roman" w:cs="Times New Roman"/>
          <w:sz w:val="24"/>
          <w:szCs w:val="24"/>
          <w:u w:val="single"/>
        </w:rPr>
        <w:t>Clinical assessments</w:t>
      </w:r>
      <w:r w:rsidRPr="00C332C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332CB">
        <w:rPr>
          <w:rFonts w:ascii="Times New Roman" w:hAnsi="Times New Roman" w:cs="Times New Roman"/>
          <w:sz w:val="24"/>
          <w:szCs w:val="24"/>
        </w:rPr>
        <w:t>The majority of</w:t>
      </w:r>
      <w:proofErr w:type="gramEnd"/>
      <w:r w:rsidRPr="00C332CB">
        <w:rPr>
          <w:rFonts w:ascii="Times New Roman" w:hAnsi="Times New Roman" w:cs="Times New Roman"/>
          <w:sz w:val="24"/>
          <w:szCs w:val="24"/>
        </w:rPr>
        <w:t xml:space="preserve"> clinics enquired about driving (98.3%, n = 58), family history (98.3%, n = 58), possible risk factors (96.6%, n = 57), presence of hallucinations/psychosis (96.6%, n = 56), social support (94.9%, n = 56), sleep (94.9%, n = 56), mobility and falls (94.9%, n = 56). Language abilities were assessed by 89.8% (n = 53) of clinics, while hearing and vision were assessed by 88.1% (n = 52) and 86.4% (n = 51) of clinics, respectively. There were no significant differences between the responses from the metropolitan/regional or the public/private clinics for topics covered &gt;70% by clinicians.</w:t>
      </w:r>
    </w:p>
    <w:p w14:paraId="0C667284" w14:textId="77777777" w:rsidR="006979A9" w:rsidRDefault="006979A9" w:rsidP="006979A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332CB">
        <w:rPr>
          <w:rFonts w:ascii="Times New Roman" w:hAnsi="Times New Roman" w:cs="Times New Roman"/>
          <w:sz w:val="24"/>
          <w:szCs w:val="24"/>
        </w:rPr>
        <w:t xml:space="preserve">The following topics were covered by &lt;70% of clinics: nutrition (67.8%, n = 40), legal issues (66.1%, n = 39), client’s and family/carer’s expectations of assessment (64.4%, n = 38), client’s advanced care plans (59.3%, n = 35), exercise routine (55.9%, n = 33). Metropolitan and regional clinics differed on the topics of nutrition (60.5%, n = 26/43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vs</w:t>
      </w:r>
      <w:r w:rsidRPr="00C332CB">
        <w:rPr>
          <w:rFonts w:ascii="Times New Roman" w:hAnsi="Times New Roman" w:cs="Times New Roman"/>
          <w:sz w:val="24"/>
          <w:szCs w:val="24"/>
        </w:rPr>
        <w:t xml:space="preserve">. 87.5%, n = 14/16 respectively: </w:t>
      </w:r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3.8,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.05). The coverage of legal issues differed for metropolitan (58.1%, n = 25/43)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C332CB">
        <w:rPr>
          <w:rFonts w:ascii="Times New Roman" w:hAnsi="Times New Roman" w:cs="Times New Roman"/>
          <w:sz w:val="24"/>
          <w:szCs w:val="24"/>
        </w:rPr>
        <w:t xml:space="preserve"> regional (87.5%, n = 14/</w:t>
      </w:r>
      <w:proofErr w:type="gramStart"/>
      <w:r w:rsidRPr="00C332CB">
        <w:rPr>
          <w:rFonts w:ascii="Times New Roman" w:hAnsi="Times New Roman" w:cs="Times New Roman"/>
          <w:sz w:val="24"/>
          <w:szCs w:val="24"/>
        </w:rPr>
        <w:t>16)(</w:t>
      </w:r>
      <w:proofErr w:type="gramEnd"/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2CB">
        <w:rPr>
          <w:rFonts w:ascii="Times New Roman" w:hAnsi="Times New Roman" w:cs="Times New Roman"/>
          <w:sz w:val="24"/>
          <w:szCs w:val="24"/>
        </w:rPr>
        <w:t xml:space="preserve">= 3.9,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.049) and the public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C332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private clinics</w:t>
      </w:r>
      <w:r w:rsidRPr="00C332CB">
        <w:rPr>
          <w:rFonts w:ascii="Times New Roman" w:hAnsi="Times New Roman" w:cs="Times New Roman"/>
          <w:sz w:val="24"/>
          <w:szCs w:val="24"/>
        </w:rPr>
        <w:t xml:space="preserve"> (75.6%, n = 34/45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C332CB">
        <w:rPr>
          <w:rFonts w:ascii="Times New Roman" w:hAnsi="Times New Roman" w:cs="Times New Roman"/>
          <w:sz w:val="24"/>
          <w:szCs w:val="24"/>
        </w:rPr>
        <w:t xml:space="preserve"> 35.7%, n = 5/14, respectively: </w:t>
      </w:r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7.5,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.01).</w:t>
      </w:r>
    </w:p>
    <w:p w14:paraId="5143F8D6" w14:textId="77777777" w:rsidR="006979A9" w:rsidRPr="00C332CB" w:rsidRDefault="006979A9" w:rsidP="006979A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7ADFD23" w14:textId="77777777" w:rsidR="006979A9" w:rsidRDefault="006979A9" w:rsidP="006979A9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  <w:sectPr w:rsidR="006979A9" w:rsidSect="006979A9">
          <w:pgSz w:w="11906" w:h="16838"/>
          <w:pgMar w:top="720" w:right="720" w:bottom="720" w:left="720" w:header="708" w:footer="708" w:gutter="0"/>
          <w:lnNumType w:countBy="1"/>
          <w:cols w:space="708"/>
          <w:docGrid w:linePitch="360"/>
        </w:sectPr>
      </w:pPr>
      <w:r w:rsidRPr="00C332CB">
        <w:rPr>
          <w:rFonts w:ascii="Times New Roman" w:hAnsi="Times New Roman" w:cs="Times New Roman"/>
          <w:sz w:val="24"/>
          <w:szCs w:val="24"/>
          <w:u w:val="single"/>
        </w:rPr>
        <w:t>Inter-disciplinary case conferences</w:t>
      </w:r>
      <w:r w:rsidRPr="00C332CB">
        <w:rPr>
          <w:rFonts w:ascii="Times New Roman" w:hAnsi="Times New Roman" w:cs="Times New Roman"/>
          <w:sz w:val="24"/>
          <w:szCs w:val="24"/>
        </w:rPr>
        <w:t xml:space="preserve">: 88.4% (n = 38/43)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of clinics</w:t>
      </w:r>
      <w:r w:rsidRPr="00C332CB">
        <w:rPr>
          <w:rFonts w:ascii="Times New Roman" w:hAnsi="Times New Roman" w:cs="Times New Roman"/>
          <w:sz w:val="24"/>
          <w:szCs w:val="24"/>
        </w:rPr>
        <w:t xml:space="preserve"> noted their use of a consensus diagnosis model. More than 75% of clinics reported discussing imaging results (86.0%, n = 37/43), driving capabilities (86.0%, n = 37/43), care strategies for the client (79.1%, n = 34/43), referral to allied health (external to the department) (76.7%, n = 33/43), and pharmacological intervention options (76.7%, n = 33/43). Significantly more PUB-Cs (94.3%, n = 33/35) used the consensus diagnosis model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2CB">
        <w:rPr>
          <w:rFonts w:ascii="Times New Roman" w:hAnsi="Times New Roman" w:cs="Times New Roman"/>
          <w:sz w:val="24"/>
          <w:szCs w:val="24"/>
        </w:rPr>
        <w:t>compared to PRIV-Cs (62.5%, n = 5/8) (</w:t>
      </w:r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6.3,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.001)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32CB">
        <w:rPr>
          <w:rFonts w:ascii="Times New Roman" w:hAnsi="Times New Roman" w:cs="Times New Roman"/>
          <w:sz w:val="24"/>
          <w:szCs w:val="24"/>
        </w:rPr>
        <w:t xml:space="preserve">and were more likely to discuss legal and financial capabilities (74.3%, n = 26/35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 xml:space="preserve">vs. </w:t>
      </w:r>
      <w:r w:rsidRPr="00C332CB">
        <w:rPr>
          <w:rFonts w:ascii="Times New Roman" w:hAnsi="Times New Roman" w:cs="Times New Roman"/>
          <w:sz w:val="24"/>
          <w:szCs w:val="24"/>
        </w:rPr>
        <w:t xml:space="preserve">25.0%, n = 2/8: </w:t>
      </w:r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332CB">
        <w:rPr>
          <w:rFonts w:ascii="Times New Roman" w:hAnsi="Times New Roman" w:cs="Times New Roman"/>
          <w:sz w:val="24"/>
          <w:szCs w:val="24"/>
        </w:rPr>
        <w:t xml:space="preserve">= 6.8,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.01).  Compared to regional clinics (93.5%, n = 29/31), metropolitan clinics (66.7%, n = 8/12) were significantly more likely to discuss imaging results (</w:t>
      </w:r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332CB">
        <w:rPr>
          <w:rFonts w:ascii="Times New Roman" w:hAnsi="Times New Roman" w:cs="Times New Roman"/>
          <w:sz w:val="24"/>
          <w:szCs w:val="24"/>
        </w:rPr>
        <w:t xml:space="preserve">= 5.0,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.02) and pharmacological intervention options (87.1%, n = 27/31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 xml:space="preserve">vs. </w:t>
      </w:r>
      <w:r w:rsidRPr="00C332CB">
        <w:rPr>
          <w:rFonts w:ascii="Times New Roman" w:hAnsi="Times New Roman" w:cs="Times New Roman"/>
          <w:sz w:val="24"/>
          <w:szCs w:val="24"/>
        </w:rPr>
        <w:t xml:space="preserve">50.0%, n = 6/12, respectively: </w:t>
      </w:r>
      <w:r w:rsidRPr="00C332CB">
        <w:rPr>
          <w:rFonts w:ascii="Symbol" w:eastAsia="Symbol" w:hAnsi="Symbol" w:cs="Symbol"/>
          <w:sz w:val="24"/>
          <w:szCs w:val="24"/>
        </w:rPr>
        <w:t>c</w:t>
      </w:r>
      <w:r w:rsidRPr="00C332C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332CB">
        <w:rPr>
          <w:rFonts w:ascii="Times New Roman" w:hAnsi="Times New Roman" w:cs="Times New Roman"/>
          <w:sz w:val="24"/>
          <w:szCs w:val="24"/>
        </w:rPr>
        <w:t xml:space="preserve">= 6.5, </w:t>
      </w:r>
      <w:r w:rsidRPr="00C332C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332CB">
        <w:rPr>
          <w:rFonts w:ascii="Times New Roman" w:hAnsi="Times New Roman" w:cs="Times New Roman"/>
          <w:sz w:val="24"/>
          <w:szCs w:val="24"/>
        </w:rPr>
        <w:t xml:space="preserve"> = .01).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7AE">
        <w:rPr>
          <w:rFonts w:ascii="Times New Roman" w:hAnsi="Times New Roman" w:cs="Times New Roman"/>
          <w:sz w:val="24"/>
          <w:szCs w:val="24"/>
        </w:rPr>
        <w:t xml:space="preserve">Less than 70% of total clinics reported discussing client’s strengths and resources (67.4%, n = 29/43), legal and financial capabilities (65.1%, n = 28/43), risk of abuse (65.1%, n = 28/43), medical prognosis (62.8%, n = 27/43), early support (62.8%, n = 27/43), risk factor modification (62.8%, n = 27/43), counselling (60.5%, 26/43) and educational needs (53.5%, n = 23/43), cognitive intervention options (46.5%, n = 20/43), suitability for investigator-led research studies (41.9%, n = 18/43) and </w:t>
      </w:r>
      <w:r>
        <w:rPr>
          <w:rFonts w:ascii="Times New Roman" w:hAnsi="Times New Roman" w:cs="Times New Roman"/>
          <w:sz w:val="24"/>
          <w:szCs w:val="24"/>
        </w:rPr>
        <w:t>industry-sponsored</w:t>
      </w:r>
      <w:r w:rsidRPr="005867AE">
        <w:rPr>
          <w:rFonts w:ascii="Times New Roman" w:hAnsi="Times New Roman" w:cs="Times New Roman"/>
          <w:sz w:val="24"/>
          <w:szCs w:val="24"/>
        </w:rPr>
        <w:t xml:space="preserve"> clinical trials (34.9%, n = 15/43). Compared to regional clinics (8.3% (n = 1/12), metropolitan clinics (45.2%, n = 14/31), were significantly more likely to discuss suitability for </w:t>
      </w:r>
      <w:r>
        <w:rPr>
          <w:rFonts w:ascii="Times New Roman" w:hAnsi="Times New Roman" w:cs="Times New Roman"/>
          <w:sz w:val="24"/>
          <w:szCs w:val="24"/>
        </w:rPr>
        <w:t>industry-sponsored</w:t>
      </w:r>
      <w:r w:rsidRPr="005867AE">
        <w:rPr>
          <w:rFonts w:ascii="Times New Roman" w:hAnsi="Times New Roman" w:cs="Times New Roman"/>
          <w:sz w:val="24"/>
          <w:szCs w:val="24"/>
        </w:rPr>
        <w:t xml:space="preserve"> clinical trials (</w:t>
      </w:r>
      <w:r w:rsidRPr="005867AE">
        <w:rPr>
          <w:rFonts w:ascii="Symbol" w:eastAsia="Symbol" w:hAnsi="Symbol" w:cs="Symbol"/>
          <w:sz w:val="24"/>
          <w:szCs w:val="24"/>
        </w:rPr>
        <w:t>c</w:t>
      </w:r>
      <w:r w:rsidRPr="005867AE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867AE">
        <w:rPr>
          <w:rFonts w:ascii="Times New Roman" w:hAnsi="Times New Roman" w:cs="Times New Roman"/>
          <w:sz w:val="24"/>
          <w:szCs w:val="24"/>
        </w:rPr>
        <w:t xml:space="preserve">= 5.1, </w:t>
      </w:r>
      <w:r w:rsidRPr="005867A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867AE">
        <w:rPr>
          <w:rFonts w:ascii="Times New Roman" w:hAnsi="Times New Roman" w:cs="Times New Roman"/>
          <w:sz w:val="24"/>
          <w:szCs w:val="24"/>
        </w:rPr>
        <w:t xml:space="preserve"> = .02).  </w:t>
      </w:r>
    </w:p>
    <w:p w14:paraId="6EEECCFF" w14:textId="77777777" w:rsidR="00B94807" w:rsidRDefault="00B94807"/>
    <w:sectPr w:rsidR="00B94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E30B4"/>
    <w:multiLevelType w:val="hybridMultilevel"/>
    <w:tmpl w:val="5EC2B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A9"/>
    <w:rsid w:val="000161F7"/>
    <w:rsid w:val="00043A48"/>
    <w:rsid w:val="0006024E"/>
    <w:rsid w:val="000C6972"/>
    <w:rsid w:val="0011178B"/>
    <w:rsid w:val="00116760"/>
    <w:rsid w:val="00146C4A"/>
    <w:rsid w:val="00154AE1"/>
    <w:rsid w:val="00170CFA"/>
    <w:rsid w:val="001774EB"/>
    <w:rsid w:val="001B5FC1"/>
    <w:rsid w:val="002067C7"/>
    <w:rsid w:val="002954FD"/>
    <w:rsid w:val="00295721"/>
    <w:rsid w:val="003518B1"/>
    <w:rsid w:val="00361182"/>
    <w:rsid w:val="003A3CC6"/>
    <w:rsid w:val="003D1D5F"/>
    <w:rsid w:val="003F0634"/>
    <w:rsid w:val="00440E46"/>
    <w:rsid w:val="00503255"/>
    <w:rsid w:val="005C02EE"/>
    <w:rsid w:val="005F1524"/>
    <w:rsid w:val="005F7DE2"/>
    <w:rsid w:val="005F7FE7"/>
    <w:rsid w:val="00627B3D"/>
    <w:rsid w:val="006626F9"/>
    <w:rsid w:val="006979A9"/>
    <w:rsid w:val="006C429F"/>
    <w:rsid w:val="007C36B6"/>
    <w:rsid w:val="007F439B"/>
    <w:rsid w:val="008219A9"/>
    <w:rsid w:val="0083409D"/>
    <w:rsid w:val="008424C6"/>
    <w:rsid w:val="00843D74"/>
    <w:rsid w:val="00855049"/>
    <w:rsid w:val="00863464"/>
    <w:rsid w:val="00874896"/>
    <w:rsid w:val="008A51B8"/>
    <w:rsid w:val="009037BE"/>
    <w:rsid w:val="0091284E"/>
    <w:rsid w:val="00960AE2"/>
    <w:rsid w:val="00970FF3"/>
    <w:rsid w:val="0099058C"/>
    <w:rsid w:val="00A13027"/>
    <w:rsid w:val="00A23520"/>
    <w:rsid w:val="00A43087"/>
    <w:rsid w:val="00A4359F"/>
    <w:rsid w:val="00A4708F"/>
    <w:rsid w:val="00A97D63"/>
    <w:rsid w:val="00AB00FB"/>
    <w:rsid w:val="00AE54A6"/>
    <w:rsid w:val="00B33E18"/>
    <w:rsid w:val="00B4024A"/>
    <w:rsid w:val="00B76493"/>
    <w:rsid w:val="00B94807"/>
    <w:rsid w:val="00B96648"/>
    <w:rsid w:val="00C833F5"/>
    <w:rsid w:val="00C84A3F"/>
    <w:rsid w:val="00D02DDE"/>
    <w:rsid w:val="00D04B45"/>
    <w:rsid w:val="00D25EBD"/>
    <w:rsid w:val="00D26D57"/>
    <w:rsid w:val="00D73E37"/>
    <w:rsid w:val="00DD127D"/>
    <w:rsid w:val="00E0105A"/>
    <w:rsid w:val="00E41E5F"/>
    <w:rsid w:val="00EB2239"/>
    <w:rsid w:val="00EE6672"/>
    <w:rsid w:val="00F02619"/>
    <w:rsid w:val="00F331FA"/>
    <w:rsid w:val="00F41BB0"/>
    <w:rsid w:val="00F70C79"/>
    <w:rsid w:val="00FA79DF"/>
    <w:rsid w:val="00FC1483"/>
    <w:rsid w:val="00FC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F1107"/>
  <w15:chartTrackingRefBased/>
  <w15:docId w15:val="{2961EB8B-BF20-EF48-9E0A-1C26E4CF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 Bold" w:eastAsiaTheme="minorHAnsi" w:hAnsi="Times New Roman Bold" w:cs="Times New Roman"/>
        <w:b/>
        <w:bCs/>
        <w:color w:val="262626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9A9"/>
    <w:rPr>
      <w:rFonts w:ascii="Times New Roman" w:eastAsia="Times New Roman" w:hAnsi="Times New Roman"/>
      <w:b w:val="0"/>
      <w:bCs w:val="0"/>
      <w:color w:val="auto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9A9"/>
    <w:pPr>
      <w:spacing w:after="80"/>
      <w:ind w:left="720"/>
      <w:contextualSpacing/>
      <w:jc w:val="both"/>
    </w:pPr>
    <w:rPr>
      <w:rFonts w:ascii="Arial" w:eastAsiaTheme="minorHAnsi" w:hAnsi="Arial" w:cs="Arial"/>
      <w:bCs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697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Michaelian</dc:creator>
  <cp:keywords/>
  <dc:description/>
  <cp:lastModifiedBy>Johannes Michaelian</cp:lastModifiedBy>
  <cp:revision>1</cp:revision>
  <dcterms:created xsi:type="dcterms:W3CDTF">2021-10-11T01:24:00Z</dcterms:created>
  <dcterms:modified xsi:type="dcterms:W3CDTF">2021-10-11T01:25:00Z</dcterms:modified>
</cp:coreProperties>
</file>