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2C" w:rsidRPr="00B51AB8" w:rsidRDefault="0058542C" w:rsidP="0058542C">
      <w:pPr>
        <w:pStyle w:val="Heading2"/>
        <w:rPr>
          <w:sz w:val="24"/>
          <w:szCs w:val="20"/>
        </w:rPr>
      </w:pPr>
      <w:r>
        <w:rPr>
          <w:sz w:val="24"/>
          <w:szCs w:val="20"/>
        </w:rPr>
        <w:t>Additional File 3</w:t>
      </w:r>
      <w:r w:rsidRPr="00B51AB8">
        <w:rPr>
          <w:sz w:val="24"/>
          <w:szCs w:val="20"/>
        </w:rPr>
        <w:t xml:space="preserve">. </w:t>
      </w:r>
      <w:r w:rsidRPr="00B51AB8">
        <w:rPr>
          <w:b w:val="0"/>
          <w:bCs w:val="0"/>
          <w:sz w:val="24"/>
          <w:szCs w:val="20"/>
        </w:rPr>
        <w:t>Descriptive Definitions and Measurement Indicators of Polypharmacy and Alternative Terms across Studies</w:t>
      </w:r>
    </w:p>
    <w:tbl>
      <w:tblPr>
        <w:tblW w:w="130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411"/>
        <w:gridCol w:w="1538"/>
        <w:gridCol w:w="1394"/>
        <w:gridCol w:w="3670"/>
        <w:gridCol w:w="1260"/>
        <w:gridCol w:w="2340"/>
      </w:tblGrid>
      <w:tr w:rsidR="0058542C" w:rsidRPr="008D3438" w:rsidTr="00254176">
        <w:trPr>
          <w:trHeight w:val="1028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>Authors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 xml:space="preserve">Terminology used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>Descriptive definition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>Measurement indicator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ind w:right="-2595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>Sub-indicator definition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>Type of drug assessment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CA" w:bidi="th-TH"/>
              </w:rPr>
              <w:t>Name of the drug</w:t>
            </w:r>
          </w:p>
        </w:tc>
      </w:tr>
      <w:tr w:rsidR="0058542C" w:rsidRPr="008D3438" w:rsidTr="00254176">
        <w:trPr>
          <w:trHeight w:val="78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Källén et al. (1989)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3 antiepileptic medications used in combination during the 1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st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trimester of pregnancy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Antiepileptics</w:t>
            </w:r>
          </w:p>
        </w:tc>
      </w:tr>
      <w:tr w:rsidR="0058542C" w:rsidRPr="008D3438" w:rsidTr="00254176">
        <w:trPr>
          <w:trHeight w:val="1583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Bjerrum et al. (1997)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Minor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2 to 4 medications used concurrently 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132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Major 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used concurrently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078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Bjerrum et al. (1998)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Minor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2 to 4 medications used concurrently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2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nd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and 5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levels</w:t>
            </w:r>
          </w:p>
        </w:tc>
      </w:tr>
      <w:tr w:rsidR="0058542C" w:rsidRPr="008D3438" w:rsidTr="00254176">
        <w:trPr>
          <w:trHeight w:val="88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Major 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used concurrently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Veehof et al. (2000)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2 medications simultaneously used for ≥ 60 days per quarter per year 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val="en-CA"/>
              </w:rPr>
              <w:t>Concurrent use of medications with at least 240 days overlap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Unspecified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Minor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2 to 3 medications simultaneously used for ≥ 60 days per quarter per year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60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Moderate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4 to 5 medications simultaneously used for ≥ 60 days per quarter per year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Major 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6 medications simultaneously used for ≥ 60 days per quarter per year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96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Long term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simultaneously used with overlap of ≥ 60 days per quarter per year (a total of ≥ 240 days a year)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Weissman (2002)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drugs used concomitantly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Intra-class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268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Hamann et al. (2003)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Comedication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 different medication prescribed in addition to an antipsychotic within a time interval of 45 days before or following the antipsychotic prescription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14 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Antipsychotics: amisulpride, clozapine, olanzapine, quetiapine, risperidone, zotepine and typical antipsychotics any other class e.g. cardiovascular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within a time interval of 14 days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88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Jaffe &amp; Levine (2003)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Co-prescribing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with overlap for at least 28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28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De las Cuevas &amp; Sanz (2004)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psychiatric medication class used concurrently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lastRenderedPageBreak/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 xml:space="preserve">Psychotropics: antipsychotics, antidepressants and tranquillisers: including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>hypnotics, benzodiazepines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Same-class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2 medications from the same medication class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563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Multi-class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used at their full therapeutic doses from different medication classes for the same symptom cluster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268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Adjunctive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with one used to treat the side effects or secondary symptoms of another medication from a different medication class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5020"/>
        </w:trPr>
        <w:tc>
          <w:tcPr>
            <w:tcW w:w="1427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Augmentation polypharmacy</w:t>
            </w:r>
          </w:p>
        </w:tc>
        <w:tc>
          <w:tcPr>
            <w:tcW w:w="1538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with one used at a lower-than-normal dose along with another medication from a different medication class at its full therapeutic dose, for the same symptom cluster or the addition of a medication that would not be used alone for the same symptom cluster</w:t>
            </w:r>
          </w:p>
        </w:tc>
        <w:tc>
          <w:tcPr>
            <w:tcW w:w="1394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2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Total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The total count of medications or total drug load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Dolk et al. (2008)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in the first trimester of pregnancy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90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Antiepileptics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Malm et al. (2004)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280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3rd level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French et al.  (2005)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 classes of cardiovascular, CNS, musculoskeletal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CNS, cardiovascular, musculoskeletal system</w:t>
            </w:r>
          </w:p>
        </w:tc>
      </w:tr>
      <w:tr w:rsidR="0058542C" w:rsidRPr="008D3438" w:rsidTr="00254176">
        <w:trPr>
          <w:trHeight w:val="224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Preskorn et al. (2005)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 xml:space="preserve">Multiple medication use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concurrent medications when the number of days of supply equals or exceed the number of days since the last refill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drugs that could interact systemically or gastrointestinally e.g. acetaminophen and codeine in a combination</w:t>
            </w:r>
          </w:p>
        </w:tc>
      </w:tr>
      <w:tr w:rsidR="0058542C" w:rsidRPr="008D3438" w:rsidTr="00254176">
        <w:trPr>
          <w:trHeight w:val="691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Åstrand et al. (2006)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450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5th level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Åstrand et al. (2007)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450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5th level</w:t>
            </w:r>
          </w:p>
        </w:tc>
      </w:tr>
      <w:tr w:rsidR="0058542C" w:rsidRPr="008D3438" w:rsidTr="00254176">
        <w:trPr>
          <w:trHeight w:val="75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Targownik et al. (2007)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concomitant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45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nonsteroidal anti-inflammatory drugs (NSAIDs), acetylsalicylic acid (ASA), clopidrogel, warfarin, antispasmodic/promotility agents, and selective serotonin reuptake inhibitors (SSRIs)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62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Carey et al. (2008)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medications, each with ≥ 3 prescriptions in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Unspecified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Gidal et al. (2009)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Concomitant, polytherapy, polypharmacy, Adjunctive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concomitant medication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Non epileptic drugs with either enzyme-inducing AEDs (EIAEDs) :phenytoin, carbamazepine, phenobarbital, and primidone, OR non– enzyme-inducing AEDs (NEIAEDs): valproate,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>tiagabine, levetiracetam, lamotrigine, gabapentin, topiramate, oxcarbazepine, and zonisamide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808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Haider et al. (2009)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5 to 9 concurrent medications 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</w:tr>
      <w:tr w:rsidR="0058542C" w:rsidRPr="008D3438" w:rsidTr="00254176">
        <w:trPr>
          <w:trHeight w:val="664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10 concurrent medications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42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Hsieh &amp; Huang (2009)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 as concomitant therapy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Antiepileptics</w:t>
            </w:r>
          </w:p>
        </w:tc>
      </w:tr>
      <w:tr w:rsidR="0058542C" w:rsidRPr="008D3438" w:rsidTr="00254176">
        <w:trPr>
          <w:trHeight w:val="97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Constantine et al. (2010)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75E2B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simultaneously used &gt;60 days with no gaps &gt;15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60 days overlaps and allowed gap of 15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79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750687">
              <w:rPr>
                <w:rFonts w:cs="Times New Roman"/>
                <w:color w:val="222222"/>
                <w:sz w:val="20"/>
                <w:szCs w:val="20"/>
                <w:shd w:val="clear" w:color="auto" w:fill="FFFFFF"/>
                <w:lang w:val="en-CA"/>
              </w:rPr>
              <w:t>Hovstadius et al. (201</w:t>
            </w:r>
            <w:r>
              <w:rPr>
                <w:rFonts w:cs="Times New Roman"/>
                <w:color w:val="222222"/>
                <w:sz w:val="20"/>
                <w:szCs w:val="20"/>
                <w:shd w:val="clear" w:color="auto" w:fill="FFFFFF"/>
                <w:lang w:val="en-CA"/>
              </w:rPr>
              <w:t>0</w:t>
            </w:r>
            <w:r w:rsidRPr="00750687">
              <w:rPr>
                <w:rFonts w:cs="Times New Roman"/>
                <w:color w:val="222222"/>
                <w:sz w:val="20"/>
                <w:szCs w:val="20"/>
                <w:shd w:val="clear" w:color="auto" w:fill="FFFFFF"/>
                <w:lang w:val="en-CA"/>
              </w:rPr>
              <w:t>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during a 3-month period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val="en-CA"/>
              </w:rPr>
              <w:t>Cumulative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medications during a 3-month period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Lai et al. (2010)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medications used on daily average calculated over 2 years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730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321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Moisan &amp; Grégoire (2010)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atypical antipsychotic, or 1 atypical and 1 typical antipsychotic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1249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Slabaugh et al. (2010)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Overlapping treatment with ≥ 5 medications occurring for at least 1 day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</w:t>
            </w:r>
          </w:p>
        </w:tc>
      </w:tr>
      <w:tr w:rsidR="0058542C" w:rsidRPr="008D3438" w:rsidTr="00254176">
        <w:trPr>
          <w:trHeight w:val="6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Charlton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</w:t>
            </w:r>
          </w:p>
        </w:tc>
      </w:tr>
      <w:tr w:rsidR="0058542C" w:rsidRPr="008D3438" w:rsidTr="00254176">
        <w:trPr>
          <w:trHeight w:val="6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Hoffmann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Antidementia drugs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Kragh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180 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Psychotropics: sedative and hypnotic, antidepressive, antipsychotic, benzodiazepine (all and long-acting)), cardiovascular (excluding lipid-lowering drugs), anticholinergic, antiepileptic, antiparkinson, and opioids</w:t>
            </w:r>
          </w:p>
        </w:tc>
      </w:tr>
      <w:tr w:rsidR="0058542C" w:rsidRPr="008D3438" w:rsidTr="00254176">
        <w:trPr>
          <w:trHeight w:val="968"/>
        </w:trPr>
        <w:tc>
          <w:tcPr>
            <w:tcW w:w="1427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</w:pPr>
          </w:p>
        </w:tc>
        <w:tc>
          <w:tcPr>
            <w:tcW w:w="1411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medications</w:t>
            </w:r>
          </w:p>
        </w:tc>
        <w:tc>
          <w:tcPr>
            <w:tcW w:w="1394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</w:tr>
      <w:tr w:rsidR="0058542C" w:rsidRPr="008D3438" w:rsidTr="00254176">
        <w:trPr>
          <w:trHeight w:val="22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Kulaga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 in one prescription filled in the 1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st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trimester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antiepileptic: carbamazepine, clobazam, clonazepam, ethosuximide, gabapentin, lamotrigine, phenobarbital, phenytoin, primidone, topiramate ,valproic acid or vigabatrin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Lai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medications used on daily average calculated over 2 years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730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Landmark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concomitant medications within one specific month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Antiepileptics 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Pergolizzi Jr et al. (2011)</w:t>
            </w:r>
          </w:p>
        </w:tc>
        <w:tc>
          <w:tcPr>
            <w:tcW w:w="1411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medication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concurrent opioids metabolized by the CYP450 system (codeine,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</w:tr>
      <w:tr w:rsidR="0058542C" w:rsidRPr="008D3438" w:rsidTr="00254176">
        <w:trPr>
          <w:trHeight w:val="142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fentanyl, hydrocodone, methadone, oxycodone, or tramadol)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88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as concomitant therapy with at least a one day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overlap in days supplied within the 30-day window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of time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Sanglier et al. (2011)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4 different, non antidepressant compounds during a month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Any medication: 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Excluding antidepressants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Andrew et al. (2012)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Antiepileptics 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Baandrup et al. (2012)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drugs used concomitantly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Antiepileptics 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Lai et al. (2012)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medications used on daily average calculated over 2 years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730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15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Tiihonen et al. (2012)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drugs used concomitantly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antipsychotics, antidepressants, benzodiazepines</w:t>
            </w:r>
          </w:p>
        </w:tc>
      </w:tr>
      <w:tr w:rsidR="0058542C" w:rsidRPr="008D3438" w:rsidTr="00254176">
        <w:trPr>
          <w:trHeight w:val="79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Xiang et al. (2012)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drugs used concomitantly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88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Blozik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reimbursed in a quarter of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Unspecified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22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Calderón-Larrañaga (2013)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3 concurrent medications at 2 different months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3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rd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CNS (depression-anxiety,), cardiovascular, acute respiratory infection (ARI), chronic obstructive pulmonary disease (COPD), rhinitis-asthma, pain, and menopause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Curkendall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 antidiabetic medications prescribed in 90 days after an index drug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90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Antidiabetics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Franchi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Chronic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in 1 month for at least 6 months (consecutive or not) in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180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4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Gören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concomitantly used with ≥ 90 days overlap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90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Lizano-Díez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 xml:space="preserve">Poly medicate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16 medications as active principles in a month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205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Onishi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combinations of 4 types of medications from multiple classes used for treating major depression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first- and/or second-generation antidepressants; benzodiazepine; sulpiride and antipsychotics</w:t>
            </w:r>
          </w:p>
        </w:tc>
      </w:tr>
      <w:tr w:rsidR="0058542C" w:rsidRPr="008D3438" w:rsidTr="00254176">
        <w:trPr>
          <w:trHeight w:val="19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Palmsten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 classes exposed concomitantly or sequentially with an SSRI and another class or non-SSRIs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90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antidepressants</w:t>
            </w:r>
          </w:p>
        </w:tc>
      </w:tr>
      <w:tr w:rsidR="0058542C" w:rsidRPr="008D3438" w:rsidTr="00254176">
        <w:trPr>
          <w:trHeight w:val="88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Suokas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2 antipsychotics for over 60 days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19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Wong et al. (2013)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antihypertensive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[alpha-blockers, beta-blockers, thiazide diuretics, calcium channel blockers (CCBs), angiotensin-converting enzyme inhibitors (ACEIs), angiotensin receptor blockers (ARBs)]</w:t>
            </w:r>
          </w:p>
        </w:tc>
      </w:tr>
      <w:tr w:rsidR="0058542C" w:rsidRPr="008D3438" w:rsidTr="00254176">
        <w:trPr>
          <w:trHeight w:val="7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Degli Esposti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2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 xml:space="preserve">antipsychotic medications used simultaneously for 1 year either as switch therapy or add-on treatment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Fano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Minor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2 to 3 medications, each used for ≥ 60 days of therapy in a year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60 days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Moderate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4 to 5 medications each with at least 60 days of therapy in a year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Major 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6 medications each with at least 60 days of therapy in a year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528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Fereshtehnejad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Cholinesterase inhibitors, NMDA antagonists, cardiovascular drugs, antidepressants, antipsychotics, anxiolytics and hypnotics</w:t>
            </w:r>
          </w:p>
        </w:tc>
      </w:tr>
      <w:tr w:rsidR="0058542C" w:rsidRPr="008D3438" w:rsidTr="00254176">
        <w:trPr>
          <w:trHeight w:val="1583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Franchi et al. (2014)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from different active substances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69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Chronic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medications from different active substances with ≥ 4 packages of each drug substance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Frandsen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medications, each with ≥ 3 prescriptions during the study period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Selective serotonin re-uptake inhibitors (SSRIs) (ATC-code: N06AB), serotonin-noradrenaline re-uptake inhibitors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>(SNRIs) (06AX), tricyclic antidepressants (TCAs) (N06AA), benzodiazepines (BZDs) (N05BA, N03AE01,N05CD), benzodiazepine-like drugs (BZD-like) (N05CF),first-generation antipsychotics (FGAs) (N05A, excluding N05AX08-12-13, N05AL05, N05AH02-03-04-05,N05AE03e04, N05AN01) and second-generation antipsychotics (SGAs) (N05AX08-12-13, N05AL05, N05AH02-03-04-05, N05AE03-04)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231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Gamble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assessed at baseline and 90-day intervals of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</w:tr>
      <w:tr w:rsidR="0058542C" w:rsidRPr="008D3438" w:rsidTr="00254176">
        <w:trPr>
          <w:trHeight w:val="97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Guidoni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concomitant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1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st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level: warfarin and other drugs</w:t>
            </w:r>
          </w:p>
        </w:tc>
      </w:tr>
      <w:tr w:rsidR="0058542C" w:rsidRPr="008D3438" w:rsidTr="00254176">
        <w:trPr>
          <w:trHeight w:val="97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Helgadóttir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90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591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Hovstadius et al. (2014)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3 concomitant psychotropic drugs used regularly or as needed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169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concomitant psychotropic drugs used regularly or as needed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799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E44420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Kim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6 concurrent/ simultaneous medications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Any medication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</w:tr>
      <w:tr w:rsidR="0058542C" w:rsidRPr="008D3438" w:rsidTr="00254176">
        <w:trPr>
          <w:trHeight w:val="61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Major 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11 concurrent medications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21 concurrent medications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84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Monégat et al. (2014)</w:t>
            </w:r>
          </w:p>
        </w:tc>
        <w:tc>
          <w:tcPr>
            <w:tcW w:w="1411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prescribed simultaneously (one day at random, an average day of year, an average day over 20 days) or cumulatively (over the quarter average. over 4 quarters) or continuously (≥3 times a year)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overlap, on a random or an average day per year or 20 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</w:t>
            </w: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538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538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Continuous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in a 120-day period and at least 3 times a year with a total of 360 days</w:t>
            </w: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205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Onder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5 to 9 medications at ATC 2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nd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 or ≥10 medications at ATC 5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 over a quarter of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Pottegård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8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6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Rossini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374837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loop diuretics, NSAIDs, other analgesics [paracetamol (acetaminophen) or opioids], oral antidiabetics, insulin, statins (HMG-CoA reductase inhibitors), antidepressants, b-blockers, calcium channel antagonists, ACE inhibitors, angiotensin receptor blockers (sartanics), other antihypertensive medications, gastroprotection’s, thyroid hormones, antiparkinson or antiepileptic drugs, drugs for chronic obstructive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>pulmonary disease (COPD), systemic corticosteroids or inhaled corticosteroids</w:t>
            </w:r>
          </w:p>
        </w:tc>
      </w:tr>
      <w:tr w:rsidR="0058542C" w:rsidRPr="008D3438" w:rsidTr="00254176">
        <w:trPr>
          <w:trHeight w:val="43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lastRenderedPageBreak/>
              <w:t>Wang et al. (2014)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9A6067" w:rsidRDefault="0058542C" w:rsidP="00254176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CC1B8B">
              <w:rPr>
                <w:sz w:val="20"/>
                <w:szCs w:val="20"/>
                <w:lang w:val="en-CA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Both inter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Benzodiazepines, z hypnotic agents: alprazolam, bromazepam, brotizolam, chlordiazepoxide, clobazam, clonazepam, clorazepate, cloxazolam, 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diazepam, estazolam, fludiazepam, flunitrazepam, flurazepam, lorazepam, lormetazepam, medazepam, midazolam, 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nimetazepam, nitrazepam, nordazepam, oxazepam, oxazolam, prazepam, triazolam, zaleplon, zolpidem, and zopiclone</w:t>
            </w:r>
          </w:p>
        </w:tc>
      </w:tr>
      <w:tr w:rsidR="0058542C" w:rsidRPr="008D3438" w:rsidTr="00254176">
        <w:trPr>
          <w:trHeight w:val="16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Gaviria et al. (2015)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Long term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simultaneously used with overlap of &gt;120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90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Laflamme et al. (2015)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FRIDS: vasodilators used in cardiac diseases, antihypertensive drugs, diuretics, beta blocking agents, calcium channel blockers, agents acting on the renin-angiotensin system, alpha adrenoreceptor antagonists (for benign prostatic hypertrophy), opioids, dopaminergic agents (anti-Parkinson drugs), antipsychotics excl. lithium, anxiolytics, hypnotics and sedatives and antidepressants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601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Lin et al. (2015)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an unspecified period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Psychotropics 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Lu et al. (2015)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concomitant medications with at least 28 days of supply 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10 concomitant medication with at least 28 days of supply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Salahudeen et al. (2015)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concurrent medications dispensed for ≥ 365 days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365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anticholinergics</w:t>
            </w: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van de Vorst et al. (2015)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regular medications (excluding temporary drugs or antibiotics)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9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Baandrup et al.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compounds collected within 2 successive intervals of 60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Antiepileptics </w:t>
            </w:r>
          </w:p>
        </w:tc>
      </w:tr>
      <w:tr w:rsidR="0058542C" w:rsidRPr="008D3438" w:rsidTr="00254176">
        <w:trPr>
          <w:trHeight w:val="169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Chang et al.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Combination therapy, 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concomitant psychotropic medication from same class for &gt; 6 weeks during a 1-year period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42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Antipsychotics, antidepressants, mood stabilizers, benzodiazepines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224083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Ekstam 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&amp; </w:t>
            </w:r>
            <w:r w:rsidRPr="003C4096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>Elmståhl</w:t>
            </w:r>
            <w:r w:rsidRPr="00224083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  <w:t xml:space="preserve">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val="en-CA" w:bidi="th-TH"/>
              </w:rPr>
              <w:t xml:space="preserve">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Simultaneous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Psychotropic (including sedative/hypnotic, ant depressive, antipsychotic [excluding lithium], and benzodiazepine), cardiovascular (excluding lipid-lowering drugs), anticholinergic, antiepileptic, antiparkinsonian, and opioids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vMerge/>
            <w:shd w:val="clear" w:color="auto" w:fill="auto"/>
          </w:tcPr>
          <w:p w:rsidR="0058542C" w:rsidRPr="00224083" w:rsidRDefault="0058542C" w:rsidP="0025417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1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Major polypharmacy</w:t>
            </w:r>
          </w:p>
        </w:tc>
        <w:tc>
          <w:tcPr>
            <w:tcW w:w="1538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medications</w:t>
            </w:r>
          </w:p>
        </w:tc>
        <w:tc>
          <w:tcPr>
            <w:tcW w:w="1394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</w:tr>
      <w:tr w:rsidR="0058542C" w:rsidRPr="008D3438" w:rsidTr="00254176">
        <w:trPr>
          <w:trHeight w:val="79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Horváth et al.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3 antiepileptic or CNS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Antiepileptics</w:t>
            </w:r>
          </w:p>
        </w:tc>
      </w:tr>
      <w:tr w:rsidR="0058542C" w:rsidRPr="008D3438" w:rsidTr="00254176">
        <w:trPr>
          <w:trHeight w:val="214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Sinnige et al.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medications, each with ≥ 4 prescriptions or prescribed for ≥ 90 days, used simultaneously ≥ 1 day in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Any medication: 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3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rd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level: Excluding topicals antibiotics</w:t>
            </w:r>
          </w:p>
        </w:tc>
      </w:tr>
      <w:tr w:rsidR="0058542C" w:rsidRPr="008D3438" w:rsidTr="00254176">
        <w:trPr>
          <w:trHeight w:val="1583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van den Bemt et al.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concomitant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Unspecified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</w:tr>
      <w:tr w:rsidR="0058542C" w:rsidRPr="008D3438" w:rsidTr="00254176">
        <w:trPr>
          <w:trHeight w:val="259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van Erning et al. (2016)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2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nd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level: anticonstipations, antithrombotic, anti acids, antibacterial, renin–angiotensin system (RAS)-related agents, beta-blockers, lipid-modifying agents, diuretics, psycholeptics, antianaemics.  excluding non-therapeutic products</w:t>
            </w:r>
          </w:p>
        </w:tc>
      </w:tr>
      <w:tr w:rsidR="0058542C" w:rsidRPr="008D3438" w:rsidTr="00254176">
        <w:trPr>
          <w:trHeight w:val="52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Abe et al. (2017)</w:t>
            </w:r>
          </w:p>
        </w:tc>
        <w:tc>
          <w:tcPr>
            <w:tcW w:w="1411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with renal or hepatic adverse effects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1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st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level:</w:t>
            </w:r>
          </w:p>
        </w:tc>
      </w:tr>
      <w:tr w:rsidR="0058542C" w:rsidRPr="008D3438" w:rsidTr="00254176">
        <w:trPr>
          <w:trHeight w:val="520"/>
        </w:trPr>
        <w:tc>
          <w:tcPr>
            <w:tcW w:w="1427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538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2340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Hepatic and renal drugs</w:t>
            </w: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Broeks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medications concomitantly used with ≥ 90 days overlap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90 days overlaps and a grace period of 28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Psychotropics</w:t>
            </w:r>
          </w:p>
        </w:tc>
      </w:tr>
      <w:tr w:rsidR="0058542C" w:rsidRPr="008D3438" w:rsidTr="00254176">
        <w:trPr>
          <w:trHeight w:val="169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Byrne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Co-prescribing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3 chronic medications dispensed in a year for each drug class (second-level ATC)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2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nd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</w:t>
            </w:r>
          </w:p>
        </w:tc>
      </w:tr>
      <w:tr w:rsidR="0058542C" w:rsidRPr="008D3438" w:rsidTr="00254176">
        <w:trPr>
          <w:trHeight w:val="1915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Caughey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Hyper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10 unique medicines dispensed in the 120 days before and after hospitalization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120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Antidiabetic, cardiovascular</w:t>
            </w:r>
          </w:p>
        </w:tc>
      </w:tr>
      <w:tr w:rsidR="0058542C" w:rsidRPr="008D3438" w:rsidTr="00254176">
        <w:trPr>
          <w:trHeight w:val="19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Feng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concurrent medications from different drug classes per day for ≥60 days in 72 consecutive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60 days overlaps and allowed gap of 12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Hung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concomitant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McLean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authorised for repeat prescription and issued within 84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84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Mizokami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at discharge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2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nd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and 3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rd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levels</w:t>
            </w:r>
          </w:p>
        </w:tc>
      </w:tr>
      <w:tr w:rsidR="0058542C" w:rsidRPr="008D3438" w:rsidTr="00254176">
        <w:trPr>
          <w:trHeight w:val="133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Park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used on a daily average calculated over 1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Cumulative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720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Antihypertension and antidiabetic</w:t>
            </w:r>
          </w:p>
        </w:tc>
      </w:tr>
      <w:tr w:rsidR="0058542C" w:rsidRPr="008D3438" w:rsidTr="00254176">
        <w:trPr>
          <w:trHeight w:val="142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Park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used on a daily average calculated over 1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97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Wawruch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6 concurrent/ simultaneous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Yeh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Antiepileptics</w:t>
            </w:r>
          </w:p>
        </w:tc>
      </w:tr>
      <w:tr w:rsidR="0058542C" w:rsidRPr="008D3438" w:rsidTr="00254176">
        <w:trPr>
          <w:trHeight w:val="196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Yu et al. (2017)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benzodiazepines or any benzodiazepine plus non-benzodiazepine hypnotics used within 30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Benzodiazepines and non-benzodiazepine hypnotics</w:t>
            </w:r>
          </w:p>
        </w:tc>
      </w:tr>
      <w:tr w:rsidR="0058542C" w:rsidRPr="008D3438" w:rsidTr="00254176">
        <w:trPr>
          <w:trHeight w:val="6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Asranna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Antiepileptics </w:t>
            </w:r>
          </w:p>
        </w:tc>
      </w:tr>
      <w:tr w:rsidR="0058542C" w:rsidRPr="008D3438" w:rsidTr="00254176">
        <w:trPr>
          <w:trHeight w:val="88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Baek &amp; Shin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6 concurrent/ simultaneous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3997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Chiapella et al. (2018)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Minor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2 to 4 medications used simultaneously (on a random day within 6 months) or cumulatively (monthly average in ≥ 3 consecutive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months) or continuously (≥ 2 continues period of 3 months)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CC1B8B">
              <w:rPr>
                <w:sz w:val="20"/>
                <w:szCs w:val="20"/>
                <w:lang w:val="en-CA"/>
              </w:rPr>
              <w:t>Simultaneous</w:t>
            </w:r>
          </w:p>
          <w:p w:rsidR="0058542C" w:rsidRPr="00CC1B8B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</w:p>
          <w:p w:rsidR="0058542C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CC1B8B">
              <w:rPr>
                <w:sz w:val="20"/>
                <w:szCs w:val="20"/>
                <w:lang w:val="en-CA"/>
              </w:rPr>
              <w:t>Cumulative</w:t>
            </w:r>
          </w:p>
          <w:p w:rsidR="0058542C" w:rsidRPr="00CC1B8B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CC1B8B">
              <w:rPr>
                <w:sz w:val="20"/>
                <w:szCs w:val="20"/>
                <w:lang w:val="en-CA"/>
              </w:rPr>
              <w:t>Continues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CC1B8B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CC1B8B">
              <w:rPr>
                <w:sz w:val="20"/>
                <w:szCs w:val="20"/>
                <w:lang w:val="en-CA"/>
              </w:rPr>
              <w:t>Concurrent use of medications with at least 1day overlap</w:t>
            </w:r>
          </w:p>
          <w:p w:rsidR="0058542C" w:rsidRPr="00CC1B8B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</w:p>
          <w:p w:rsidR="0058542C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  <w:r w:rsidRPr="00CC1B8B">
              <w:rPr>
                <w:sz w:val="20"/>
                <w:szCs w:val="20"/>
                <w:lang w:val="en-CA"/>
              </w:rPr>
              <w:t>Sum of different medications taken over 90 days</w:t>
            </w:r>
          </w:p>
          <w:p w:rsidR="0058542C" w:rsidRPr="008D3438" w:rsidRDefault="0058542C" w:rsidP="00254176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CC1B8B">
              <w:rPr>
                <w:sz w:val="20"/>
                <w:szCs w:val="20"/>
                <w:lang w:val="en-CA"/>
              </w:rPr>
              <w:t>Sum of different medications taken in a 90-day period and at least 2 times a year with a total of 180days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5th level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  <w:tr w:rsidR="0058542C" w:rsidRPr="008D3438" w:rsidTr="00254176">
        <w:trPr>
          <w:trHeight w:val="3580"/>
        </w:trPr>
        <w:tc>
          <w:tcPr>
            <w:tcW w:w="1427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</w:pPr>
          </w:p>
        </w:tc>
        <w:tc>
          <w:tcPr>
            <w:tcW w:w="1411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Major polypharmacy</w:t>
            </w:r>
          </w:p>
        </w:tc>
        <w:tc>
          <w:tcPr>
            <w:tcW w:w="1538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used simultaneously (on a random day within 6 months) or cumulatively (monthly average in ≥ 3 consecutive months) or continuously (≥ 2 continues period of 3 months)</w:t>
            </w:r>
          </w:p>
        </w:tc>
        <w:tc>
          <w:tcPr>
            <w:tcW w:w="1394" w:type="dxa"/>
            <w:vMerge/>
            <w:shd w:val="clear" w:color="auto" w:fill="auto"/>
          </w:tcPr>
          <w:p w:rsidR="0058542C" w:rsidRPr="00CC1B8B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CC1B8B" w:rsidRDefault="0058542C" w:rsidP="00254176">
            <w:pPr>
              <w:spacing w:line="240" w:lineRule="auto"/>
              <w:rPr>
                <w:sz w:val="20"/>
                <w:szCs w:val="20"/>
                <w:lang w:val="en-CA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</w:tr>
      <w:tr w:rsidR="0058542C" w:rsidRPr="008D3438" w:rsidTr="00254176">
        <w:trPr>
          <w:trHeight w:val="106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Cho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prescription having 5-9 active ingredients 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Psychotropics</w:t>
            </w:r>
          </w:p>
        </w:tc>
      </w:tr>
      <w:tr w:rsidR="0058542C" w:rsidRPr="008D3438" w:rsidTr="00254176">
        <w:trPr>
          <w:trHeight w:val="1600"/>
        </w:trPr>
        <w:tc>
          <w:tcPr>
            <w:tcW w:w="1427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</w:pPr>
          </w:p>
        </w:tc>
        <w:tc>
          <w:tcPr>
            <w:tcW w:w="1411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prescription with ≥ 10 active ingredients</w:t>
            </w:r>
          </w:p>
        </w:tc>
        <w:tc>
          <w:tcPr>
            <w:tcW w:w="1394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</w:tr>
      <w:tr w:rsidR="0058542C" w:rsidRPr="008D3438" w:rsidTr="00254176">
        <w:trPr>
          <w:trHeight w:val="124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Faught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bCs/>
                <w:color w:val="000000"/>
                <w:sz w:val="20"/>
                <w:szCs w:val="20"/>
                <w:lang w:val="en-CA" w:bidi="th-TH"/>
              </w:rPr>
              <w:t>Polytherapy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antileptic medications used simultaneously ≥ 90 days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90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antiepileptics</w:t>
            </w:r>
          </w:p>
        </w:tc>
      </w:tr>
      <w:tr w:rsidR="0058542C" w:rsidRPr="008D3438" w:rsidTr="00254176">
        <w:trPr>
          <w:trHeight w:val="61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Fontanella et al. (2018)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simultaneously used with overlap of &gt;90 days at anytime during the study period and an allowable 14-day gap between prescription fills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90 days overlaps and allowed gap of 14 days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295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Long term polypharmacy 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simultaneously used with overlap of &gt;90 days at anytime during the study period and an allowable 14-day gap between prescription fills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FD0CC0" w:rsidRDefault="0058542C" w:rsidP="00254176">
            <w:pPr>
              <w:rPr>
                <w:rFonts w:eastAsia="Times New Roman" w:cs="Times New Roman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Guilcher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medications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 </w:t>
            </w:r>
          </w:p>
        </w:tc>
      </w:tr>
      <w:tr w:rsidR="0058542C" w:rsidRPr="008D3438" w:rsidTr="00254176">
        <w:trPr>
          <w:trHeight w:val="151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Kadra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Long term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 agents concomitantly prescribed for ≥ 6 months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180 days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232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Kadra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2 antipsychotics drugs taken during the inpatient stay and in the 6 weeks following discharge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42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Antipsychotics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McIsaac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90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700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Morin et al. (2018)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 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lastRenderedPageBreak/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concurrent medications 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val="en-CA"/>
              </w:rPr>
              <w:t>Simultaneous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val="en-CA"/>
              </w:rPr>
              <w:t>Concurrent use of medications with at least 1day overlap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Inter-class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  <w:t>-</w:t>
            </w:r>
          </w:p>
        </w:tc>
      </w:tr>
      <w:tr w:rsidR="0058542C" w:rsidRPr="008D3438" w:rsidTr="00254176">
        <w:trPr>
          <w:trHeight w:val="790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10 concurrent medications 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583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Subesinghe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Unspecified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-</w:t>
            </w:r>
          </w:p>
        </w:tc>
      </w:tr>
      <w:tr w:rsidR="0058542C" w:rsidRPr="008D3438" w:rsidTr="00254176">
        <w:trPr>
          <w:trHeight w:val="795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Wastesson et al. (2018)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Simultaneous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Both inter and intra-class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5th level</w:t>
            </w:r>
          </w:p>
        </w:tc>
      </w:tr>
      <w:tr w:rsidR="0058542C" w:rsidRPr="008D3438" w:rsidTr="00254176">
        <w:trPr>
          <w:trHeight w:val="795"/>
        </w:trPr>
        <w:tc>
          <w:tcPr>
            <w:tcW w:w="1427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10 medications</w:t>
            </w:r>
          </w:p>
        </w:tc>
        <w:tc>
          <w:tcPr>
            <w:tcW w:w="1394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367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26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40" w:type="dxa"/>
            <w:vMerge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58542C" w:rsidRPr="008D3438" w:rsidTr="00254176">
        <w:trPr>
          <w:trHeight w:val="1636"/>
        </w:trPr>
        <w:tc>
          <w:tcPr>
            <w:tcW w:w="1427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Ivanova et al. (2019)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chronic medications concurrently dispensed ≥ 2 times during a 6‐month period</w:t>
            </w:r>
          </w:p>
        </w:tc>
        <w:tc>
          <w:tcPr>
            <w:tcW w:w="1394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Simultaneous </w:t>
            </w:r>
          </w:p>
        </w:tc>
        <w:tc>
          <w:tcPr>
            <w:tcW w:w="367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Concurrent use of medications with at least 1day overlap</w:t>
            </w:r>
          </w:p>
        </w:tc>
        <w:tc>
          <w:tcPr>
            <w:tcW w:w="126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Intra-class</w:t>
            </w:r>
          </w:p>
        </w:tc>
        <w:tc>
          <w:tcPr>
            <w:tcW w:w="2340" w:type="dxa"/>
            <w:vMerge w:val="restart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1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st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level: group c: cardiovascular </w:t>
            </w:r>
          </w:p>
        </w:tc>
      </w:tr>
      <w:tr w:rsidR="0058542C" w:rsidRPr="008D3438" w:rsidTr="00254176">
        <w:trPr>
          <w:trHeight w:val="563"/>
        </w:trPr>
        <w:tc>
          <w:tcPr>
            <w:tcW w:w="1427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</w:pPr>
          </w:p>
        </w:tc>
        <w:tc>
          <w:tcPr>
            <w:tcW w:w="1411" w:type="dxa"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Excessive polypharmacy</w:t>
            </w:r>
          </w:p>
        </w:tc>
        <w:tc>
          <w:tcPr>
            <w:tcW w:w="1538" w:type="dxa"/>
            <w:shd w:val="clear" w:color="auto" w:fill="auto"/>
          </w:tcPr>
          <w:p w:rsidR="0058542C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≥10 chronic medications concurrently dispensed ≥ 2 times during a 6‐month period</w:t>
            </w:r>
          </w:p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</w:pPr>
          </w:p>
        </w:tc>
      </w:tr>
      <w:tr w:rsidR="0058542C" w:rsidRPr="008D3438" w:rsidTr="00254176">
        <w:trPr>
          <w:trHeight w:val="385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Thunander &amp; Hedborg (2019)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≥ 5 medications including antidepressants 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90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A01-16, B01-06, C01-C10, D01-D10, G01-04, H01-05, J01-07, L01-04, M01-M09, N01-02, N03-05, N07, R01-07, S01-03, diabetes (A10), and in main group N, analgesics (N01-N02) and antidepressants (N06A). The ATC groups P (Antiparasitic products, foremost preventive and over-the-counter (OTC) drugs) and V (Various, foremost diagnostic aids and antidotes)</w:t>
            </w:r>
          </w:p>
        </w:tc>
      </w:tr>
      <w:tr w:rsidR="0058542C" w:rsidRPr="008D3438" w:rsidTr="00254176">
        <w:trPr>
          <w:trHeight w:val="1150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t>van den Akker et al. (2019)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in a year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360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Inter-class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4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CA" w:bidi="th-TH"/>
              </w:rPr>
              <w:t>th</w:t>
            </w: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 xml:space="preserve"> level</w:t>
            </w:r>
          </w:p>
        </w:tc>
      </w:tr>
      <w:tr w:rsidR="0058542C" w:rsidRPr="008D3438" w:rsidTr="00254176">
        <w:trPr>
          <w:trHeight w:val="1583"/>
        </w:trPr>
        <w:tc>
          <w:tcPr>
            <w:tcW w:w="1427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222222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222222"/>
                <w:sz w:val="20"/>
                <w:szCs w:val="20"/>
                <w:lang w:val="en-CA" w:bidi="th-TH"/>
              </w:rPr>
              <w:lastRenderedPageBreak/>
              <w:t>Wastesson et al. (2019)</w:t>
            </w:r>
          </w:p>
        </w:tc>
        <w:tc>
          <w:tcPr>
            <w:tcW w:w="1411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Polypharmacy</w:t>
            </w:r>
          </w:p>
        </w:tc>
        <w:tc>
          <w:tcPr>
            <w:tcW w:w="1538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≥ 5 medications in a month</w:t>
            </w:r>
          </w:p>
        </w:tc>
        <w:tc>
          <w:tcPr>
            <w:tcW w:w="1394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Cumulative</w:t>
            </w:r>
          </w:p>
        </w:tc>
        <w:tc>
          <w:tcPr>
            <w:tcW w:w="367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Sum of different medications taken over 30 days</w:t>
            </w:r>
          </w:p>
        </w:tc>
        <w:tc>
          <w:tcPr>
            <w:tcW w:w="126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Any medication</w:t>
            </w:r>
          </w:p>
        </w:tc>
        <w:tc>
          <w:tcPr>
            <w:tcW w:w="2340" w:type="dxa"/>
            <w:shd w:val="clear" w:color="auto" w:fill="auto"/>
            <w:hideMark/>
          </w:tcPr>
          <w:p w:rsidR="0058542C" w:rsidRPr="008D3438" w:rsidRDefault="0058542C" w:rsidP="002541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th-TH"/>
              </w:rPr>
            </w:pPr>
            <w:r w:rsidRPr="008D3438">
              <w:rPr>
                <w:rFonts w:eastAsia="Times New Roman" w:cs="Times New Roman"/>
                <w:color w:val="000000"/>
                <w:sz w:val="20"/>
                <w:szCs w:val="20"/>
                <w:lang w:val="en-CA" w:bidi="th-TH"/>
              </w:rPr>
              <w:t>ATC 5th level</w:t>
            </w:r>
          </w:p>
        </w:tc>
      </w:tr>
    </w:tbl>
    <w:p w:rsidR="0058542C" w:rsidRDefault="0058542C" w:rsidP="0058542C">
      <w:pPr>
        <w:spacing w:line="240" w:lineRule="auto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szCs w:val="24"/>
        </w:rPr>
        <w:t>\</w:t>
      </w:r>
      <w:r w:rsidRPr="00A3655C">
        <w:rPr>
          <w:rFonts w:cs="Times New Roman"/>
          <w:szCs w:val="24"/>
        </w:rPr>
        <w:t xml:space="preserve">ATC: </w:t>
      </w:r>
      <w:r w:rsidRPr="00A3655C">
        <w:rPr>
          <w:rFonts w:cs="Times New Roman"/>
          <w:color w:val="222222"/>
          <w:szCs w:val="24"/>
          <w:shd w:val="clear" w:color="auto" w:fill="FFFFFF"/>
        </w:rPr>
        <w:t> Anatomical Therapeutic Chemical</w:t>
      </w:r>
    </w:p>
    <w:p w:rsidR="0058542C" w:rsidRDefault="0058542C" w:rsidP="0058542C">
      <w:pPr>
        <w:spacing w:line="240" w:lineRule="auto"/>
        <w:rPr>
          <w:rFonts w:cs="Times New Roman"/>
          <w:szCs w:val="24"/>
        </w:rPr>
      </w:pPr>
    </w:p>
    <w:p w:rsidR="0058542C" w:rsidRDefault="0058542C">
      <w:bookmarkStart w:id="0" w:name="_GoBack"/>
      <w:bookmarkEnd w:id="0"/>
    </w:p>
    <w:sectPr w:rsidR="005854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pitoliumNew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CED"/>
    <w:multiLevelType w:val="multilevel"/>
    <w:tmpl w:val="B762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16570"/>
    <w:multiLevelType w:val="hybridMultilevel"/>
    <w:tmpl w:val="82C4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53D22"/>
    <w:multiLevelType w:val="hybridMultilevel"/>
    <w:tmpl w:val="CAF0D942"/>
    <w:lvl w:ilvl="0" w:tplc="F56862E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438C9"/>
    <w:multiLevelType w:val="hybridMultilevel"/>
    <w:tmpl w:val="751C1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D7F8C"/>
    <w:multiLevelType w:val="hybridMultilevel"/>
    <w:tmpl w:val="8376C3A4"/>
    <w:lvl w:ilvl="0" w:tplc="AEF44DC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B2692"/>
    <w:multiLevelType w:val="hybridMultilevel"/>
    <w:tmpl w:val="D118F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11360"/>
    <w:multiLevelType w:val="hybridMultilevel"/>
    <w:tmpl w:val="5C00C818"/>
    <w:lvl w:ilvl="0" w:tplc="A726D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84B65"/>
    <w:multiLevelType w:val="hybridMultilevel"/>
    <w:tmpl w:val="4E2A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42DFD"/>
    <w:multiLevelType w:val="hybridMultilevel"/>
    <w:tmpl w:val="A880D57E"/>
    <w:lvl w:ilvl="0" w:tplc="967E06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47FF3"/>
    <w:multiLevelType w:val="hybridMultilevel"/>
    <w:tmpl w:val="D2521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22D6"/>
    <w:multiLevelType w:val="hybridMultilevel"/>
    <w:tmpl w:val="CCE4E488"/>
    <w:lvl w:ilvl="0" w:tplc="DFF08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B6588"/>
    <w:multiLevelType w:val="hybridMultilevel"/>
    <w:tmpl w:val="28B89138"/>
    <w:lvl w:ilvl="0" w:tplc="3CB8E2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F8063A"/>
    <w:multiLevelType w:val="hybridMultilevel"/>
    <w:tmpl w:val="406CBB20"/>
    <w:lvl w:ilvl="0" w:tplc="D1A64CD0">
      <w:start w:val="1"/>
      <w:numFmt w:val="decimal"/>
      <w:lvlText w:val="%1-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D081E"/>
    <w:multiLevelType w:val="hybridMultilevel"/>
    <w:tmpl w:val="A66054C4"/>
    <w:lvl w:ilvl="0" w:tplc="1B8C49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A6160"/>
    <w:multiLevelType w:val="hybridMultilevel"/>
    <w:tmpl w:val="FB601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F39FF"/>
    <w:multiLevelType w:val="hybridMultilevel"/>
    <w:tmpl w:val="4698AF00"/>
    <w:lvl w:ilvl="0" w:tplc="57DCF3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8C5431"/>
    <w:multiLevelType w:val="multilevel"/>
    <w:tmpl w:val="25B27C7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12"/>
  </w:num>
  <w:num w:numId="5">
    <w:abstractNumId w:val="13"/>
  </w:num>
  <w:num w:numId="6">
    <w:abstractNumId w:val="2"/>
  </w:num>
  <w:num w:numId="7">
    <w:abstractNumId w:val="4"/>
  </w:num>
  <w:num w:numId="8">
    <w:abstractNumId w:val="15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3"/>
  </w:num>
  <w:num w:numId="14">
    <w:abstractNumId w:val="5"/>
  </w:num>
  <w:num w:numId="15">
    <w:abstractNumId w:val="7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2C"/>
    <w:rsid w:val="00194D9A"/>
    <w:rsid w:val="0058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42C"/>
    <w:pPr>
      <w:spacing w:before="120" w:after="120" w:line="480" w:lineRule="auto"/>
      <w:outlineLvl w:val="0"/>
    </w:pPr>
    <w:rPr>
      <w:rFonts w:ascii="Times New Roman" w:hAnsi="Times New Roman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542C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2C"/>
    <w:pPr>
      <w:spacing w:before="240" w:after="120" w:line="480" w:lineRule="auto"/>
      <w:outlineLvl w:val="2"/>
    </w:pPr>
    <w:rPr>
      <w:rFonts w:ascii="Times New Roman" w:hAnsi="Times New Roman"/>
      <w:bCs/>
      <w:i/>
      <w:iCs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542C"/>
    <w:pPr>
      <w:spacing w:before="120" w:after="120" w:line="480" w:lineRule="auto"/>
      <w:outlineLvl w:val="3"/>
    </w:pPr>
    <w:rPr>
      <w:rFonts w:ascii="Times New Roman" w:hAnsi="Times New Roman"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42C"/>
    <w:pPr>
      <w:keepNext/>
      <w:keepLines/>
      <w:spacing w:before="40" w:after="12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42C"/>
    <w:rPr>
      <w:rFonts w:ascii="Times New Roman" w:hAnsi="Times New Roman"/>
      <w:b/>
      <w:bCs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8542C"/>
    <w:rPr>
      <w:rFonts w:ascii="Times New Roman" w:hAnsi="Times New Roman"/>
      <w:b/>
      <w:bCs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8542C"/>
    <w:rPr>
      <w:rFonts w:ascii="Times New Roman" w:hAnsi="Times New Roman"/>
      <w:bCs/>
      <w:i/>
      <w:i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8542C"/>
    <w:rPr>
      <w:rFonts w:ascii="Times New Roman" w:hAnsi="Times New Roman"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42C"/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8542C"/>
    <w:pPr>
      <w:spacing w:before="120" w:after="120" w:line="240" w:lineRule="auto"/>
      <w:ind w:left="576"/>
    </w:pPr>
    <w:rPr>
      <w:rFonts w:ascii="Times New Roman" w:hAnsi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8542C"/>
    <w:pPr>
      <w:tabs>
        <w:tab w:val="left" w:pos="567"/>
        <w:tab w:val="right" w:leader="dot" w:pos="8210"/>
      </w:tabs>
      <w:spacing w:before="240" w:after="120" w:line="240" w:lineRule="auto"/>
    </w:pPr>
    <w:rPr>
      <w:rFonts w:ascii="Times New Roman" w:hAnsi="Times New Roman" w:cstheme="majorHAnsi"/>
      <w:bCs/>
      <w:noProof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58542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542C"/>
    <w:pPr>
      <w:spacing w:before="120" w:after="120"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8542C"/>
    <w:pPr>
      <w:spacing w:before="120" w:line="240" w:lineRule="auto"/>
    </w:pPr>
    <w:rPr>
      <w:rFonts w:ascii="Times New Roman" w:hAnsi="Times New Roman"/>
      <w:iCs/>
      <w:sz w:val="24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542C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8542C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542C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8542C"/>
    <w:rPr>
      <w:rFonts w:ascii="Times New Roman" w:hAnsi="Times New Roman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8542C"/>
    <w:pPr>
      <w:spacing w:before="120" w:after="120" w:line="480" w:lineRule="auto"/>
      <w:ind w:left="720"/>
    </w:pPr>
    <w:rPr>
      <w:rFonts w:ascii="Times New Roman" w:hAnsi="Times New Roman"/>
      <w:i/>
      <w:iCs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8542C"/>
    <w:rPr>
      <w:rFonts w:ascii="Times New Roman" w:hAnsi="Times New Roman"/>
      <w:i/>
      <w:iCs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58542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542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8542C"/>
    <w:pPr>
      <w:spacing w:before="120" w:after="160"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42C"/>
    <w:rPr>
      <w:sz w:val="20"/>
      <w:szCs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42C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42C"/>
    <w:pPr>
      <w:spacing w:before="120" w:after="12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58542C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58542C"/>
    <w:pPr>
      <w:spacing w:before="120" w:after="120"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542C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58542C"/>
    <w:pPr>
      <w:spacing w:before="120" w:after="120" w:line="259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542C"/>
    <w:rPr>
      <w:rFonts w:ascii="Times New Roman" w:hAnsi="Times New Roman" w:cs="Times New Roman"/>
      <w:noProof/>
      <w:sz w:val="24"/>
      <w:lang w:val="en-US"/>
    </w:rPr>
  </w:style>
  <w:style w:type="paragraph" w:customStyle="1" w:styleId="Pa15">
    <w:name w:val="Pa15"/>
    <w:basedOn w:val="Normal"/>
    <w:next w:val="Normal"/>
    <w:link w:val="Pa15Char"/>
    <w:uiPriority w:val="99"/>
    <w:rsid w:val="0058542C"/>
    <w:pPr>
      <w:autoSpaceDE w:val="0"/>
      <w:autoSpaceDN w:val="0"/>
      <w:adjustRightInd w:val="0"/>
      <w:spacing w:before="120" w:after="120" w:line="161" w:lineRule="atLeast"/>
    </w:pPr>
    <w:rPr>
      <w:rFonts w:ascii="CapitoliumNews" w:hAnsi="CapitoliumNews"/>
      <w:sz w:val="24"/>
      <w:szCs w:val="24"/>
      <w:lang w:val="en-US"/>
    </w:rPr>
  </w:style>
  <w:style w:type="character" w:customStyle="1" w:styleId="Pa15Char">
    <w:name w:val="Pa15 Char"/>
    <w:basedOn w:val="DefaultParagraphFont"/>
    <w:link w:val="Pa15"/>
    <w:uiPriority w:val="99"/>
    <w:rsid w:val="0058542C"/>
    <w:rPr>
      <w:rFonts w:ascii="CapitoliumNews" w:hAnsi="CapitoliumNew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542C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542C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54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4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42C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58542C"/>
    <w:pPr>
      <w:spacing w:after="0" w:line="240" w:lineRule="auto"/>
    </w:pPr>
    <w:rPr>
      <w:lang w:val="en-CA"/>
    </w:rPr>
  </w:style>
  <w:style w:type="character" w:styleId="Emphasis">
    <w:name w:val="Emphasis"/>
    <w:basedOn w:val="DefaultParagraphFont"/>
    <w:uiPriority w:val="20"/>
    <w:qFormat/>
    <w:rsid w:val="0058542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8542C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8542C"/>
    <w:rPr>
      <w:color w:val="808080"/>
    </w:rPr>
  </w:style>
  <w:style w:type="paragraph" w:styleId="NoSpacing">
    <w:name w:val="No Spacing"/>
    <w:uiPriority w:val="1"/>
    <w:qFormat/>
    <w:rsid w:val="0058542C"/>
    <w:pPr>
      <w:spacing w:after="0" w:line="240" w:lineRule="auto"/>
    </w:pPr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58542C"/>
  </w:style>
  <w:style w:type="paragraph" w:customStyle="1" w:styleId="msonormal0">
    <w:name w:val="msonormal"/>
    <w:basedOn w:val="Normal"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font5">
    <w:name w:val="font5"/>
    <w:basedOn w:val="Normal"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font6">
    <w:name w:val="font6"/>
    <w:basedOn w:val="Normal"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3">
    <w:name w:val="xl63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bidi="th-TH"/>
    </w:rPr>
  </w:style>
  <w:style w:type="paragraph" w:customStyle="1" w:styleId="xl64">
    <w:name w:val="xl64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val="en-US" w:bidi="th-TH"/>
    </w:rPr>
  </w:style>
  <w:style w:type="paragraph" w:customStyle="1" w:styleId="xl65">
    <w:name w:val="xl65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xl66">
    <w:name w:val="xl66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7">
    <w:name w:val="xl67"/>
    <w:basedOn w:val="Normal"/>
    <w:rsid w:val="0058542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bidi="th-TH"/>
    </w:rPr>
  </w:style>
  <w:style w:type="paragraph" w:customStyle="1" w:styleId="xl68">
    <w:name w:val="xl68"/>
    <w:basedOn w:val="Normal"/>
    <w:rsid w:val="0058542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42C"/>
    <w:pPr>
      <w:spacing w:before="120" w:after="120" w:line="480" w:lineRule="auto"/>
      <w:outlineLvl w:val="0"/>
    </w:pPr>
    <w:rPr>
      <w:rFonts w:ascii="Times New Roman" w:hAnsi="Times New Roman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542C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2C"/>
    <w:pPr>
      <w:spacing w:before="240" w:after="120" w:line="480" w:lineRule="auto"/>
      <w:outlineLvl w:val="2"/>
    </w:pPr>
    <w:rPr>
      <w:rFonts w:ascii="Times New Roman" w:hAnsi="Times New Roman"/>
      <w:bCs/>
      <w:i/>
      <w:iCs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542C"/>
    <w:pPr>
      <w:spacing w:before="120" w:after="120" w:line="480" w:lineRule="auto"/>
      <w:outlineLvl w:val="3"/>
    </w:pPr>
    <w:rPr>
      <w:rFonts w:ascii="Times New Roman" w:hAnsi="Times New Roman"/>
      <w:i/>
      <w:iCs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42C"/>
    <w:pPr>
      <w:keepNext/>
      <w:keepLines/>
      <w:spacing w:before="40" w:after="12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42C"/>
    <w:rPr>
      <w:rFonts w:ascii="Times New Roman" w:hAnsi="Times New Roman"/>
      <w:b/>
      <w:bCs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8542C"/>
    <w:rPr>
      <w:rFonts w:ascii="Times New Roman" w:hAnsi="Times New Roman"/>
      <w:b/>
      <w:bCs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8542C"/>
    <w:rPr>
      <w:rFonts w:ascii="Times New Roman" w:hAnsi="Times New Roman"/>
      <w:bCs/>
      <w:i/>
      <w:iCs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8542C"/>
    <w:rPr>
      <w:rFonts w:ascii="Times New Roman" w:hAnsi="Times New Roman"/>
      <w:i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42C"/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8542C"/>
    <w:pPr>
      <w:spacing w:before="120" w:after="120" w:line="240" w:lineRule="auto"/>
      <w:ind w:left="576"/>
    </w:pPr>
    <w:rPr>
      <w:rFonts w:ascii="Times New Roman" w:hAnsi="Times New Roman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8542C"/>
    <w:pPr>
      <w:tabs>
        <w:tab w:val="left" w:pos="567"/>
        <w:tab w:val="right" w:leader="dot" w:pos="8210"/>
      </w:tabs>
      <w:spacing w:before="240" w:after="120" w:line="240" w:lineRule="auto"/>
    </w:pPr>
    <w:rPr>
      <w:rFonts w:ascii="Times New Roman" w:hAnsi="Times New Roman" w:cstheme="majorHAnsi"/>
      <w:bCs/>
      <w:noProof/>
      <w:sz w:val="28"/>
      <w:szCs w:val="28"/>
      <w:lang w:val="en-IN"/>
    </w:rPr>
  </w:style>
  <w:style w:type="table" w:styleId="TableGrid">
    <w:name w:val="Table Grid"/>
    <w:basedOn w:val="TableNormal"/>
    <w:uiPriority w:val="59"/>
    <w:rsid w:val="0058542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542C"/>
    <w:pPr>
      <w:spacing w:before="120" w:after="120"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8542C"/>
    <w:pPr>
      <w:spacing w:before="120" w:line="240" w:lineRule="auto"/>
    </w:pPr>
    <w:rPr>
      <w:rFonts w:ascii="Times New Roman" w:hAnsi="Times New Roman"/>
      <w:iCs/>
      <w:sz w:val="24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542C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8542C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542C"/>
    <w:pPr>
      <w:tabs>
        <w:tab w:val="center" w:pos="4680"/>
        <w:tab w:val="right" w:pos="9360"/>
      </w:tabs>
      <w:spacing w:before="120" w:after="120" w:line="240" w:lineRule="auto"/>
    </w:pPr>
    <w:rPr>
      <w:rFonts w:ascii="Times New Roman" w:hAnsi="Times New Roman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8542C"/>
    <w:rPr>
      <w:rFonts w:ascii="Times New Roman" w:hAnsi="Times New Roman"/>
      <w:sz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8542C"/>
    <w:pPr>
      <w:spacing w:before="120" w:after="120" w:line="480" w:lineRule="auto"/>
      <w:ind w:left="720"/>
    </w:pPr>
    <w:rPr>
      <w:rFonts w:ascii="Times New Roman" w:hAnsi="Times New Roman"/>
      <w:i/>
      <w:iCs/>
      <w:sz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8542C"/>
    <w:rPr>
      <w:rFonts w:ascii="Times New Roman" w:hAnsi="Times New Roman"/>
      <w:i/>
      <w:iCs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58542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542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58542C"/>
    <w:pPr>
      <w:spacing w:before="120" w:after="160" w:line="240" w:lineRule="auto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42C"/>
    <w:rPr>
      <w:sz w:val="20"/>
      <w:szCs w:val="20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42C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42C"/>
    <w:pPr>
      <w:spacing w:before="120" w:after="12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58542C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58542C"/>
    <w:pPr>
      <w:spacing w:before="120" w:after="120"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542C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58542C"/>
    <w:pPr>
      <w:spacing w:before="120" w:after="120" w:line="259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542C"/>
    <w:rPr>
      <w:rFonts w:ascii="Times New Roman" w:hAnsi="Times New Roman" w:cs="Times New Roman"/>
      <w:noProof/>
      <w:sz w:val="24"/>
      <w:lang w:val="en-US"/>
    </w:rPr>
  </w:style>
  <w:style w:type="paragraph" w:customStyle="1" w:styleId="Pa15">
    <w:name w:val="Pa15"/>
    <w:basedOn w:val="Normal"/>
    <w:next w:val="Normal"/>
    <w:link w:val="Pa15Char"/>
    <w:uiPriority w:val="99"/>
    <w:rsid w:val="0058542C"/>
    <w:pPr>
      <w:autoSpaceDE w:val="0"/>
      <w:autoSpaceDN w:val="0"/>
      <w:adjustRightInd w:val="0"/>
      <w:spacing w:before="120" w:after="120" w:line="161" w:lineRule="atLeast"/>
    </w:pPr>
    <w:rPr>
      <w:rFonts w:ascii="CapitoliumNews" w:hAnsi="CapitoliumNews"/>
      <w:sz w:val="24"/>
      <w:szCs w:val="24"/>
      <w:lang w:val="en-US"/>
    </w:rPr>
  </w:style>
  <w:style w:type="character" w:customStyle="1" w:styleId="Pa15Char">
    <w:name w:val="Pa15 Char"/>
    <w:basedOn w:val="DefaultParagraphFont"/>
    <w:link w:val="Pa15"/>
    <w:uiPriority w:val="99"/>
    <w:rsid w:val="0058542C"/>
    <w:rPr>
      <w:rFonts w:ascii="CapitoliumNews" w:hAnsi="CapitoliumNew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542C"/>
    <w:pPr>
      <w:spacing w:before="120" w:after="12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542C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54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4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42C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58542C"/>
    <w:pPr>
      <w:spacing w:after="0" w:line="240" w:lineRule="auto"/>
    </w:pPr>
    <w:rPr>
      <w:lang w:val="en-CA"/>
    </w:rPr>
  </w:style>
  <w:style w:type="character" w:styleId="Emphasis">
    <w:name w:val="Emphasis"/>
    <w:basedOn w:val="DefaultParagraphFont"/>
    <w:uiPriority w:val="20"/>
    <w:qFormat/>
    <w:rsid w:val="0058542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8542C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8542C"/>
    <w:rPr>
      <w:color w:val="808080"/>
    </w:rPr>
  </w:style>
  <w:style w:type="paragraph" w:styleId="NoSpacing">
    <w:name w:val="No Spacing"/>
    <w:uiPriority w:val="1"/>
    <w:qFormat/>
    <w:rsid w:val="0058542C"/>
    <w:pPr>
      <w:spacing w:after="0" w:line="240" w:lineRule="auto"/>
    </w:pPr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58542C"/>
  </w:style>
  <w:style w:type="paragraph" w:customStyle="1" w:styleId="msonormal0">
    <w:name w:val="msonormal"/>
    <w:basedOn w:val="Normal"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font5">
    <w:name w:val="font5"/>
    <w:basedOn w:val="Normal"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font6">
    <w:name w:val="font6"/>
    <w:basedOn w:val="Normal"/>
    <w:rsid w:val="0058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3">
    <w:name w:val="xl63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bidi="th-TH"/>
    </w:rPr>
  </w:style>
  <w:style w:type="paragraph" w:customStyle="1" w:styleId="xl64">
    <w:name w:val="xl64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val="en-US" w:bidi="th-TH"/>
    </w:rPr>
  </w:style>
  <w:style w:type="paragraph" w:customStyle="1" w:styleId="xl65">
    <w:name w:val="xl65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bidi="th-TH"/>
    </w:rPr>
  </w:style>
  <w:style w:type="paragraph" w:customStyle="1" w:styleId="xl66">
    <w:name w:val="xl66"/>
    <w:basedOn w:val="Normal"/>
    <w:rsid w:val="0058542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bidi="th-TH"/>
    </w:rPr>
  </w:style>
  <w:style w:type="paragraph" w:customStyle="1" w:styleId="xl67">
    <w:name w:val="xl67"/>
    <w:basedOn w:val="Normal"/>
    <w:rsid w:val="0058542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 w:bidi="th-TH"/>
    </w:rPr>
  </w:style>
  <w:style w:type="paragraph" w:customStyle="1" w:styleId="xl68">
    <w:name w:val="xl68"/>
    <w:basedOn w:val="Normal"/>
    <w:rsid w:val="0058542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4558</Words>
  <Characters>23110</Characters>
  <Application>Microsoft Office Word</Application>
  <DocSecurity>0</DocSecurity>
  <Lines>2888</Lines>
  <Paragraphs>2128</Paragraphs>
  <ScaleCrop>false</ScaleCrop>
  <Company/>
  <LinksUpToDate>false</LinksUpToDate>
  <CharactersWithSpaces>25540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2022-07-13T01:21:00Z</dcterms:created>
  <dcterms:modified xsi:type="dcterms:W3CDTF">2022-07-13T01:21:00Z</dcterms:modified>
</cp:coreProperties>
</file>